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ACF7" w14:textId="14BCB361" w:rsidR="004F6E28" w:rsidRPr="00E65655" w:rsidRDefault="004F6E28">
      <w:pPr>
        <w:pStyle w:val="PlainText"/>
        <w:spacing w:after="140" w:line="290" w:lineRule="auto"/>
        <w:jc w:val="both"/>
        <w:rPr>
          <w:rFonts w:ascii="Arial" w:hAnsi="Arial"/>
        </w:rPr>
      </w:pPr>
      <w:r w:rsidRPr="00E65655">
        <w:rPr>
          <w:rFonts w:ascii="Arial" w:hAnsi="Arial"/>
          <w:b/>
        </w:rPr>
        <w:t>Supplemental Listing Documen</w:t>
      </w:r>
      <w:r w:rsidR="0064099F">
        <w:rPr>
          <w:rFonts w:ascii="Arial" w:hAnsi="Arial"/>
          <w:b/>
        </w:rPr>
        <w:t>t</w:t>
      </w:r>
    </w:p>
    <w:p w14:paraId="7DD271C5" w14:textId="77777777" w:rsidR="004F6E28" w:rsidRPr="00E65655" w:rsidRDefault="004F6E28">
      <w:pPr>
        <w:pStyle w:val="PlainText"/>
        <w:spacing w:after="140" w:line="290" w:lineRule="auto"/>
        <w:ind w:firstLine="720"/>
        <w:jc w:val="both"/>
        <w:rPr>
          <w:rFonts w:ascii="Arial" w:hAnsi="Arial"/>
        </w:rPr>
      </w:pPr>
      <w:r w:rsidRPr="00E65655">
        <w:rPr>
          <w:rFonts w:ascii="Arial" w:hAnsi="Arial"/>
        </w:rPr>
        <w:t>If you are in any doubt as to any aspect of this document, you should consult your stockbroker or other registered dealer in securities, bank manager, solicitor, accountant or other professional adviser.</w:t>
      </w:r>
    </w:p>
    <w:p w14:paraId="0D637DF1" w14:textId="33983FF5" w:rsidR="004F6E28" w:rsidRPr="00E65655" w:rsidRDefault="004F6E28">
      <w:pPr>
        <w:pStyle w:val="PlainText"/>
        <w:spacing w:after="140" w:line="290" w:lineRule="auto"/>
        <w:ind w:firstLine="720"/>
        <w:jc w:val="both"/>
        <w:rPr>
          <w:rFonts w:ascii="Arial" w:hAnsi="Arial"/>
        </w:rPr>
      </w:pPr>
      <w:r w:rsidRPr="00E65655">
        <w:rPr>
          <w:rFonts w:ascii="Arial" w:hAnsi="Arial"/>
        </w:rPr>
        <w:t xml:space="preserve">Application has been made to the Singapore Exchange Securities Trading Limited (the </w:t>
      </w:r>
      <w:r w:rsidR="003A710D" w:rsidRPr="00E65655">
        <w:rPr>
          <w:rFonts w:ascii="Arial" w:hAnsi="Arial"/>
        </w:rPr>
        <w:t>“</w:t>
      </w:r>
      <w:r w:rsidRPr="00E65655">
        <w:rPr>
          <w:rFonts w:ascii="Arial" w:hAnsi="Arial"/>
          <w:b/>
        </w:rPr>
        <w:t>SGX-ST</w:t>
      </w:r>
      <w:r w:rsidR="003A710D" w:rsidRPr="00E65655">
        <w:rPr>
          <w:rFonts w:ascii="Arial" w:hAnsi="Arial"/>
        </w:rPr>
        <w:t>”</w:t>
      </w:r>
      <w:r w:rsidRPr="00E65655">
        <w:rPr>
          <w:rFonts w:ascii="Arial" w:hAnsi="Arial"/>
        </w:rPr>
        <w:t xml:space="preserve">) for permission to deal in and for quotation of the </w:t>
      </w:r>
      <w:r w:rsidR="00AB4D51" w:rsidRPr="00E65655">
        <w:rPr>
          <w:rFonts w:ascii="Arial" w:hAnsi="Arial"/>
        </w:rPr>
        <w:t>Certificates</w:t>
      </w:r>
      <w:r w:rsidRPr="00E65655">
        <w:rPr>
          <w:rFonts w:ascii="Arial" w:hAnsi="Arial"/>
        </w:rPr>
        <w:t xml:space="preserve"> (as defined below). The SGX-ST </w:t>
      </w:r>
      <w:r w:rsidR="007B6169" w:rsidRPr="00E65655">
        <w:rPr>
          <w:rFonts w:ascii="Arial" w:hAnsi="Arial"/>
        </w:rPr>
        <w:t>assumes</w:t>
      </w:r>
      <w:r w:rsidRPr="00E65655">
        <w:rPr>
          <w:rFonts w:ascii="Arial" w:hAnsi="Arial"/>
        </w:rPr>
        <w:t xml:space="preserve"> no responsibility for the </w:t>
      </w:r>
      <w:r w:rsidR="007B6169" w:rsidRPr="00E65655">
        <w:rPr>
          <w:rFonts w:ascii="Arial" w:hAnsi="Arial"/>
        </w:rPr>
        <w:t xml:space="preserve">correctness of any statements made or opinions or reports expressed in </w:t>
      </w:r>
      <w:r w:rsidRPr="00E65655">
        <w:rPr>
          <w:rFonts w:ascii="Arial" w:hAnsi="Arial"/>
        </w:rPr>
        <w:t xml:space="preserve">this document, makes no representation as to its accuracy or completeness and expressly disclaims any liability whatsoever for any loss howsoever arising from or in reliance upon the whole or any part of the contents of this document. Admission to the Official List of the SGX-ST is not to be taken as an indication of the merits of </w:t>
      </w:r>
      <w:r w:rsidR="003D6E08" w:rsidRPr="00E65655">
        <w:rPr>
          <w:rFonts w:ascii="Arial" w:hAnsi="Arial"/>
        </w:rPr>
        <w:t>SG Issuer</w:t>
      </w:r>
      <w:r w:rsidRPr="00E65655">
        <w:rPr>
          <w:rFonts w:ascii="Arial" w:hAnsi="Arial"/>
        </w:rPr>
        <w:t xml:space="preserve">, </w:t>
      </w:r>
      <w:r w:rsidR="007F6676" w:rsidRPr="00E65655">
        <w:rPr>
          <w:rFonts w:ascii="Arial" w:hAnsi="Arial" w:cs="Arial"/>
        </w:rPr>
        <w:t>Societe Generale</w:t>
      </w:r>
      <w:r w:rsidRPr="00E65655">
        <w:rPr>
          <w:rFonts w:ascii="Arial" w:hAnsi="Arial"/>
        </w:rPr>
        <w:t xml:space="preserve">, the </w:t>
      </w:r>
      <w:r w:rsidR="00AB4D51" w:rsidRPr="00E65655">
        <w:rPr>
          <w:rFonts w:ascii="Arial" w:hAnsi="Arial"/>
        </w:rPr>
        <w:t>Certificates</w:t>
      </w:r>
      <w:r w:rsidR="00B008FA" w:rsidRPr="00E65655">
        <w:rPr>
          <w:rFonts w:ascii="Arial" w:hAnsi="Arial"/>
        </w:rPr>
        <w:t xml:space="preserve">, or the </w:t>
      </w:r>
      <w:r w:rsidR="005A1F90" w:rsidRPr="00E65655">
        <w:rPr>
          <w:rFonts w:ascii="Arial" w:hAnsi="Arial"/>
        </w:rPr>
        <w:t>Company</w:t>
      </w:r>
      <w:r w:rsidR="00B008FA" w:rsidRPr="00E65655">
        <w:rPr>
          <w:rFonts w:ascii="Arial" w:hAnsi="Arial"/>
        </w:rPr>
        <w:t xml:space="preserve"> (as defined below)</w:t>
      </w:r>
      <w:r w:rsidRPr="00E65655">
        <w:rPr>
          <w:rFonts w:ascii="Arial" w:hAnsi="Arial"/>
        </w:rPr>
        <w:t>.</w:t>
      </w:r>
    </w:p>
    <w:p w14:paraId="3CE34544" w14:textId="77777777" w:rsidR="004F6E28" w:rsidRPr="00E65655" w:rsidRDefault="004F6E28">
      <w:pPr>
        <w:pStyle w:val="PlainText"/>
        <w:spacing w:after="140" w:line="290" w:lineRule="auto"/>
        <w:jc w:val="center"/>
        <w:rPr>
          <w:rFonts w:ascii="Arial" w:hAnsi="Arial"/>
          <w:b/>
        </w:rPr>
      </w:pPr>
    </w:p>
    <w:p w14:paraId="718F52F7" w14:textId="63BE2541" w:rsidR="0000565F" w:rsidRPr="00E65655" w:rsidRDefault="002D5DDB" w:rsidP="001F1AC6">
      <w:pPr>
        <w:pStyle w:val="PlainText"/>
        <w:spacing w:after="140" w:line="290" w:lineRule="auto"/>
        <w:jc w:val="center"/>
        <w:rPr>
          <w:rFonts w:ascii="Arial" w:hAnsi="Arial"/>
          <w:b/>
        </w:rPr>
      </w:pPr>
      <w:r>
        <w:rPr>
          <w:rFonts w:ascii="Arial" w:hAnsi="Arial" w:hint="eastAsia"/>
          <w:b/>
          <w:lang w:eastAsia="zh-CN"/>
        </w:rPr>
        <w:t>6</w:t>
      </w:r>
      <w:r w:rsidR="00E356B6" w:rsidRPr="00E65655">
        <w:rPr>
          <w:rFonts w:ascii="Arial" w:hAnsi="Arial"/>
          <w:b/>
        </w:rPr>
        <w:t>,</w:t>
      </w:r>
      <w:r>
        <w:rPr>
          <w:rFonts w:ascii="Arial" w:hAnsi="Arial" w:hint="eastAsia"/>
          <w:b/>
          <w:lang w:eastAsia="zh-CN"/>
        </w:rPr>
        <w:t>3</w:t>
      </w:r>
      <w:r w:rsidR="00E356B6" w:rsidRPr="00E65655">
        <w:rPr>
          <w:rFonts w:ascii="Arial" w:hAnsi="Arial"/>
          <w:b/>
        </w:rPr>
        <w:t>00,000</w:t>
      </w:r>
      <w:r w:rsidR="002C269D" w:rsidRPr="00E65655">
        <w:rPr>
          <w:rFonts w:ascii="Arial" w:hAnsi="Arial"/>
          <w:b/>
        </w:rPr>
        <w:t xml:space="preserve"> </w:t>
      </w:r>
      <w:r w:rsidR="004F6E28" w:rsidRPr="00E65655">
        <w:rPr>
          <w:rFonts w:ascii="Arial" w:hAnsi="Arial"/>
          <w:b/>
        </w:rPr>
        <w:t>European Style</w:t>
      </w:r>
      <w:r w:rsidR="001F1AC6" w:rsidRPr="00E65655">
        <w:rPr>
          <w:rFonts w:ascii="Arial" w:hAnsi="Arial"/>
          <w:b/>
        </w:rPr>
        <w:t xml:space="preserve"> </w:t>
      </w:r>
      <w:r w:rsidR="0038268E" w:rsidRPr="00E65655">
        <w:rPr>
          <w:rFonts w:ascii="Arial" w:hAnsi="Arial"/>
          <w:b/>
        </w:rPr>
        <w:t xml:space="preserve">Cash Settled </w:t>
      </w:r>
      <w:r w:rsidR="00F87C7F" w:rsidRPr="00E65655">
        <w:rPr>
          <w:rFonts w:ascii="Arial" w:hAnsi="Arial"/>
          <w:b/>
        </w:rPr>
        <w:t>Short</w:t>
      </w:r>
      <w:r w:rsidR="003C7A6D" w:rsidRPr="00E65655">
        <w:rPr>
          <w:rFonts w:ascii="Arial" w:hAnsi="Arial"/>
          <w:b/>
        </w:rPr>
        <w:t xml:space="preserve"> </w:t>
      </w:r>
      <w:r w:rsidR="0038268E" w:rsidRPr="00E65655">
        <w:rPr>
          <w:rFonts w:ascii="Arial" w:hAnsi="Arial"/>
          <w:b/>
        </w:rPr>
        <w:t>Certificates</w:t>
      </w:r>
    </w:p>
    <w:p w14:paraId="2777A45C" w14:textId="77777777" w:rsidR="009C0585" w:rsidRDefault="005A1F90" w:rsidP="000D146E">
      <w:pPr>
        <w:pStyle w:val="PlainText"/>
        <w:spacing w:after="140" w:line="290" w:lineRule="auto"/>
        <w:jc w:val="center"/>
        <w:rPr>
          <w:rFonts w:ascii="Arial" w:hAnsi="Arial"/>
          <w:b/>
        </w:rPr>
      </w:pPr>
      <w:r w:rsidRPr="00E65655">
        <w:rPr>
          <w:rFonts w:ascii="Arial" w:hAnsi="Arial"/>
          <w:b/>
        </w:rPr>
        <w:t xml:space="preserve">relating to </w:t>
      </w:r>
      <w:r w:rsidR="006271C2" w:rsidRPr="00E65655">
        <w:rPr>
          <w:rFonts w:ascii="Arial" w:hAnsi="Arial"/>
          <w:b/>
        </w:rPr>
        <w:t xml:space="preserve">the ordinary shares of </w:t>
      </w:r>
      <w:bookmarkStart w:id="0" w:name="_cp_change_6"/>
      <w:bookmarkStart w:id="1" w:name="_cp_change_7"/>
      <w:bookmarkEnd w:id="0"/>
      <w:bookmarkEnd w:id="1"/>
      <w:r w:rsidR="009C0585" w:rsidRPr="009C0585">
        <w:rPr>
          <w:rFonts w:ascii="Arial" w:hAnsi="Arial"/>
          <w:b/>
        </w:rPr>
        <w:t xml:space="preserve">Yangzijiang Shipbuilding (Holdings) Ltd. </w:t>
      </w:r>
    </w:p>
    <w:p w14:paraId="2C4C4F37" w14:textId="02A5A355" w:rsidR="004F6E28" w:rsidRPr="00E65655" w:rsidRDefault="000D146E" w:rsidP="000D146E">
      <w:pPr>
        <w:pStyle w:val="PlainText"/>
        <w:spacing w:after="140" w:line="290" w:lineRule="auto"/>
        <w:jc w:val="center"/>
        <w:rPr>
          <w:rFonts w:ascii="Arial" w:hAnsi="Arial"/>
          <w:b/>
        </w:rPr>
      </w:pPr>
      <w:r w:rsidRPr="00E65655">
        <w:rPr>
          <w:rFonts w:ascii="Arial" w:hAnsi="Arial"/>
          <w:b/>
          <w:lang w:eastAsia="zh-CN"/>
        </w:rPr>
        <w:t>with a Daily Leverage of -5x</w:t>
      </w:r>
    </w:p>
    <w:p w14:paraId="0687B432" w14:textId="77777777" w:rsidR="004F6E28" w:rsidRPr="00E65655" w:rsidRDefault="004F6E28">
      <w:pPr>
        <w:pStyle w:val="PlainText"/>
        <w:spacing w:after="140" w:line="290" w:lineRule="auto"/>
        <w:jc w:val="center"/>
        <w:rPr>
          <w:rFonts w:ascii="Arial" w:hAnsi="Arial"/>
          <w:b/>
        </w:rPr>
      </w:pPr>
      <w:r w:rsidRPr="00E65655">
        <w:rPr>
          <w:rFonts w:ascii="Arial" w:hAnsi="Arial"/>
          <w:b/>
        </w:rPr>
        <w:t>issued by</w:t>
      </w:r>
    </w:p>
    <w:p w14:paraId="1F189305" w14:textId="71591668" w:rsidR="004F6E28" w:rsidRPr="00E65655" w:rsidRDefault="0038268E">
      <w:pPr>
        <w:pStyle w:val="PlainText"/>
        <w:spacing w:after="140" w:line="290" w:lineRule="auto"/>
        <w:jc w:val="center"/>
        <w:rPr>
          <w:rFonts w:ascii="Arial" w:hAnsi="Arial" w:cs="Arial"/>
          <w:b/>
          <w:bCs/>
        </w:rPr>
      </w:pPr>
      <w:r w:rsidRPr="00E65655">
        <w:rPr>
          <w:rFonts w:ascii="Arial" w:hAnsi="Arial" w:cs="Arial"/>
          <w:b/>
          <w:bCs/>
        </w:rPr>
        <w:t>SG Issuer</w:t>
      </w:r>
    </w:p>
    <w:p w14:paraId="0CCCEAC8" w14:textId="77777777" w:rsidR="004F6E28" w:rsidRPr="00E65655" w:rsidRDefault="004F6E28">
      <w:pPr>
        <w:pStyle w:val="PlainText"/>
        <w:spacing w:after="140" w:line="290" w:lineRule="auto"/>
        <w:jc w:val="center"/>
        <w:rPr>
          <w:rFonts w:ascii="Arial" w:hAnsi="Arial"/>
          <w:b/>
        </w:rPr>
      </w:pPr>
      <w:r w:rsidRPr="00E65655">
        <w:rPr>
          <w:rFonts w:ascii="Arial" w:hAnsi="Arial"/>
          <w:b/>
        </w:rPr>
        <w:t xml:space="preserve">(Incorporated </w:t>
      </w:r>
      <w:r w:rsidR="001B1531" w:rsidRPr="00E65655">
        <w:rPr>
          <w:rFonts w:ascii="Arial" w:hAnsi="Arial"/>
          <w:b/>
        </w:rPr>
        <w:t xml:space="preserve">in </w:t>
      </w:r>
      <w:r w:rsidR="0038268E" w:rsidRPr="00E65655">
        <w:rPr>
          <w:rFonts w:ascii="Arial" w:hAnsi="Arial"/>
          <w:b/>
        </w:rPr>
        <w:t>Luxembourg</w:t>
      </w:r>
      <w:r w:rsidRPr="00E65655">
        <w:rPr>
          <w:rFonts w:ascii="Arial" w:hAnsi="Arial"/>
          <w:b/>
        </w:rPr>
        <w:t xml:space="preserve"> with limited liability)</w:t>
      </w:r>
    </w:p>
    <w:p w14:paraId="2C57A478" w14:textId="33A99EE9" w:rsidR="004F6E28" w:rsidRPr="00E65655" w:rsidRDefault="004F6E28">
      <w:pPr>
        <w:pStyle w:val="PlainText"/>
        <w:spacing w:after="140" w:line="290" w:lineRule="auto"/>
        <w:jc w:val="center"/>
        <w:rPr>
          <w:rFonts w:ascii="Arial" w:hAnsi="Arial"/>
          <w:b/>
        </w:rPr>
      </w:pPr>
      <w:r w:rsidRPr="00E65655">
        <w:rPr>
          <w:rFonts w:ascii="Arial" w:hAnsi="Arial"/>
          <w:b/>
        </w:rPr>
        <w:t>unconditionall</w:t>
      </w:r>
      <w:r w:rsidR="00CF49DA" w:rsidRPr="00E65655">
        <w:rPr>
          <w:rFonts w:ascii="Arial" w:hAnsi="Arial"/>
          <w:b/>
        </w:rPr>
        <w:t>y and irrevocably guaranteed by</w:t>
      </w:r>
    </w:p>
    <w:p w14:paraId="394D50B5" w14:textId="3DFD60C9" w:rsidR="004F6E28" w:rsidRPr="00E65655" w:rsidRDefault="007F6676">
      <w:pPr>
        <w:pStyle w:val="PlainText"/>
        <w:spacing w:after="140" w:line="290" w:lineRule="auto"/>
        <w:jc w:val="center"/>
        <w:rPr>
          <w:rFonts w:ascii="Arial" w:hAnsi="Arial" w:cs="Arial"/>
          <w:b/>
          <w:bCs/>
        </w:rPr>
      </w:pPr>
      <w:r w:rsidRPr="00E65655">
        <w:rPr>
          <w:rFonts w:ascii="Arial" w:hAnsi="Arial" w:cs="Arial"/>
          <w:b/>
          <w:bCs/>
        </w:rPr>
        <w:t>Societe Generale</w:t>
      </w:r>
    </w:p>
    <w:p w14:paraId="661E03AC" w14:textId="77777777" w:rsidR="004F6E28" w:rsidRPr="00E65655" w:rsidRDefault="004F6E28">
      <w:pPr>
        <w:pStyle w:val="PlainText"/>
        <w:spacing w:after="140" w:line="290" w:lineRule="auto"/>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4F6E28" w:rsidRPr="00E65655" w14:paraId="4813D5A4" w14:textId="77777777">
        <w:trPr>
          <w:trHeight w:val="512"/>
          <w:jc w:val="center"/>
        </w:trPr>
        <w:tc>
          <w:tcPr>
            <w:tcW w:w="4140" w:type="dxa"/>
            <w:tcBorders>
              <w:top w:val="single" w:sz="12" w:space="0" w:color="auto"/>
              <w:left w:val="nil"/>
              <w:bottom w:val="single" w:sz="12" w:space="0" w:color="auto"/>
              <w:right w:val="nil"/>
            </w:tcBorders>
          </w:tcPr>
          <w:p w14:paraId="287FC81C" w14:textId="77777777" w:rsidR="004F6E28" w:rsidRPr="00E65655" w:rsidRDefault="004F6E28">
            <w:pPr>
              <w:pStyle w:val="PlainText"/>
              <w:spacing w:line="290" w:lineRule="auto"/>
              <w:jc w:val="center"/>
              <w:rPr>
                <w:rFonts w:ascii="Arial" w:hAnsi="Arial"/>
                <w:b/>
                <w:sz w:val="8"/>
              </w:rPr>
            </w:pPr>
          </w:p>
          <w:p w14:paraId="492C9FDB" w14:textId="5388E2AA" w:rsidR="004F6E28" w:rsidRPr="00E65655" w:rsidRDefault="00C13460">
            <w:pPr>
              <w:pStyle w:val="PlainText"/>
              <w:spacing w:line="290" w:lineRule="auto"/>
              <w:jc w:val="center"/>
              <w:rPr>
                <w:rFonts w:ascii="Arial" w:hAnsi="Arial"/>
                <w:b/>
                <w:sz w:val="22"/>
              </w:rPr>
            </w:pPr>
            <w:r w:rsidRPr="00E65655">
              <w:rPr>
                <w:rFonts w:ascii="Arial" w:hAnsi="Arial"/>
                <w:b/>
                <w:sz w:val="22"/>
              </w:rPr>
              <w:t>Issue Price: S$</w:t>
            </w:r>
            <w:r w:rsidR="009C0585">
              <w:rPr>
                <w:rFonts w:ascii="Arial" w:hAnsi="Arial" w:hint="eastAsia"/>
                <w:b/>
                <w:sz w:val="22"/>
                <w:lang w:eastAsia="zh-CN"/>
              </w:rPr>
              <w:t>0</w:t>
            </w:r>
            <w:r w:rsidR="00E356B6" w:rsidRPr="00E65655">
              <w:rPr>
                <w:rFonts w:ascii="Arial" w:hAnsi="Arial"/>
                <w:b/>
                <w:sz w:val="22"/>
              </w:rPr>
              <w:t>.</w:t>
            </w:r>
            <w:r w:rsidR="009C0585">
              <w:rPr>
                <w:rFonts w:ascii="Arial" w:hAnsi="Arial" w:hint="eastAsia"/>
                <w:b/>
                <w:sz w:val="22"/>
                <w:lang w:eastAsia="zh-CN"/>
              </w:rPr>
              <w:t>8</w:t>
            </w:r>
            <w:r w:rsidR="006271C2" w:rsidRPr="00E65655">
              <w:rPr>
                <w:rFonts w:ascii="Arial" w:hAnsi="Arial"/>
                <w:b/>
                <w:sz w:val="22"/>
              </w:rPr>
              <w:t>0</w:t>
            </w:r>
            <w:r w:rsidR="000D146E" w:rsidRPr="00E65655">
              <w:rPr>
                <w:rFonts w:ascii="Arial" w:hAnsi="Arial"/>
                <w:b/>
                <w:sz w:val="22"/>
              </w:rPr>
              <w:t xml:space="preserve"> </w:t>
            </w:r>
            <w:r w:rsidR="004F6E28" w:rsidRPr="00E65655">
              <w:rPr>
                <w:rFonts w:ascii="Arial" w:hAnsi="Arial"/>
                <w:b/>
                <w:sz w:val="22"/>
              </w:rPr>
              <w:t xml:space="preserve">per </w:t>
            </w:r>
            <w:r w:rsidR="0038268E" w:rsidRPr="00E65655">
              <w:rPr>
                <w:rFonts w:ascii="Arial" w:hAnsi="Arial"/>
                <w:b/>
                <w:sz w:val="22"/>
              </w:rPr>
              <w:t>Certificate</w:t>
            </w:r>
          </w:p>
          <w:p w14:paraId="4FFD6B8D" w14:textId="77777777" w:rsidR="004F6E28" w:rsidRPr="00E65655" w:rsidRDefault="004F6E28">
            <w:pPr>
              <w:pStyle w:val="PlainText"/>
              <w:spacing w:line="290" w:lineRule="auto"/>
              <w:jc w:val="center"/>
              <w:rPr>
                <w:rFonts w:ascii="Arial" w:hAnsi="Arial"/>
                <w:sz w:val="8"/>
              </w:rPr>
            </w:pPr>
          </w:p>
        </w:tc>
      </w:tr>
    </w:tbl>
    <w:p w14:paraId="3BF7D11D" w14:textId="77777777" w:rsidR="004F6E28" w:rsidRPr="00E65655" w:rsidRDefault="004F6E28">
      <w:pPr>
        <w:pStyle w:val="PlainText"/>
        <w:spacing w:after="140" w:line="290" w:lineRule="auto"/>
        <w:jc w:val="center"/>
        <w:rPr>
          <w:rFonts w:ascii="Arial" w:hAnsi="Arial"/>
          <w:b/>
        </w:rPr>
      </w:pPr>
    </w:p>
    <w:p w14:paraId="2D1E2BE4" w14:textId="33FD5D87" w:rsidR="004F6E28" w:rsidRPr="00E65655" w:rsidRDefault="004F6E28">
      <w:pPr>
        <w:pStyle w:val="PlainText"/>
        <w:spacing w:after="140" w:line="290" w:lineRule="auto"/>
        <w:ind w:firstLine="720"/>
        <w:jc w:val="both"/>
        <w:rPr>
          <w:rFonts w:ascii="Arial" w:hAnsi="Arial"/>
        </w:rPr>
      </w:pPr>
      <w:r w:rsidRPr="00E65655">
        <w:rPr>
          <w:rFonts w:ascii="Arial" w:hAnsi="Arial"/>
        </w:rPr>
        <w:t xml:space="preserve">This document is published for the purpose of obtaining a listing of all the above </w:t>
      </w:r>
      <w:r w:rsidR="00AB4D51" w:rsidRPr="00E65655">
        <w:rPr>
          <w:rFonts w:ascii="Arial" w:hAnsi="Arial"/>
        </w:rPr>
        <w:t>certificates</w:t>
      </w:r>
      <w:r w:rsidRPr="00E65655">
        <w:rPr>
          <w:rFonts w:ascii="Arial" w:hAnsi="Arial"/>
        </w:rPr>
        <w:t xml:space="preserve"> (the </w:t>
      </w:r>
      <w:r w:rsidR="003A710D" w:rsidRPr="00E65655">
        <w:rPr>
          <w:rFonts w:ascii="Arial" w:hAnsi="Arial"/>
        </w:rPr>
        <w:t>“</w:t>
      </w:r>
      <w:r w:rsidR="00AB4D51" w:rsidRPr="00E65655">
        <w:rPr>
          <w:rFonts w:ascii="Arial" w:hAnsi="Arial"/>
          <w:b/>
        </w:rPr>
        <w:t>Certificates</w:t>
      </w:r>
      <w:r w:rsidR="003A710D" w:rsidRPr="00E65655">
        <w:rPr>
          <w:rFonts w:ascii="Arial" w:hAnsi="Arial"/>
        </w:rPr>
        <w:t>”</w:t>
      </w:r>
      <w:r w:rsidRPr="00E65655">
        <w:rPr>
          <w:rFonts w:ascii="Arial" w:hAnsi="Arial"/>
        </w:rPr>
        <w:t xml:space="preserve">) to be issued by </w:t>
      </w:r>
      <w:r w:rsidR="0038268E" w:rsidRPr="00E65655">
        <w:rPr>
          <w:rFonts w:ascii="Arial" w:hAnsi="Arial" w:cs="Arial"/>
        </w:rPr>
        <w:t>SG Issuer</w:t>
      </w:r>
      <w:r w:rsidRPr="00E65655">
        <w:rPr>
          <w:rFonts w:ascii="Arial" w:hAnsi="Arial"/>
        </w:rPr>
        <w:t xml:space="preserve"> (the </w:t>
      </w:r>
      <w:r w:rsidR="003A710D" w:rsidRPr="00E65655">
        <w:rPr>
          <w:rFonts w:ascii="Arial" w:hAnsi="Arial"/>
        </w:rPr>
        <w:t>“</w:t>
      </w:r>
      <w:r w:rsidRPr="00E65655">
        <w:rPr>
          <w:rFonts w:ascii="Arial" w:hAnsi="Arial"/>
          <w:b/>
        </w:rPr>
        <w:t>Issuer</w:t>
      </w:r>
      <w:r w:rsidR="003A710D" w:rsidRPr="00E65655">
        <w:rPr>
          <w:rFonts w:ascii="Arial" w:hAnsi="Arial"/>
        </w:rPr>
        <w:t>”</w:t>
      </w:r>
      <w:r w:rsidRPr="00E65655">
        <w:rPr>
          <w:rFonts w:ascii="Arial" w:hAnsi="Arial"/>
        </w:rPr>
        <w:t xml:space="preserve">) unconditionally and irrevocably guaranteed by </w:t>
      </w:r>
      <w:r w:rsidR="007F6676" w:rsidRPr="00E65655">
        <w:rPr>
          <w:rFonts w:ascii="Arial" w:hAnsi="Arial" w:cs="Arial"/>
        </w:rPr>
        <w:t>Societe Generale</w:t>
      </w:r>
      <w:r w:rsidRPr="00E65655">
        <w:rPr>
          <w:rFonts w:ascii="Arial" w:hAnsi="Arial" w:cs="Arial"/>
        </w:rPr>
        <w:t xml:space="preserve"> (the </w:t>
      </w:r>
      <w:r w:rsidR="003A710D" w:rsidRPr="00E65655">
        <w:rPr>
          <w:rFonts w:ascii="Arial" w:hAnsi="Arial" w:cs="Arial"/>
        </w:rPr>
        <w:t>“</w:t>
      </w:r>
      <w:r w:rsidRPr="00E65655">
        <w:rPr>
          <w:rFonts w:ascii="Arial" w:hAnsi="Arial" w:cs="Arial"/>
          <w:b/>
        </w:rPr>
        <w:t>Guarantor</w:t>
      </w:r>
      <w:r w:rsidR="003A710D" w:rsidRPr="00E65655">
        <w:rPr>
          <w:rFonts w:ascii="Arial" w:hAnsi="Arial" w:cs="Arial"/>
        </w:rPr>
        <w:t>”</w:t>
      </w:r>
      <w:r w:rsidRPr="00E65655">
        <w:rPr>
          <w:rFonts w:ascii="Arial" w:hAnsi="Arial" w:cs="Arial"/>
        </w:rPr>
        <w:t xml:space="preserve">), </w:t>
      </w:r>
      <w:r w:rsidRPr="00E65655">
        <w:rPr>
          <w:rFonts w:ascii="Arial" w:hAnsi="Arial"/>
        </w:rPr>
        <w:t xml:space="preserve">and is supplemental to and should be read in conjunction with a base listing document dated </w:t>
      </w:r>
      <w:r w:rsidR="00E37576" w:rsidRPr="00E65655">
        <w:rPr>
          <w:rFonts w:ascii="Arial" w:hAnsi="Arial"/>
        </w:rPr>
        <w:t>1</w:t>
      </w:r>
      <w:r w:rsidR="007F6676" w:rsidRPr="00E65655">
        <w:rPr>
          <w:rFonts w:ascii="Arial" w:hAnsi="Arial"/>
        </w:rPr>
        <w:t>3</w:t>
      </w:r>
      <w:r w:rsidR="00E37576" w:rsidRPr="00E65655">
        <w:rPr>
          <w:rFonts w:ascii="Arial" w:hAnsi="Arial"/>
        </w:rPr>
        <w:t xml:space="preserve"> June 202</w:t>
      </w:r>
      <w:r w:rsidR="007F6676" w:rsidRPr="00E65655">
        <w:rPr>
          <w:rFonts w:ascii="Arial" w:hAnsi="Arial"/>
        </w:rPr>
        <w:t>5</w:t>
      </w:r>
      <w:r w:rsidRPr="00E65655">
        <w:rPr>
          <w:rFonts w:ascii="Arial" w:hAnsi="Arial"/>
        </w:rPr>
        <w:t xml:space="preserve"> including such further base listing documents as may be issued from time to time</w:t>
      </w:r>
      <w:r w:rsidR="007F6676" w:rsidRPr="00E65655">
        <w:rPr>
          <w:rFonts w:ascii="Arial" w:hAnsi="Arial"/>
        </w:rPr>
        <w:t xml:space="preserve"> </w:t>
      </w:r>
      <w:r w:rsidR="00E37576" w:rsidRPr="00E65655">
        <w:rPr>
          <w:rFonts w:ascii="Arial" w:hAnsi="Arial"/>
        </w:rPr>
        <w:t>(the “</w:t>
      </w:r>
      <w:r w:rsidR="00E37576" w:rsidRPr="00E65655">
        <w:rPr>
          <w:rFonts w:ascii="Arial" w:hAnsi="Arial"/>
          <w:b/>
        </w:rPr>
        <w:t>Base Listing Document</w:t>
      </w:r>
      <w:r w:rsidR="00E37576" w:rsidRPr="00E65655">
        <w:rPr>
          <w:rFonts w:ascii="Arial" w:hAnsi="Arial"/>
        </w:rPr>
        <w:t>”)</w:t>
      </w:r>
      <w:r w:rsidR="009B4410" w:rsidRPr="00E65655">
        <w:rPr>
          <w:rFonts w:ascii="Arial" w:hAnsi="Arial"/>
        </w:rPr>
        <w:t xml:space="preserve"> </w:t>
      </w:r>
      <w:r w:rsidRPr="00E65655">
        <w:rPr>
          <w:rFonts w:ascii="Arial" w:hAnsi="Arial"/>
        </w:rPr>
        <w:t xml:space="preserve">for the purpose of giving information with regard to the Issuer, the Guarantor and the </w:t>
      </w:r>
      <w:r w:rsidR="00AB4D51" w:rsidRPr="00E65655">
        <w:rPr>
          <w:rFonts w:ascii="Arial" w:hAnsi="Arial"/>
        </w:rPr>
        <w:t>Certificates</w:t>
      </w:r>
      <w:r w:rsidRPr="00E65655">
        <w:rPr>
          <w:rFonts w:ascii="Arial" w:hAnsi="Arial"/>
        </w:rPr>
        <w:t xml:space="preserve">. Information relating </w:t>
      </w:r>
      <w:r w:rsidR="00590A94" w:rsidRPr="00E65655">
        <w:rPr>
          <w:rFonts w:ascii="Arial" w:hAnsi="Arial"/>
        </w:rPr>
        <w:t>to the</w:t>
      </w:r>
      <w:r w:rsidRPr="00E65655">
        <w:rPr>
          <w:rFonts w:ascii="Arial" w:hAnsi="Arial"/>
        </w:rPr>
        <w:t xml:space="preserve"> </w:t>
      </w:r>
      <w:r w:rsidR="005A1F90" w:rsidRPr="00E65655">
        <w:rPr>
          <w:rFonts w:ascii="Arial" w:hAnsi="Arial"/>
        </w:rPr>
        <w:t>Company</w:t>
      </w:r>
      <w:r w:rsidRPr="00E65655">
        <w:rPr>
          <w:rFonts w:ascii="Arial" w:hAnsi="Arial"/>
        </w:rPr>
        <w:t xml:space="preserve"> (</w:t>
      </w:r>
      <w:r w:rsidR="005A1F90" w:rsidRPr="00E65655">
        <w:rPr>
          <w:rFonts w:ascii="Arial" w:hAnsi="Arial"/>
        </w:rPr>
        <w:t>as defined below)</w:t>
      </w:r>
      <w:r w:rsidRPr="00E65655">
        <w:rPr>
          <w:rFonts w:ascii="Arial" w:hAnsi="Arial"/>
        </w:rPr>
        <w:t xml:space="preserve"> is contained in this document.</w:t>
      </w:r>
    </w:p>
    <w:p w14:paraId="798681F2" w14:textId="0C1859EA" w:rsidR="004F6E28" w:rsidRPr="00E65655" w:rsidRDefault="004F6E28" w:rsidP="00CF49DA">
      <w:pPr>
        <w:pStyle w:val="PlainText"/>
        <w:spacing w:after="140" w:line="290" w:lineRule="auto"/>
        <w:ind w:firstLine="720"/>
        <w:jc w:val="both"/>
        <w:rPr>
          <w:rFonts w:ascii="Arial" w:hAnsi="Arial"/>
        </w:rPr>
      </w:pPr>
      <w:r w:rsidRPr="00E65655">
        <w:rPr>
          <w:rFonts w:ascii="Arial" w:hAnsi="Arial"/>
        </w:rPr>
        <w:t xml:space="preserve">This document does not constitute or form part of any offer, or invitation, to subscribe for or to sell, or solicitation of any offer to subscribe for or to purchase, </w:t>
      </w:r>
      <w:r w:rsidR="00AB4D51" w:rsidRPr="00E65655">
        <w:rPr>
          <w:rFonts w:ascii="Arial" w:hAnsi="Arial"/>
        </w:rPr>
        <w:t>Certificates</w:t>
      </w:r>
      <w:r w:rsidRPr="00E65655">
        <w:rPr>
          <w:rFonts w:ascii="Arial" w:hAnsi="Arial"/>
        </w:rPr>
        <w:t xml:space="preserve"> or other securities of the Issuer, nor is it calculated to invite, nor does it permit the making of, offers by the public to subscribe for or purchase for cash or other consideration the </w:t>
      </w:r>
      <w:r w:rsidR="00AB4D51" w:rsidRPr="00E65655">
        <w:rPr>
          <w:rFonts w:ascii="Arial" w:hAnsi="Arial"/>
        </w:rPr>
        <w:t>Certificates</w:t>
      </w:r>
      <w:r w:rsidRPr="00E65655">
        <w:rPr>
          <w:rFonts w:ascii="Arial" w:hAnsi="Arial"/>
        </w:rPr>
        <w:t xml:space="preserve"> or o</w:t>
      </w:r>
      <w:r w:rsidR="00CF49DA" w:rsidRPr="00E65655">
        <w:rPr>
          <w:rFonts w:ascii="Arial" w:hAnsi="Arial"/>
        </w:rPr>
        <w:t>ther securities of the Issuer.</w:t>
      </w:r>
    </w:p>
    <w:p w14:paraId="383422FE" w14:textId="77777777" w:rsidR="004F6E28" w:rsidRPr="00E65655" w:rsidRDefault="00A96061">
      <w:pPr>
        <w:pStyle w:val="PlainText"/>
        <w:spacing w:after="140" w:line="290" w:lineRule="auto"/>
        <w:ind w:firstLine="720"/>
        <w:jc w:val="both"/>
        <w:rPr>
          <w:rFonts w:ascii="Arial" w:hAnsi="Arial"/>
        </w:rPr>
      </w:pPr>
      <w:r w:rsidRPr="00E65655">
        <w:rPr>
          <w:rFonts w:ascii="Arial" w:hAnsi="Arial"/>
        </w:rPr>
        <w:t xml:space="preserve">Restrictions have been imposed on offers and sales of the </w:t>
      </w:r>
      <w:r w:rsidR="00AB4D51" w:rsidRPr="00E65655">
        <w:rPr>
          <w:rFonts w:ascii="Arial" w:hAnsi="Arial"/>
        </w:rPr>
        <w:t>Certificates</w:t>
      </w:r>
      <w:r w:rsidRPr="00E65655">
        <w:rPr>
          <w:rFonts w:ascii="Arial" w:hAnsi="Arial"/>
        </w:rPr>
        <w:t xml:space="preserve"> and on distributions of documents relating thereto in Singapore, Hong Kong, the European Ec</w:t>
      </w:r>
      <w:r w:rsidR="00332D08" w:rsidRPr="00E65655">
        <w:rPr>
          <w:rFonts w:ascii="Arial" w:hAnsi="Arial"/>
        </w:rPr>
        <w:t>onomic Area, the United Kingdom and</w:t>
      </w:r>
      <w:r w:rsidRPr="00E65655">
        <w:rPr>
          <w:rFonts w:ascii="Arial" w:hAnsi="Arial"/>
        </w:rPr>
        <w:t xml:space="preserve"> the United States (see “Placing and Sale” contained herein).</w:t>
      </w:r>
    </w:p>
    <w:p w14:paraId="3B8E22E9" w14:textId="1D3E0EC5" w:rsidR="009A7112" w:rsidRPr="00E65655" w:rsidRDefault="00916589" w:rsidP="009A7112">
      <w:pPr>
        <w:pStyle w:val="PlainText"/>
        <w:spacing w:after="140" w:line="290" w:lineRule="auto"/>
        <w:ind w:firstLine="720"/>
        <w:jc w:val="both"/>
        <w:rPr>
          <w:rFonts w:ascii="Arial" w:hAnsi="Arial" w:cs="Arial"/>
        </w:rPr>
      </w:pPr>
      <w:r w:rsidRPr="00E65655">
        <w:rPr>
          <w:rFonts w:ascii="Arial" w:hAnsi="Arial" w:cs="Arial"/>
        </w:rPr>
        <w:t xml:space="preserve">The Certificates are complex products. You should exercise caution in relation to them. </w:t>
      </w:r>
      <w:r w:rsidR="004F6E28" w:rsidRPr="00E65655">
        <w:rPr>
          <w:rFonts w:ascii="Arial" w:hAnsi="Arial" w:cs="Arial"/>
        </w:rPr>
        <w:t xml:space="preserve">Investors are warned that the price of the </w:t>
      </w:r>
      <w:r w:rsidR="00AB4D51" w:rsidRPr="00E65655">
        <w:rPr>
          <w:rFonts w:ascii="Arial" w:hAnsi="Arial" w:cs="Arial"/>
        </w:rPr>
        <w:t>Certificates</w:t>
      </w:r>
      <w:r w:rsidR="004F6E28" w:rsidRPr="00E65655">
        <w:rPr>
          <w:rFonts w:ascii="Arial" w:hAnsi="Arial" w:cs="Arial"/>
        </w:rPr>
        <w:t xml:space="preserve"> may fall in value as rapidly as it may rise and </w:t>
      </w:r>
      <w:r w:rsidR="004F6E28" w:rsidRPr="00E65655">
        <w:rPr>
          <w:rFonts w:ascii="Arial" w:hAnsi="Arial" w:cs="Arial"/>
        </w:rPr>
        <w:lastRenderedPageBreak/>
        <w:t xml:space="preserve">holders may sustain a total loss of their investment. The price of the </w:t>
      </w:r>
      <w:r w:rsidR="00AB4D51" w:rsidRPr="00E65655">
        <w:rPr>
          <w:rFonts w:ascii="Arial" w:hAnsi="Arial" w:cs="Arial"/>
        </w:rPr>
        <w:t>Certificates</w:t>
      </w:r>
      <w:r w:rsidR="004F6E28" w:rsidRPr="00E65655">
        <w:rPr>
          <w:rFonts w:ascii="Arial" w:hAnsi="Arial" w:cs="Arial"/>
        </w:rPr>
        <w:t xml:space="preserve"> also depends on the supply and demand for the </w:t>
      </w:r>
      <w:r w:rsidR="000C2050" w:rsidRPr="00E65655">
        <w:rPr>
          <w:rFonts w:ascii="Arial" w:hAnsi="Arial" w:cs="Arial"/>
        </w:rPr>
        <w:t>Certificates</w:t>
      </w:r>
      <w:r w:rsidR="004F6E28" w:rsidRPr="00E65655">
        <w:rPr>
          <w:rFonts w:ascii="Arial" w:hAnsi="Arial" w:cs="Arial"/>
        </w:rPr>
        <w:t xml:space="preserve"> in the market and the price at which the </w:t>
      </w:r>
      <w:r w:rsidR="000C2050" w:rsidRPr="00E65655">
        <w:rPr>
          <w:rFonts w:ascii="Arial" w:hAnsi="Arial" w:cs="Arial"/>
        </w:rPr>
        <w:t>Certificates</w:t>
      </w:r>
      <w:r w:rsidR="004F6E28" w:rsidRPr="00E65655">
        <w:rPr>
          <w:rFonts w:ascii="Arial" w:hAnsi="Arial" w:cs="Arial"/>
        </w:rPr>
        <w:t xml:space="preserve"> is trading at any time may differ from the underlying valuation of the </w:t>
      </w:r>
      <w:r w:rsidR="000C2050" w:rsidRPr="00E65655">
        <w:rPr>
          <w:rFonts w:ascii="Arial" w:hAnsi="Arial" w:cs="Arial"/>
        </w:rPr>
        <w:t>Certificates</w:t>
      </w:r>
      <w:r w:rsidR="004F6E28" w:rsidRPr="00E65655">
        <w:rPr>
          <w:rFonts w:ascii="Arial" w:hAnsi="Arial" w:cs="Arial"/>
        </w:rPr>
        <w:t xml:space="preserve"> because of market inefficiencies. It is not possible to predict the secondary market for the </w:t>
      </w:r>
      <w:r w:rsidR="000C2050" w:rsidRPr="00E65655">
        <w:rPr>
          <w:rFonts w:ascii="Arial" w:hAnsi="Arial" w:cs="Arial"/>
        </w:rPr>
        <w:t>Certificates</w:t>
      </w:r>
      <w:r w:rsidR="004F6E28" w:rsidRPr="00E65655">
        <w:rPr>
          <w:rFonts w:ascii="Arial" w:hAnsi="Arial" w:cs="Arial"/>
        </w:rPr>
        <w:t xml:space="preserve">.  Although the Issuer, the Guarantor and/or any of their affiliates may from time to time purchase the </w:t>
      </w:r>
      <w:r w:rsidR="000C2050" w:rsidRPr="00E65655">
        <w:rPr>
          <w:rFonts w:ascii="Arial" w:hAnsi="Arial" w:cs="Arial"/>
        </w:rPr>
        <w:t>Certificates</w:t>
      </w:r>
      <w:r w:rsidR="004F6E28" w:rsidRPr="00E65655">
        <w:rPr>
          <w:rFonts w:ascii="Arial" w:hAnsi="Arial" w:cs="Arial"/>
        </w:rPr>
        <w:t xml:space="preserve"> or sell additional </w:t>
      </w:r>
      <w:r w:rsidR="000C2050" w:rsidRPr="00E65655">
        <w:rPr>
          <w:rFonts w:ascii="Arial" w:hAnsi="Arial" w:cs="Arial"/>
        </w:rPr>
        <w:t>Certificates</w:t>
      </w:r>
      <w:r w:rsidR="004F6E28" w:rsidRPr="00E65655">
        <w:rPr>
          <w:rFonts w:ascii="Arial" w:hAnsi="Arial" w:cs="Arial"/>
        </w:rPr>
        <w:t xml:space="preserve"> on the market</w:t>
      </w:r>
      <w:r w:rsidR="00866E13" w:rsidRPr="00E65655">
        <w:rPr>
          <w:rFonts w:ascii="Arial" w:hAnsi="Arial" w:cs="Arial"/>
        </w:rPr>
        <w:t>, the Issuer, the Guarantor and/</w:t>
      </w:r>
      <w:r w:rsidR="004F6E28" w:rsidRPr="00E65655">
        <w:rPr>
          <w:rFonts w:ascii="Arial" w:hAnsi="Arial" w:cs="Arial"/>
        </w:rPr>
        <w:t>or any of their affiliates are not obliged to do so</w:t>
      </w:r>
      <w:r w:rsidR="00866E13" w:rsidRPr="00E65655">
        <w:rPr>
          <w:rFonts w:ascii="Arial" w:hAnsi="Arial" w:cs="Arial"/>
        </w:rPr>
        <w:t>.</w:t>
      </w:r>
      <w:r w:rsidR="00320290" w:rsidRPr="00E65655">
        <w:rPr>
          <w:rFonts w:ascii="Arial" w:hAnsi="Arial" w:cs="Arial"/>
        </w:rPr>
        <w:t xml:space="preserve"> Investors should also note that there are leveraged risks because the Certificates integrate a</w:t>
      </w:r>
      <w:r w:rsidR="000D300C" w:rsidRPr="00E65655">
        <w:rPr>
          <w:rFonts w:ascii="Arial" w:hAnsi="Arial" w:cs="Arial"/>
        </w:rPr>
        <w:t>n inverse</w:t>
      </w:r>
      <w:r w:rsidR="00320290" w:rsidRPr="00E65655">
        <w:rPr>
          <w:rFonts w:ascii="Arial" w:hAnsi="Arial" w:cs="Arial"/>
        </w:rPr>
        <w:t xml:space="preserve"> leverage </w:t>
      </w:r>
      <w:r w:rsidR="00FA5EEE" w:rsidRPr="00E65655">
        <w:rPr>
          <w:rFonts w:ascii="Arial" w:hAnsi="Arial" w:cs="Arial"/>
        </w:rPr>
        <w:t xml:space="preserve">mechanism </w:t>
      </w:r>
      <w:r w:rsidR="00320290" w:rsidRPr="00E65655">
        <w:rPr>
          <w:rFonts w:ascii="Arial" w:hAnsi="Arial" w:cs="Arial"/>
        </w:rPr>
        <w:t>and the Certificates will amplify t</w:t>
      </w:r>
      <w:r w:rsidR="00AF26EE" w:rsidRPr="00E65655">
        <w:rPr>
          <w:rFonts w:ascii="Arial" w:hAnsi="Arial" w:cs="Arial"/>
        </w:rPr>
        <w:t>he movements in the increase, and</w:t>
      </w:r>
      <w:r w:rsidR="00320290" w:rsidRPr="00E65655">
        <w:rPr>
          <w:rFonts w:ascii="Arial" w:hAnsi="Arial" w:cs="Arial"/>
        </w:rPr>
        <w:t xml:space="preserve"> in the decrease, of the value of</w:t>
      </w:r>
      <w:r w:rsidR="00B008FA" w:rsidRPr="00E65655">
        <w:rPr>
          <w:rFonts w:ascii="Arial" w:hAnsi="Arial" w:cs="Arial"/>
        </w:rPr>
        <w:t xml:space="preserve"> the </w:t>
      </w:r>
      <w:r w:rsidR="003F66C9" w:rsidRPr="00E65655">
        <w:rPr>
          <w:rFonts w:ascii="Arial" w:hAnsi="Arial" w:cs="Arial"/>
        </w:rPr>
        <w:t>Underlying Stock</w:t>
      </w:r>
      <w:r w:rsidR="00D73042" w:rsidRPr="00E65655">
        <w:rPr>
          <w:rFonts w:ascii="Arial" w:hAnsi="Arial" w:cs="Arial"/>
        </w:rPr>
        <w:t xml:space="preserve"> (as defined below)</w:t>
      </w:r>
      <w:r w:rsidR="00320290" w:rsidRPr="00E65655">
        <w:rPr>
          <w:rFonts w:ascii="Arial" w:hAnsi="Arial" w:cs="Arial"/>
        </w:rPr>
        <w:t xml:space="preserve"> and if the investment results in a loss, any such loss will be increased by the leverage factor of the </w:t>
      </w:r>
      <w:r w:rsidR="00FA5EEE" w:rsidRPr="00E65655">
        <w:rPr>
          <w:rFonts w:ascii="Arial" w:hAnsi="Arial" w:cs="Arial"/>
        </w:rPr>
        <w:t>Certificates</w:t>
      </w:r>
      <w:r w:rsidR="00320290" w:rsidRPr="00E65655">
        <w:rPr>
          <w:rFonts w:ascii="Arial" w:hAnsi="Arial" w:cs="Arial"/>
        </w:rPr>
        <w:t xml:space="preserve">. As such, investors could lose more than they would if they had invested directly in </w:t>
      </w:r>
      <w:r w:rsidR="00B008FA" w:rsidRPr="00E65655">
        <w:rPr>
          <w:rFonts w:ascii="Arial" w:hAnsi="Arial" w:cs="Arial"/>
        </w:rPr>
        <w:t xml:space="preserve">the </w:t>
      </w:r>
      <w:r w:rsidR="003F66C9" w:rsidRPr="00E65655">
        <w:rPr>
          <w:rFonts w:ascii="Arial" w:hAnsi="Arial" w:cs="Arial"/>
        </w:rPr>
        <w:t>Underlying Stock</w:t>
      </w:r>
      <w:r w:rsidR="00320290" w:rsidRPr="00E65655">
        <w:rPr>
          <w:rFonts w:ascii="Arial" w:hAnsi="Arial" w:cs="Arial"/>
        </w:rPr>
        <w:t>.</w:t>
      </w:r>
    </w:p>
    <w:p w14:paraId="203BB36E" w14:textId="77777777" w:rsidR="00E6406A" w:rsidRPr="00E65655" w:rsidRDefault="00E6406A" w:rsidP="00E6406A">
      <w:pPr>
        <w:pStyle w:val="PlainText"/>
        <w:widowControl w:val="0"/>
        <w:spacing w:after="140" w:line="290" w:lineRule="auto"/>
        <w:ind w:firstLine="720"/>
        <w:jc w:val="both"/>
        <w:rPr>
          <w:rFonts w:ascii="Arial" w:hAnsi="Arial" w:cs="Arial"/>
        </w:rPr>
      </w:pPr>
      <w:r w:rsidRPr="00E65655">
        <w:rPr>
          <w:rFonts w:ascii="Arial" w:hAnsi="Arial" w:cs="Arial"/>
        </w:rPr>
        <w:t>The Certificates are classified as capital markets products other than prescribed capital markets products</w:t>
      </w:r>
      <w:r w:rsidRPr="00E65655">
        <w:rPr>
          <w:rStyle w:val="FootnoteReference"/>
          <w:rFonts w:ascii="Arial" w:hAnsi="Arial" w:cs="Arial"/>
        </w:rPr>
        <w:footnoteReference w:id="1"/>
      </w:r>
      <w:r w:rsidRPr="00E65655">
        <w:rPr>
          <w:rFonts w:ascii="Arial" w:hAnsi="Arial" w:cs="Arial"/>
        </w:rPr>
        <w:t xml:space="preserve"> and Specified Investment Products (SIPs)</w:t>
      </w:r>
      <w:r w:rsidRPr="00E65655">
        <w:rPr>
          <w:rStyle w:val="FootnoteReference"/>
          <w:rFonts w:ascii="Arial" w:hAnsi="Arial" w:cs="Arial"/>
        </w:rPr>
        <w:footnoteReference w:id="2"/>
      </w:r>
      <w:r w:rsidRPr="00E65655">
        <w:rPr>
          <w:rFonts w:ascii="Arial" w:hAnsi="Arial" w:cs="Arial"/>
        </w:rPr>
        <w:t>, and may only be sold to retail investors with enhanced safeguards, including an assessment of such investors’ investment knowledge or experience.</w:t>
      </w:r>
    </w:p>
    <w:p w14:paraId="2D5F48F2" w14:textId="5DB0DD9A" w:rsidR="00E6406A" w:rsidRPr="00E65655" w:rsidRDefault="00E6406A" w:rsidP="00E6406A">
      <w:pPr>
        <w:pStyle w:val="PlainText"/>
        <w:widowControl w:val="0"/>
        <w:spacing w:after="140" w:line="290" w:lineRule="auto"/>
        <w:ind w:firstLine="720"/>
        <w:jc w:val="both"/>
        <w:rPr>
          <w:rFonts w:ascii="Arial" w:hAnsi="Arial" w:cs="Arial"/>
        </w:rPr>
      </w:pPr>
      <w:r w:rsidRPr="00E65655">
        <w:rPr>
          <w:rFonts w:ascii="Arial" w:hAnsi="Arial" w:cs="Arial"/>
        </w:rPr>
        <w:t xml:space="preserve">The Certificates constitute general unsecured obligations of the Issuer </w:t>
      </w:r>
      <w:r w:rsidR="00446232" w:rsidRPr="00E65655">
        <w:rPr>
          <w:rFonts w:ascii="Arial" w:hAnsi="Arial" w:cs="Arial"/>
        </w:rPr>
        <w:t xml:space="preserve">(in the case of any substitution of the Issuer in accordance with the Conditions of the Certificates, the Substituted Obligor as defined in the Conditions of the Certificates) </w:t>
      </w:r>
      <w:r w:rsidRPr="00E65655">
        <w:rPr>
          <w:rFonts w:ascii="Arial" w:hAnsi="Arial" w:cs="Arial"/>
        </w:rPr>
        <w:t xml:space="preserve">and of no other person, and the guarantee dated </w:t>
      </w:r>
      <w:r w:rsidR="00E37576" w:rsidRPr="00E65655">
        <w:rPr>
          <w:rFonts w:ascii="Arial" w:hAnsi="Arial" w:cs="Arial"/>
        </w:rPr>
        <w:t>1</w:t>
      </w:r>
      <w:r w:rsidR="007F6676" w:rsidRPr="00E65655">
        <w:rPr>
          <w:rFonts w:ascii="Arial" w:hAnsi="Arial" w:cs="Arial"/>
        </w:rPr>
        <w:t>3</w:t>
      </w:r>
      <w:r w:rsidR="00E37576" w:rsidRPr="00E65655">
        <w:rPr>
          <w:rFonts w:ascii="Arial" w:hAnsi="Arial" w:cs="Arial"/>
        </w:rPr>
        <w:t xml:space="preserve"> June 202</w:t>
      </w:r>
      <w:r w:rsidR="007F6676" w:rsidRPr="00E65655">
        <w:rPr>
          <w:rFonts w:ascii="Arial" w:hAnsi="Arial" w:cs="Arial"/>
        </w:rPr>
        <w:t>5</w:t>
      </w:r>
      <w:r w:rsidRPr="00E65655">
        <w:rPr>
          <w:rFonts w:ascii="Arial" w:hAnsi="Arial" w:cs="Arial"/>
        </w:rPr>
        <w:t xml:space="preserve"> (the “</w:t>
      </w:r>
      <w:r w:rsidRPr="00E65655">
        <w:rPr>
          <w:rFonts w:ascii="Arial" w:hAnsi="Arial" w:cs="Arial"/>
          <w:b/>
        </w:rPr>
        <w:t>Guarantee</w:t>
      </w:r>
      <w:r w:rsidRPr="00E65655">
        <w:rPr>
          <w:rFonts w:ascii="Arial" w:hAnsi="Arial" w:cs="Arial"/>
        </w:rPr>
        <w:t>”) and entered into by the Guarantor constitutes direct unconditional unsecured senior preferred obligations of the Guarantor and of no other person, and if you purchase the Certificates, you are relying upon the creditworthiness of the Issuer and the Guarantor and have no rights under the Certificates against any other person.</w:t>
      </w:r>
    </w:p>
    <w:p w14:paraId="3B7E386B" w14:textId="21467B47" w:rsidR="00E6406A" w:rsidRPr="00E65655" w:rsidRDefault="00E6406A" w:rsidP="00E6406A">
      <w:pPr>
        <w:pStyle w:val="PlainText"/>
        <w:widowControl w:val="0"/>
        <w:spacing w:after="140" w:line="290" w:lineRule="auto"/>
        <w:ind w:firstLine="720"/>
        <w:jc w:val="both"/>
        <w:rPr>
          <w:rFonts w:ascii="Arial" w:hAnsi="Arial" w:cs="Arial"/>
        </w:rPr>
      </w:pPr>
      <w:r w:rsidRPr="00E65655">
        <w:rPr>
          <w:rFonts w:ascii="Arial" w:hAnsi="Arial" w:cs="Arial"/>
        </w:rPr>
        <w:t xml:space="preserve">Application has been made to the SGX-ST for permission to deal in and for quotation of the Certificates and the SGX-ST has agreed in principle to grant permission to deal in and for quotation of the Certificates.  It is expected that dealings in the Certificates will commence on or about </w:t>
      </w:r>
      <w:r w:rsidR="00E912E1" w:rsidRPr="00E912E1">
        <w:rPr>
          <w:rFonts w:ascii="Arial" w:hAnsi="Arial" w:cs="Arial"/>
          <w:lang w:eastAsia="zh-CN"/>
        </w:rPr>
        <w:t xml:space="preserve">30 </w:t>
      </w:r>
      <w:r w:rsidR="009C0585">
        <w:rPr>
          <w:rFonts w:ascii="Arial" w:hAnsi="Arial" w:cs="Arial" w:hint="eastAsia"/>
          <w:lang w:eastAsia="zh-CN"/>
        </w:rPr>
        <w:t xml:space="preserve">April </w:t>
      </w:r>
      <w:r w:rsidR="00E912E1" w:rsidRPr="00E912E1">
        <w:rPr>
          <w:rFonts w:ascii="Arial" w:hAnsi="Arial" w:cs="Arial"/>
          <w:lang w:eastAsia="zh-CN"/>
        </w:rPr>
        <w:t>2026</w:t>
      </w:r>
      <w:r w:rsidRPr="00E65655">
        <w:rPr>
          <w:rFonts w:ascii="Arial" w:hAnsi="Arial" w:cs="Arial"/>
        </w:rPr>
        <w:t>.</w:t>
      </w:r>
    </w:p>
    <w:p w14:paraId="744725CD" w14:textId="77777777" w:rsidR="00E6406A" w:rsidRPr="00E65655" w:rsidRDefault="00E6406A" w:rsidP="00E6406A">
      <w:pPr>
        <w:pStyle w:val="Body"/>
        <w:keepLines w:val="0"/>
        <w:spacing w:after="140" w:line="290" w:lineRule="auto"/>
        <w:ind w:firstLine="720"/>
        <w:rPr>
          <w:rFonts w:ascii="Arial" w:hAnsi="Arial" w:cs="Arial"/>
          <w:color w:val="000000"/>
        </w:rPr>
      </w:pPr>
      <w:r w:rsidRPr="00E65655">
        <w:rPr>
          <w:rFonts w:ascii="Arial" w:hAnsi="Arial" w:cs="Arial"/>
          <w:color w:val="000000"/>
        </w:rPr>
        <w:t>As of the date hereof, the Guarantor’s long term credit rating by S&amp;P Global Ratings is A, and by Moody’s Investors Service, Inc. is A1.</w:t>
      </w:r>
    </w:p>
    <w:p w14:paraId="68822DDE" w14:textId="77777777" w:rsidR="00E6406A" w:rsidRPr="00E65655" w:rsidRDefault="00E6406A" w:rsidP="00E6406A">
      <w:pPr>
        <w:pStyle w:val="Body"/>
        <w:keepLines w:val="0"/>
        <w:spacing w:after="140" w:line="290" w:lineRule="auto"/>
        <w:ind w:firstLine="720"/>
        <w:rPr>
          <w:rFonts w:ascii="Arial" w:hAnsi="Arial" w:cs="Arial"/>
          <w:color w:val="000000"/>
        </w:rPr>
      </w:pPr>
      <w:r w:rsidRPr="00E65655">
        <w:rPr>
          <w:rFonts w:ascii="Arial" w:eastAsia="Times New Roman" w:hAnsi="Arial" w:cs="Arial"/>
        </w:rPr>
        <w:t xml:space="preserve">The Issuer is regulated by the Luxembourg Commission de Surveillance du Secteur Financier on a consolidated </w:t>
      </w:r>
      <w:proofErr w:type="gramStart"/>
      <w:r w:rsidRPr="00E65655">
        <w:rPr>
          <w:rFonts w:ascii="Arial" w:eastAsia="Times New Roman" w:hAnsi="Arial" w:cs="Arial"/>
        </w:rPr>
        <w:t>basis</w:t>
      </w:r>
      <w:proofErr w:type="gramEnd"/>
      <w:r w:rsidRPr="00E65655">
        <w:rPr>
          <w:rFonts w:ascii="Arial" w:eastAsia="Times New Roman" w:hAnsi="Arial" w:cs="Arial"/>
        </w:rPr>
        <w:t xml:space="preserve"> and the Guarantor is regulated by, </w:t>
      </w:r>
      <w:r w:rsidRPr="00E65655">
        <w:rPr>
          <w:rFonts w:ascii="Arial" w:eastAsia="Times New Roman" w:hAnsi="Arial" w:cs="Arial"/>
          <w:i/>
          <w:iCs/>
        </w:rPr>
        <w:t>inter alia</w:t>
      </w:r>
      <w:r w:rsidRPr="00E65655">
        <w:rPr>
          <w:rFonts w:ascii="Arial" w:eastAsia="Times New Roman" w:hAnsi="Arial" w:cs="Arial"/>
        </w:rPr>
        <w:t>, the Autorité des Marchés Financiers, the Autorité de Contrôle Prudentiel et de Résolution and the European Central Bank</w:t>
      </w:r>
      <w:r w:rsidRPr="00E65655">
        <w:rPr>
          <w:rFonts w:ascii="Arial" w:hAnsi="Arial" w:cs="Arial"/>
          <w:color w:val="000000"/>
        </w:rPr>
        <w:t>.</w:t>
      </w:r>
    </w:p>
    <w:p w14:paraId="256F680A" w14:textId="77777777" w:rsidR="00E15B87" w:rsidRPr="00E65655" w:rsidRDefault="00E15B87" w:rsidP="00CF49DA">
      <w:pPr>
        <w:pStyle w:val="Body"/>
        <w:keepLines w:val="0"/>
        <w:widowControl/>
        <w:spacing w:after="140" w:line="290" w:lineRule="auto"/>
        <w:rPr>
          <w:rFonts w:ascii="Arial" w:hAnsi="Arial" w:cs="Arial"/>
          <w:color w:val="000000"/>
        </w:rPr>
      </w:pPr>
    </w:p>
    <w:p w14:paraId="3DF709F2" w14:textId="77777777" w:rsidR="00E15B87" w:rsidRPr="00E65655" w:rsidRDefault="00E15B87" w:rsidP="00CF49DA">
      <w:pPr>
        <w:pStyle w:val="Body"/>
        <w:keepLines w:val="0"/>
        <w:widowControl/>
        <w:spacing w:after="140" w:line="290" w:lineRule="auto"/>
        <w:rPr>
          <w:rFonts w:ascii="Arial" w:hAnsi="Arial"/>
        </w:rPr>
      </w:pPr>
    </w:p>
    <w:p w14:paraId="4945593D" w14:textId="4CF67411" w:rsidR="004F6E28" w:rsidRPr="00E65655" w:rsidRDefault="00E92418">
      <w:pPr>
        <w:pStyle w:val="PlainText"/>
        <w:spacing w:after="140" w:line="290" w:lineRule="auto"/>
        <w:jc w:val="center"/>
        <w:rPr>
          <w:rFonts w:ascii="Arial" w:hAnsi="Arial"/>
        </w:rPr>
      </w:pPr>
      <w:r>
        <w:rPr>
          <w:rFonts w:ascii="Arial" w:hAnsi="Arial" w:cs="Arial" w:hint="eastAsia"/>
          <w:lang w:eastAsia="zh-CN"/>
        </w:rPr>
        <w:t xml:space="preserve">29 </w:t>
      </w:r>
      <w:r w:rsidR="009C0585">
        <w:rPr>
          <w:rFonts w:ascii="Arial" w:hAnsi="Arial" w:cs="Arial" w:hint="eastAsia"/>
          <w:lang w:eastAsia="zh-CN"/>
        </w:rPr>
        <w:t xml:space="preserve">April </w:t>
      </w:r>
      <w:r>
        <w:rPr>
          <w:rFonts w:ascii="Arial" w:hAnsi="Arial" w:cs="Arial" w:hint="eastAsia"/>
          <w:lang w:eastAsia="zh-CN"/>
        </w:rPr>
        <w:t>2026</w:t>
      </w:r>
    </w:p>
    <w:p w14:paraId="3ED0297A" w14:textId="60AC30EF" w:rsidR="004F6E28" w:rsidRPr="00E65655" w:rsidRDefault="004F6E28" w:rsidP="00BA2020">
      <w:pPr>
        <w:pStyle w:val="PlainText"/>
        <w:spacing w:after="140" w:line="290" w:lineRule="auto"/>
        <w:ind w:firstLine="720"/>
        <w:jc w:val="both"/>
        <w:rPr>
          <w:rFonts w:ascii="Arial" w:hAnsi="Arial"/>
        </w:rPr>
      </w:pPr>
      <w:r w:rsidRPr="00E65655">
        <w:rPr>
          <w:rFonts w:ascii="Arial" w:hAnsi="Arial"/>
        </w:rPr>
        <w:br w:type="page"/>
      </w:r>
    </w:p>
    <w:p w14:paraId="4CF4D135" w14:textId="30ED860D" w:rsidR="00BA2020" w:rsidRPr="00E65655" w:rsidRDefault="00BA2020" w:rsidP="00BA2020">
      <w:pPr>
        <w:pStyle w:val="PlainText"/>
        <w:widowControl w:val="0"/>
        <w:spacing w:after="140" w:line="290" w:lineRule="auto"/>
        <w:ind w:firstLine="720"/>
        <w:jc w:val="both"/>
        <w:rPr>
          <w:rFonts w:ascii="Arial" w:hAnsi="Arial"/>
        </w:rPr>
      </w:pPr>
      <w:r w:rsidRPr="00E65655">
        <w:rPr>
          <w:rFonts w:ascii="Arial" w:hAnsi="Arial"/>
        </w:rPr>
        <w:lastRenderedPageBreak/>
        <w:t>Subject as set out below, the Issuer and the Guarantor accept full responsibility for the accuracy of the information contained in this document</w:t>
      </w:r>
      <w:r w:rsidR="00D36A0C" w:rsidRPr="00E65655">
        <w:rPr>
          <w:rFonts w:ascii="Arial" w:hAnsi="Arial"/>
        </w:rPr>
        <w:t xml:space="preserve"> and</w:t>
      </w:r>
      <w:r w:rsidR="009B4410" w:rsidRPr="00E65655">
        <w:rPr>
          <w:rFonts w:ascii="Arial" w:hAnsi="Arial"/>
        </w:rPr>
        <w:t xml:space="preserve"> </w:t>
      </w:r>
      <w:r w:rsidRPr="00E65655">
        <w:rPr>
          <w:rFonts w:ascii="Arial" w:hAnsi="Arial"/>
        </w:rPr>
        <w:t>the Base Listing Document in relation to themselves and the Certificates. To the best of the knowledge and belief of the Issuer and the Guarantor (each of which has taken all reasonable care to ensure that such is the case), the information contained in this document</w:t>
      </w:r>
      <w:r w:rsidR="00D36A0C" w:rsidRPr="00E65655">
        <w:rPr>
          <w:rFonts w:ascii="Arial" w:hAnsi="Arial"/>
        </w:rPr>
        <w:t xml:space="preserve"> and</w:t>
      </w:r>
      <w:r w:rsidRPr="00E65655">
        <w:rPr>
          <w:rFonts w:ascii="Arial" w:hAnsi="Arial"/>
        </w:rPr>
        <w:t xml:space="preserve"> the Base Listing Document for which they accept responsibility (subject as set out below in respect of the information contained herein with regard to the Company) is in accordance with the facts and does not omit anything likely to affect the import of such information. The information </w:t>
      </w:r>
      <w:proofErr w:type="gramStart"/>
      <w:r w:rsidRPr="00E65655">
        <w:rPr>
          <w:rFonts w:ascii="Arial" w:hAnsi="Arial"/>
        </w:rPr>
        <w:t>with regard to</w:t>
      </w:r>
      <w:proofErr w:type="gramEnd"/>
      <w:r w:rsidRPr="00E65655">
        <w:rPr>
          <w:rFonts w:ascii="Arial" w:hAnsi="Arial"/>
        </w:rPr>
        <w:t xml:space="preserve"> the Company as set out herein is extracted from publicly available information. The Issuer and the Guarantor accept responsibility only for the accurate reproduction of such information. No further or other responsibility or liability in respect of such information is accepted by the Issuer and the Guarantor.</w:t>
      </w:r>
    </w:p>
    <w:p w14:paraId="670AB804" w14:textId="77777777" w:rsidR="00BA2020" w:rsidRPr="00E65655" w:rsidRDefault="00BA2020" w:rsidP="00BA2020">
      <w:pPr>
        <w:pStyle w:val="PlainText"/>
        <w:widowControl w:val="0"/>
        <w:spacing w:after="140" w:line="290" w:lineRule="auto"/>
        <w:ind w:firstLine="720"/>
        <w:jc w:val="both"/>
        <w:rPr>
          <w:rFonts w:ascii="Arial" w:hAnsi="Arial"/>
        </w:rPr>
      </w:pPr>
      <w:r w:rsidRPr="00E65655">
        <w:rPr>
          <w:rFonts w:ascii="Arial" w:hAnsi="Arial"/>
        </w:rPr>
        <w:t>No person has been authorised to give any information or to make any representation other than those contained in this document in connection with the offering of the Certificates, and, if given or made, such information or representations must not be relied upon as having been authorised by the Issuer or the Guarantor. Neither the delivery of this document nor any sale made hereunder shall under any circumstances create any implication that there has been no change in the affairs of the Issuer, the Guarantor or their respective subsidiaries and associates since the date hereof.</w:t>
      </w:r>
    </w:p>
    <w:p w14:paraId="21426286" w14:textId="1EFA315A" w:rsidR="00BA2020" w:rsidRPr="00E65655" w:rsidRDefault="00BA2020" w:rsidP="00BA2020">
      <w:pPr>
        <w:pStyle w:val="PlainText"/>
        <w:widowControl w:val="0"/>
        <w:spacing w:after="140" w:line="290" w:lineRule="auto"/>
        <w:ind w:firstLine="720"/>
        <w:jc w:val="both"/>
        <w:rPr>
          <w:rFonts w:ascii="Arial" w:hAnsi="Arial"/>
        </w:rPr>
      </w:pPr>
      <w:r w:rsidRPr="00E65655">
        <w:rPr>
          <w:rFonts w:ascii="Arial" w:hAnsi="Arial"/>
        </w:rPr>
        <w:t>This document does not constitute an offer or invitation by or on behalf of the Issuer or the Guarantor to purchase or subscribe for any of the Certificates. The distribution of this document and the offering of the Certificates may, in certain jurisdictions, be restricted by law. The Issuer and the Guarantor require persons into whose possession this document comes to inform themselves of and observe all such restrictions. In particular, the Certificates and the Guarantee have not been and will not be registered under the United States Securities Act of 1933, as amended or any state securities law, and trading in the Certificates has not been approved by the United States Commodity Futures Trading Commission (the “</w:t>
      </w:r>
      <w:r w:rsidRPr="00E65655">
        <w:rPr>
          <w:rFonts w:ascii="Arial" w:hAnsi="Arial"/>
          <w:b/>
        </w:rPr>
        <w:t>CFTC</w:t>
      </w:r>
      <w:r w:rsidRPr="00E65655">
        <w:rPr>
          <w:rFonts w:ascii="Arial" w:hAnsi="Arial"/>
        </w:rPr>
        <w:t>”) under the United States Commodity Exchange Act of 1936, as amended and the Issuer</w:t>
      </w:r>
      <w:r w:rsidR="00753E53" w:rsidRPr="00E65655">
        <w:rPr>
          <w:rFonts w:ascii="Arial" w:hAnsi="Arial"/>
        </w:rPr>
        <w:t xml:space="preserve"> has not been and</w:t>
      </w:r>
      <w:r w:rsidRPr="00E65655">
        <w:rPr>
          <w:rFonts w:ascii="Arial" w:hAnsi="Arial"/>
        </w:rPr>
        <w:t xml:space="preserve"> will not be registered as an investment company under the United States Investment Company Act of 1940, as amended, and the rules and regulations thereunder. None of the Securities and Exchange Commission, any state securities commission or regulatory authority or any other United States, French or other regulatory authority has approved or disapproved of the Certificates or the Guarantee or passed upon the accuracy or adequacy of this document. Accordingly, Certificates, or interests therein, may not at any time be offered, sold, resold, traded, pledged, exercised, redeemed, transferred or delivered, directly or indirectly, in the United States or to, or for the account or benefit of, U.S. persons, nor may any U.S. person at any time trade, own, hold or maintain a position in the Certificates or any interests therein. In addition, in the absence of relief from the CFTC, offers, sales, re-sales, trades, pledges, exercises, redemptions, transfers or deliveries of Certificates, or interests therein, directly or indirectly, in the United States or to, or for the account or benefit of, U.S. persons, may constitute a violation of United States law governing commodities trading and commodity pools. Consequently, any offer, sale, resale, trade, pledge, exercise, redemption, transfer or delivery made, directly or indirectly, within the United States or to, or for the account or benefit of, a U.S. person will not be recognised.  A further description of certain restrictions on offering and sale of the Certificates and distribution of this document is given in the section headed “Placing and Sale” contained herein.</w:t>
      </w:r>
    </w:p>
    <w:p w14:paraId="0ACA65D5" w14:textId="77777777" w:rsidR="00BA2020" w:rsidRPr="00E65655" w:rsidRDefault="00BA2020" w:rsidP="00BA2020">
      <w:pPr>
        <w:pStyle w:val="PlainText"/>
        <w:widowControl w:val="0"/>
        <w:spacing w:after="140" w:line="290" w:lineRule="auto"/>
        <w:ind w:firstLine="720"/>
        <w:jc w:val="both"/>
        <w:rPr>
          <w:rFonts w:ascii="Arial" w:hAnsi="Arial"/>
        </w:rPr>
      </w:pPr>
      <w:r w:rsidRPr="00E65655">
        <w:rPr>
          <w:rFonts w:ascii="Arial" w:hAnsi="Arial"/>
        </w:rPr>
        <w:t>The SGX-ST has made no assessment of, nor taken any responsibility for, the financial soundness of the Issuer or the Guarantor or the merits of investing in the Certificates, nor have they verified the accuracy or the truthfulness of statements made or opinions expressed in this document.</w:t>
      </w:r>
    </w:p>
    <w:p w14:paraId="11B143DF" w14:textId="77777777" w:rsidR="00BA2020" w:rsidRPr="00E65655" w:rsidRDefault="00BA2020" w:rsidP="00BA2020">
      <w:pPr>
        <w:pStyle w:val="PlainText"/>
        <w:widowControl w:val="0"/>
        <w:spacing w:after="140" w:line="290" w:lineRule="auto"/>
        <w:ind w:firstLine="720"/>
        <w:jc w:val="both"/>
        <w:rPr>
          <w:rFonts w:ascii="Arial" w:hAnsi="Arial"/>
        </w:rPr>
      </w:pPr>
      <w:r w:rsidRPr="00E65655">
        <w:rPr>
          <w:rFonts w:ascii="Arial" w:hAnsi="Arial"/>
        </w:rPr>
        <w:t xml:space="preserve">The Issuer, the Guarantor and/or any of their affiliates may repurchase Certificates at any time on or after the date of issue and any Certificates so repurchased may be offered from time to time in one or more transactions in the over-the-counter market or otherwise at prevailing market prices or in </w:t>
      </w:r>
      <w:r w:rsidRPr="00E65655">
        <w:rPr>
          <w:rFonts w:ascii="Arial" w:hAnsi="Arial"/>
        </w:rPr>
        <w:lastRenderedPageBreak/>
        <w:t>negotiated transactions, at the discretion of the Issuer, the Guarantor and/or any of their affiliates. Investors should not therefore make any assumption as to the number of Certificates in issue at any time.</w:t>
      </w:r>
    </w:p>
    <w:p w14:paraId="58856AEC" w14:textId="17E013D4" w:rsidR="00BA2020" w:rsidRPr="00E65655" w:rsidRDefault="00BA2020" w:rsidP="00BA2020">
      <w:pPr>
        <w:pStyle w:val="PlainText"/>
        <w:widowControl w:val="0"/>
        <w:spacing w:after="140" w:line="290" w:lineRule="auto"/>
        <w:ind w:firstLine="720"/>
        <w:jc w:val="both"/>
        <w:rPr>
          <w:rFonts w:ascii="Arial" w:hAnsi="Arial"/>
        </w:rPr>
      </w:pPr>
      <w:r w:rsidRPr="00E65655">
        <w:rPr>
          <w:rFonts w:ascii="Arial" w:hAnsi="Arial"/>
        </w:rPr>
        <w:t>References in this document to the “</w:t>
      </w:r>
      <w:r w:rsidRPr="00E65655">
        <w:rPr>
          <w:rFonts w:ascii="Arial" w:hAnsi="Arial"/>
          <w:b/>
        </w:rPr>
        <w:t>Conditions</w:t>
      </w:r>
      <w:r w:rsidRPr="00E65655">
        <w:rPr>
          <w:rFonts w:ascii="Arial" w:hAnsi="Arial"/>
        </w:rPr>
        <w:t>” shall mean references to the Terms and Conditions of the European Style Cash Settled Long/Short Certificates</w:t>
      </w:r>
      <w:r w:rsidRPr="00E65655">
        <w:rPr>
          <w:rFonts w:ascii="Arial" w:hAnsi="Arial" w:hint="eastAsia"/>
        </w:rPr>
        <w:t xml:space="preserve"> </w:t>
      </w:r>
      <w:r w:rsidRPr="00E65655">
        <w:rPr>
          <w:rFonts w:ascii="Arial" w:hAnsi="Arial"/>
        </w:rPr>
        <w:t xml:space="preserve">on Single Equities contained in the </w:t>
      </w:r>
      <w:r w:rsidR="00D36A0C" w:rsidRPr="00E65655">
        <w:rPr>
          <w:rFonts w:ascii="Arial" w:hAnsi="Arial"/>
        </w:rPr>
        <w:t>Base Listing Document</w:t>
      </w:r>
      <w:r w:rsidRPr="00E65655">
        <w:rPr>
          <w:rFonts w:ascii="Arial" w:hAnsi="Arial"/>
        </w:rPr>
        <w:t>.  Terms not defined herein shall have the meanings ascribed thereto in the Conditions.</w:t>
      </w:r>
    </w:p>
    <w:p w14:paraId="250BAEE9" w14:textId="77777777" w:rsidR="008D1F76" w:rsidRPr="00E65655" w:rsidRDefault="004F6E28" w:rsidP="008D1F76">
      <w:pPr>
        <w:pStyle w:val="PlainText"/>
        <w:tabs>
          <w:tab w:val="right" w:pos="9360"/>
        </w:tabs>
        <w:spacing w:after="140" w:line="290" w:lineRule="auto"/>
        <w:jc w:val="center"/>
        <w:rPr>
          <w:rFonts w:ascii="Arial" w:hAnsi="Arial"/>
          <w:b/>
        </w:rPr>
      </w:pPr>
      <w:r w:rsidRPr="00E65655">
        <w:rPr>
          <w:rFonts w:ascii="Arial" w:hAnsi="Arial"/>
        </w:rPr>
        <w:br w:type="page"/>
      </w:r>
      <w:r w:rsidR="008D1F76" w:rsidRPr="00E65655">
        <w:rPr>
          <w:rFonts w:ascii="Arial" w:hAnsi="Arial"/>
          <w:b/>
        </w:rPr>
        <w:lastRenderedPageBreak/>
        <w:t>Table of Contents</w:t>
      </w:r>
    </w:p>
    <w:p w14:paraId="4C41D458" w14:textId="159512EA" w:rsidR="008D1F76" w:rsidRPr="00E65655" w:rsidRDefault="008D1F76" w:rsidP="00CF49DA">
      <w:pPr>
        <w:pStyle w:val="PlainText"/>
        <w:tabs>
          <w:tab w:val="right" w:pos="-270"/>
          <w:tab w:val="right" w:pos="9000"/>
        </w:tabs>
        <w:spacing w:after="140" w:line="290" w:lineRule="auto"/>
        <w:jc w:val="center"/>
        <w:rPr>
          <w:rFonts w:ascii="Arial" w:hAnsi="Arial"/>
          <w:i/>
        </w:rPr>
      </w:pPr>
      <w:r w:rsidRPr="00E65655">
        <w:rPr>
          <w:rFonts w:ascii="Arial" w:hAnsi="Arial"/>
        </w:rPr>
        <w:tab/>
      </w:r>
      <w:r w:rsidRPr="00E65655">
        <w:rPr>
          <w:rFonts w:ascii="Arial" w:hAnsi="Arial"/>
          <w:i/>
        </w:rPr>
        <w:t>Page</w:t>
      </w:r>
    </w:p>
    <w:p w14:paraId="4F7B966D" w14:textId="77777777" w:rsidR="002C269D" w:rsidRPr="00E65655" w:rsidRDefault="002C269D" w:rsidP="002C269D">
      <w:pPr>
        <w:pStyle w:val="PlainText"/>
        <w:tabs>
          <w:tab w:val="right" w:pos="9000"/>
        </w:tabs>
        <w:spacing w:after="140" w:line="290" w:lineRule="auto"/>
        <w:jc w:val="both"/>
        <w:rPr>
          <w:rFonts w:ascii="Arial" w:hAnsi="Arial"/>
          <w:b/>
        </w:rPr>
      </w:pPr>
      <w:r w:rsidRPr="00E65655">
        <w:rPr>
          <w:rFonts w:ascii="Arial" w:hAnsi="Arial"/>
          <w:b/>
        </w:rPr>
        <w:t>Risk Factors</w:t>
      </w:r>
      <w:r w:rsidRPr="00E65655">
        <w:rPr>
          <w:rFonts w:ascii="Arial" w:hAnsi="Arial"/>
          <w:b/>
        </w:rPr>
        <w:tab/>
        <w:t>6</w:t>
      </w:r>
    </w:p>
    <w:p w14:paraId="5346A186" w14:textId="3EC5EB62" w:rsidR="002C269D" w:rsidRPr="00E65655" w:rsidRDefault="002C269D" w:rsidP="002C269D">
      <w:pPr>
        <w:pStyle w:val="PlainText"/>
        <w:tabs>
          <w:tab w:val="right" w:pos="9000"/>
        </w:tabs>
        <w:spacing w:after="140" w:line="290" w:lineRule="auto"/>
        <w:jc w:val="both"/>
        <w:rPr>
          <w:rFonts w:ascii="Arial" w:hAnsi="Arial"/>
          <w:b/>
        </w:rPr>
      </w:pPr>
      <w:r w:rsidRPr="00E65655">
        <w:rPr>
          <w:rFonts w:ascii="Arial" w:hAnsi="Arial"/>
          <w:b/>
        </w:rPr>
        <w:t>Terms and Conditions of the Certificates</w:t>
      </w:r>
      <w:r w:rsidRPr="00E65655">
        <w:rPr>
          <w:rFonts w:ascii="Arial" w:hAnsi="Arial"/>
          <w:b/>
        </w:rPr>
        <w:tab/>
        <w:t>1</w:t>
      </w:r>
      <w:r w:rsidR="00F7372B" w:rsidRPr="00E65655">
        <w:rPr>
          <w:rFonts w:ascii="Arial" w:hAnsi="Arial"/>
          <w:b/>
        </w:rPr>
        <w:t>6</w:t>
      </w:r>
    </w:p>
    <w:p w14:paraId="57AF67EC" w14:textId="480580F7" w:rsidR="002C269D" w:rsidRPr="00E65655" w:rsidRDefault="002C269D" w:rsidP="002C269D">
      <w:pPr>
        <w:pStyle w:val="PlainText"/>
        <w:tabs>
          <w:tab w:val="right" w:pos="9000"/>
        </w:tabs>
        <w:spacing w:after="140" w:line="290" w:lineRule="auto"/>
        <w:ind w:right="1199"/>
        <w:jc w:val="both"/>
        <w:rPr>
          <w:rFonts w:ascii="Arial" w:hAnsi="Arial"/>
          <w:b/>
        </w:rPr>
      </w:pPr>
      <w:r w:rsidRPr="00E65655">
        <w:rPr>
          <w:rFonts w:ascii="Arial" w:hAnsi="Arial"/>
          <w:b/>
        </w:rPr>
        <w:t>Terms and Conditions of the European Style Cash Settled Long/Short Certificates</w:t>
      </w:r>
      <w:r w:rsidRPr="00E65655">
        <w:rPr>
          <w:rFonts w:ascii="Arial" w:hAnsi="Arial" w:hint="eastAsia"/>
          <w:b/>
        </w:rPr>
        <w:t xml:space="preserve"> </w:t>
      </w:r>
      <w:r w:rsidR="00EA3EE8" w:rsidRPr="00E65655">
        <w:rPr>
          <w:rFonts w:ascii="Arial" w:hAnsi="Arial"/>
          <w:b/>
        </w:rPr>
        <w:t>on Single Equities</w:t>
      </w:r>
      <w:r w:rsidR="00EA3EE8" w:rsidRPr="00E65655">
        <w:rPr>
          <w:rFonts w:ascii="Arial" w:hAnsi="Arial"/>
          <w:b/>
        </w:rPr>
        <w:tab/>
        <w:t>2</w:t>
      </w:r>
      <w:r w:rsidR="00F7372B" w:rsidRPr="00E65655">
        <w:rPr>
          <w:rFonts w:ascii="Arial" w:hAnsi="Arial"/>
          <w:b/>
        </w:rPr>
        <w:t>7</w:t>
      </w:r>
    </w:p>
    <w:p w14:paraId="7F32A531" w14:textId="7C3ED9F8" w:rsidR="002C269D" w:rsidRPr="00E65655" w:rsidRDefault="00EA3EE8" w:rsidP="002C269D">
      <w:pPr>
        <w:pStyle w:val="PlainText"/>
        <w:tabs>
          <w:tab w:val="right" w:pos="9000"/>
        </w:tabs>
        <w:spacing w:after="140" w:line="290" w:lineRule="auto"/>
        <w:jc w:val="both"/>
        <w:rPr>
          <w:rFonts w:ascii="Arial" w:hAnsi="Arial"/>
          <w:b/>
        </w:rPr>
      </w:pPr>
      <w:r w:rsidRPr="00E65655">
        <w:rPr>
          <w:rFonts w:ascii="Arial" w:hAnsi="Arial"/>
          <w:b/>
        </w:rPr>
        <w:t>Summary of the Issue</w:t>
      </w:r>
      <w:r w:rsidRPr="00E65655">
        <w:rPr>
          <w:rFonts w:ascii="Arial" w:hAnsi="Arial"/>
          <w:b/>
        </w:rPr>
        <w:tab/>
      </w:r>
      <w:r w:rsidR="00310637" w:rsidRPr="00E65655">
        <w:rPr>
          <w:rFonts w:ascii="Arial" w:hAnsi="Arial"/>
          <w:b/>
        </w:rPr>
        <w:t>4</w:t>
      </w:r>
      <w:r w:rsidR="00F7372B" w:rsidRPr="00E65655">
        <w:rPr>
          <w:rFonts w:ascii="Arial" w:hAnsi="Arial"/>
          <w:b/>
        </w:rPr>
        <w:t>3</w:t>
      </w:r>
    </w:p>
    <w:p w14:paraId="54F84E8C" w14:textId="49D2D014" w:rsidR="002C269D" w:rsidRPr="00E65655" w:rsidRDefault="002C269D" w:rsidP="002C269D">
      <w:pPr>
        <w:pStyle w:val="PlainText"/>
        <w:tabs>
          <w:tab w:val="right" w:pos="9000"/>
        </w:tabs>
        <w:spacing w:after="140" w:line="290" w:lineRule="auto"/>
        <w:ind w:right="1199"/>
        <w:jc w:val="both"/>
        <w:rPr>
          <w:rFonts w:ascii="Arial" w:hAnsi="Arial"/>
          <w:b/>
        </w:rPr>
      </w:pPr>
      <w:r w:rsidRPr="00E65655">
        <w:rPr>
          <w:rFonts w:ascii="Arial" w:hAnsi="Arial"/>
          <w:b/>
        </w:rPr>
        <w:t>Information relating to the European Style Cash Settled Short Ce</w:t>
      </w:r>
      <w:r w:rsidR="00EA3EE8" w:rsidRPr="00E65655">
        <w:rPr>
          <w:rFonts w:ascii="Arial" w:hAnsi="Arial"/>
          <w:b/>
        </w:rPr>
        <w:t>rtificates on Single Equities</w:t>
      </w:r>
      <w:r w:rsidR="00EA3EE8" w:rsidRPr="00E65655">
        <w:rPr>
          <w:rFonts w:ascii="Arial" w:hAnsi="Arial"/>
          <w:b/>
        </w:rPr>
        <w:tab/>
        <w:t>4</w:t>
      </w:r>
      <w:r w:rsidR="00F7372B" w:rsidRPr="00E65655">
        <w:rPr>
          <w:rFonts w:ascii="Arial" w:hAnsi="Arial"/>
          <w:b/>
        </w:rPr>
        <w:t>5</w:t>
      </w:r>
    </w:p>
    <w:p w14:paraId="54EA338A" w14:textId="17F6DC10" w:rsidR="002C269D" w:rsidRPr="00E65655" w:rsidRDefault="002C269D" w:rsidP="002C269D">
      <w:pPr>
        <w:pStyle w:val="PlainText"/>
        <w:tabs>
          <w:tab w:val="right" w:pos="9000"/>
        </w:tabs>
        <w:spacing w:after="140" w:line="290" w:lineRule="auto"/>
        <w:jc w:val="both"/>
        <w:rPr>
          <w:rFonts w:ascii="Arial" w:hAnsi="Arial"/>
          <w:b/>
        </w:rPr>
      </w:pPr>
      <w:r w:rsidRPr="00E65655">
        <w:rPr>
          <w:rFonts w:ascii="Arial" w:hAnsi="Arial"/>
          <w:b/>
        </w:rPr>
        <w:t>Inform</w:t>
      </w:r>
      <w:r w:rsidR="002636CF" w:rsidRPr="00E65655">
        <w:rPr>
          <w:rFonts w:ascii="Arial" w:hAnsi="Arial"/>
          <w:b/>
        </w:rPr>
        <w:t>ation relating to the Company</w:t>
      </w:r>
      <w:r w:rsidR="002636CF" w:rsidRPr="00E65655">
        <w:rPr>
          <w:rFonts w:ascii="Arial" w:hAnsi="Arial"/>
          <w:b/>
        </w:rPr>
        <w:tab/>
      </w:r>
      <w:r w:rsidR="00F7372B" w:rsidRPr="00E65655">
        <w:rPr>
          <w:rFonts w:ascii="Arial" w:hAnsi="Arial"/>
          <w:b/>
        </w:rPr>
        <w:t>60</w:t>
      </w:r>
    </w:p>
    <w:p w14:paraId="37C81771" w14:textId="64FE3D3B" w:rsidR="002C269D" w:rsidRPr="00E65655" w:rsidRDefault="002C269D" w:rsidP="002C269D">
      <w:pPr>
        <w:pStyle w:val="PlainText"/>
        <w:tabs>
          <w:tab w:val="right" w:pos="9000"/>
        </w:tabs>
        <w:spacing w:after="140" w:line="290" w:lineRule="auto"/>
        <w:jc w:val="both"/>
        <w:rPr>
          <w:rFonts w:ascii="Arial" w:hAnsi="Arial"/>
          <w:b/>
        </w:rPr>
      </w:pPr>
      <w:r w:rsidRPr="00E65655">
        <w:rPr>
          <w:rFonts w:ascii="Arial" w:hAnsi="Arial"/>
          <w:b/>
        </w:rPr>
        <w:t>Information relating to the D</w:t>
      </w:r>
      <w:r w:rsidR="002636CF" w:rsidRPr="00E65655">
        <w:rPr>
          <w:rFonts w:ascii="Arial" w:hAnsi="Arial"/>
          <w:b/>
        </w:rPr>
        <w:t>esignated Market Maker</w:t>
      </w:r>
      <w:r w:rsidR="002636CF" w:rsidRPr="00E65655">
        <w:rPr>
          <w:rFonts w:ascii="Arial" w:hAnsi="Arial"/>
          <w:b/>
        </w:rPr>
        <w:tab/>
      </w:r>
      <w:r w:rsidR="00F657D2" w:rsidRPr="00E65655">
        <w:rPr>
          <w:rFonts w:ascii="Arial" w:hAnsi="Arial"/>
          <w:b/>
        </w:rPr>
        <w:t>6</w:t>
      </w:r>
      <w:r w:rsidR="00F7372B" w:rsidRPr="00E65655">
        <w:rPr>
          <w:rFonts w:ascii="Arial" w:hAnsi="Arial"/>
          <w:b/>
        </w:rPr>
        <w:t>1</w:t>
      </w:r>
    </w:p>
    <w:p w14:paraId="09BB11AE" w14:textId="331FDB89" w:rsidR="00C00998" w:rsidRPr="00E65655" w:rsidRDefault="00C00998" w:rsidP="002C269D">
      <w:pPr>
        <w:pStyle w:val="PlainText"/>
        <w:tabs>
          <w:tab w:val="right" w:pos="9000"/>
        </w:tabs>
        <w:spacing w:after="140" w:line="290" w:lineRule="auto"/>
        <w:jc w:val="both"/>
        <w:rPr>
          <w:rFonts w:ascii="Arial" w:hAnsi="Arial"/>
          <w:b/>
          <w:lang w:eastAsia="zh-CN"/>
        </w:rPr>
      </w:pPr>
      <w:r w:rsidRPr="00E65655">
        <w:rPr>
          <w:rFonts w:ascii="Arial" w:hAnsi="Arial" w:hint="eastAsia"/>
          <w:b/>
          <w:lang w:eastAsia="zh-CN"/>
        </w:rPr>
        <w:t>Supplemental Information relating to the Issuer</w:t>
      </w:r>
      <w:r w:rsidRPr="00E65655">
        <w:rPr>
          <w:rFonts w:ascii="Arial" w:hAnsi="Arial"/>
          <w:b/>
          <w:lang w:eastAsia="zh-CN"/>
        </w:rPr>
        <w:tab/>
      </w:r>
      <w:r w:rsidRPr="00E65655">
        <w:rPr>
          <w:rFonts w:ascii="Arial" w:hAnsi="Arial" w:hint="eastAsia"/>
          <w:b/>
          <w:lang w:eastAsia="zh-CN"/>
        </w:rPr>
        <w:t>62</w:t>
      </w:r>
    </w:p>
    <w:p w14:paraId="2A44CB59" w14:textId="0FCAE3AE" w:rsidR="00C00998" w:rsidRPr="00E65655" w:rsidRDefault="00C00998" w:rsidP="002C269D">
      <w:pPr>
        <w:pStyle w:val="PlainText"/>
        <w:tabs>
          <w:tab w:val="right" w:pos="9000"/>
        </w:tabs>
        <w:spacing w:after="140" w:line="290" w:lineRule="auto"/>
        <w:jc w:val="both"/>
        <w:rPr>
          <w:rFonts w:ascii="Arial" w:hAnsi="Arial"/>
          <w:b/>
          <w:lang w:eastAsia="zh-CN"/>
        </w:rPr>
      </w:pPr>
      <w:r w:rsidRPr="00E65655">
        <w:rPr>
          <w:rFonts w:ascii="Arial" w:hAnsi="Arial" w:hint="eastAsia"/>
          <w:b/>
          <w:lang w:eastAsia="zh-CN"/>
        </w:rPr>
        <w:t>Supplemental Information relating to the Guarantor</w:t>
      </w:r>
      <w:r w:rsidRPr="00E65655">
        <w:rPr>
          <w:rFonts w:ascii="Arial" w:hAnsi="Arial"/>
          <w:b/>
          <w:lang w:eastAsia="zh-CN"/>
        </w:rPr>
        <w:tab/>
      </w:r>
      <w:r w:rsidR="006F5652" w:rsidRPr="00E65655">
        <w:rPr>
          <w:rFonts w:ascii="Arial" w:hAnsi="Arial" w:hint="eastAsia"/>
          <w:b/>
          <w:lang w:eastAsia="zh-CN"/>
        </w:rPr>
        <w:t>63</w:t>
      </w:r>
    </w:p>
    <w:p w14:paraId="0AD1E107" w14:textId="482807BA" w:rsidR="002C269D" w:rsidRPr="00E65655" w:rsidRDefault="002C269D" w:rsidP="002C269D">
      <w:pPr>
        <w:pStyle w:val="PlainText"/>
        <w:tabs>
          <w:tab w:val="right" w:pos="9000"/>
        </w:tabs>
        <w:spacing w:after="140" w:line="290" w:lineRule="auto"/>
        <w:jc w:val="both"/>
        <w:rPr>
          <w:rFonts w:ascii="Arial" w:hAnsi="Arial"/>
          <w:b/>
          <w:lang w:eastAsia="zh-CN"/>
        </w:rPr>
      </w:pPr>
      <w:r w:rsidRPr="00E65655">
        <w:rPr>
          <w:rFonts w:ascii="Arial" w:hAnsi="Arial"/>
          <w:b/>
        </w:rPr>
        <w:t>Sup</w:t>
      </w:r>
      <w:r w:rsidR="002636CF" w:rsidRPr="00E65655">
        <w:rPr>
          <w:rFonts w:ascii="Arial" w:hAnsi="Arial"/>
          <w:b/>
        </w:rPr>
        <w:t>plemental General Information</w:t>
      </w:r>
      <w:r w:rsidR="002636CF" w:rsidRPr="00E65655">
        <w:rPr>
          <w:rFonts w:ascii="Arial" w:hAnsi="Arial"/>
          <w:b/>
        </w:rPr>
        <w:tab/>
        <w:t>6</w:t>
      </w:r>
      <w:r w:rsidR="006F5652" w:rsidRPr="00E65655">
        <w:rPr>
          <w:rFonts w:ascii="Arial" w:hAnsi="Arial" w:hint="eastAsia"/>
          <w:b/>
          <w:lang w:eastAsia="zh-CN"/>
        </w:rPr>
        <w:t>4</w:t>
      </w:r>
    </w:p>
    <w:p w14:paraId="30B27561" w14:textId="73B6ADA4" w:rsidR="002C269D" w:rsidRPr="00E65655" w:rsidRDefault="002636CF" w:rsidP="002C269D">
      <w:pPr>
        <w:pStyle w:val="PlainText"/>
        <w:tabs>
          <w:tab w:val="right" w:pos="9000"/>
        </w:tabs>
        <w:spacing w:after="140" w:line="290" w:lineRule="auto"/>
        <w:jc w:val="both"/>
        <w:rPr>
          <w:rFonts w:ascii="Arial" w:hAnsi="Arial"/>
          <w:b/>
          <w:lang w:eastAsia="zh-CN"/>
        </w:rPr>
      </w:pPr>
      <w:r w:rsidRPr="00E65655">
        <w:rPr>
          <w:rFonts w:ascii="Arial" w:hAnsi="Arial"/>
          <w:b/>
        </w:rPr>
        <w:t>Placing and Sale</w:t>
      </w:r>
      <w:r w:rsidRPr="00E65655">
        <w:rPr>
          <w:rFonts w:ascii="Arial" w:hAnsi="Arial"/>
          <w:b/>
        </w:rPr>
        <w:tab/>
        <w:t>6</w:t>
      </w:r>
      <w:r w:rsidR="006F5652" w:rsidRPr="00E65655">
        <w:rPr>
          <w:rFonts w:ascii="Arial" w:hAnsi="Arial" w:hint="eastAsia"/>
          <w:b/>
          <w:lang w:eastAsia="zh-CN"/>
        </w:rPr>
        <w:t>6</w:t>
      </w:r>
    </w:p>
    <w:p w14:paraId="53C484B4" w14:textId="2A3DB57F" w:rsidR="00894DEB" w:rsidRPr="00E65655" w:rsidRDefault="002C269D" w:rsidP="007F2B76">
      <w:pPr>
        <w:pStyle w:val="PlainText"/>
        <w:tabs>
          <w:tab w:val="right" w:pos="8914"/>
        </w:tabs>
        <w:spacing w:after="140" w:line="290" w:lineRule="auto"/>
        <w:jc w:val="both"/>
        <w:rPr>
          <w:rFonts w:ascii="Arial" w:hAnsi="Arial"/>
          <w:b/>
          <w:lang w:eastAsia="zh-CN"/>
        </w:rPr>
      </w:pPr>
      <w:r w:rsidRPr="00E65655">
        <w:rPr>
          <w:rFonts w:ascii="Arial" w:hAnsi="Arial" w:hint="eastAsia"/>
          <w:b/>
          <w:lang w:eastAsia="zh-CN"/>
        </w:rPr>
        <w:t>Appendix</w:t>
      </w:r>
      <w:r w:rsidR="00B51524" w:rsidRPr="00E65655">
        <w:rPr>
          <w:rFonts w:ascii="Arial" w:hAnsi="Arial" w:hint="eastAsia"/>
          <w:b/>
          <w:lang w:eastAsia="zh-CN"/>
        </w:rPr>
        <w:t xml:space="preserve"> I</w:t>
      </w:r>
    </w:p>
    <w:p w14:paraId="7041FC0A" w14:textId="4B5B359C" w:rsidR="00B51524" w:rsidRPr="00E65655" w:rsidRDefault="00B51524" w:rsidP="007F2B76">
      <w:pPr>
        <w:pStyle w:val="PlainText"/>
        <w:tabs>
          <w:tab w:val="right" w:pos="8914"/>
        </w:tabs>
        <w:spacing w:after="140" w:line="290" w:lineRule="auto"/>
        <w:jc w:val="both"/>
        <w:rPr>
          <w:rFonts w:ascii="Arial" w:hAnsi="Arial"/>
          <w:b/>
          <w:lang w:eastAsia="zh-CN"/>
        </w:rPr>
      </w:pPr>
      <w:r w:rsidRPr="00E65655">
        <w:rPr>
          <w:rFonts w:ascii="Arial" w:hAnsi="Arial" w:hint="eastAsia"/>
          <w:b/>
          <w:lang w:eastAsia="zh-CN"/>
        </w:rPr>
        <w:t>Appendix II</w:t>
      </w:r>
    </w:p>
    <w:p w14:paraId="619519ED" w14:textId="408F240E" w:rsidR="00B51524" w:rsidRPr="00E65655" w:rsidRDefault="00B51524" w:rsidP="007F2B76">
      <w:pPr>
        <w:pStyle w:val="PlainText"/>
        <w:tabs>
          <w:tab w:val="right" w:pos="8914"/>
        </w:tabs>
        <w:spacing w:after="140" w:line="290" w:lineRule="auto"/>
        <w:jc w:val="both"/>
        <w:rPr>
          <w:rFonts w:ascii="Arial" w:hAnsi="Arial"/>
          <w:b/>
          <w:lang w:eastAsia="zh-CN"/>
        </w:rPr>
      </w:pPr>
      <w:r w:rsidRPr="00E65655">
        <w:rPr>
          <w:rFonts w:ascii="Arial" w:hAnsi="Arial" w:hint="eastAsia"/>
          <w:b/>
          <w:lang w:eastAsia="zh-CN"/>
        </w:rPr>
        <w:t>Appendix III</w:t>
      </w:r>
    </w:p>
    <w:p w14:paraId="7DAC3D9C" w14:textId="77777777" w:rsidR="00894DEB" w:rsidRPr="00E65655" w:rsidRDefault="00894DEB" w:rsidP="00125D81">
      <w:pPr>
        <w:pStyle w:val="PlainText"/>
        <w:tabs>
          <w:tab w:val="right" w:pos="8914"/>
        </w:tabs>
        <w:spacing w:after="140" w:line="290" w:lineRule="auto"/>
        <w:jc w:val="both"/>
        <w:rPr>
          <w:rFonts w:ascii="Arial" w:hAnsi="Arial"/>
          <w:b/>
          <w:lang w:eastAsia="zh-CN"/>
        </w:rPr>
      </w:pPr>
    </w:p>
    <w:p w14:paraId="2AB6F05C" w14:textId="300602EE" w:rsidR="00484D15" w:rsidRPr="00E65655" w:rsidRDefault="004F6E28" w:rsidP="00446232">
      <w:pPr>
        <w:pStyle w:val="PlainText"/>
        <w:tabs>
          <w:tab w:val="right" w:pos="8914"/>
        </w:tabs>
        <w:spacing w:after="140" w:line="290" w:lineRule="auto"/>
        <w:jc w:val="both"/>
        <w:rPr>
          <w:rFonts w:ascii="Arial" w:hAnsi="Arial"/>
          <w:b/>
          <w:lang w:eastAsia="zh-CN"/>
        </w:rPr>
      </w:pPr>
      <w:r w:rsidRPr="00E65655">
        <w:rPr>
          <w:rFonts w:ascii="Arial" w:hAnsi="Arial"/>
        </w:rPr>
        <w:br w:type="page"/>
      </w:r>
    </w:p>
    <w:p w14:paraId="71AE0169" w14:textId="77777777" w:rsidR="00BA2020" w:rsidRPr="00E65655" w:rsidRDefault="00BA2020" w:rsidP="00BA2020">
      <w:pPr>
        <w:pStyle w:val="PlainText"/>
        <w:widowControl w:val="0"/>
        <w:spacing w:after="140" w:line="290" w:lineRule="auto"/>
        <w:jc w:val="center"/>
        <w:rPr>
          <w:rFonts w:ascii="Arial" w:hAnsi="Arial"/>
          <w:b/>
        </w:rPr>
      </w:pPr>
      <w:r w:rsidRPr="00E65655">
        <w:rPr>
          <w:rFonts w:ascii="Arial" w:hAnsi="Arial"/>
          <w:b/>
        </w:rPr>
        <w:lastRenderedPageBreak/>
        <w:t>RISK FACTORS</w:t>
      </w:r>
    </w:p>
    <w:p w14:paraId="3B790198" w14:textId="77777777" w:rsidR="00BA2020" w:rsidRPr="00E65655" w:rsidRDefault="00BA2020" w:rsidP="00BA2020">
      <w:pPr>
        <w:pStyle w:val="PlainText"/>
        <w:widowControl w:val="0"/>
        <w:spacing w:after="140" w:line="290" w:lineRule="auto"/>
        <w:jc w:val="center"/>
        <w:rPr>
          <w:rFonts w:ascii="Arial" w:hAnsi="Arial"/>
        </w:rPr>
      </w:pPr>
    </w:p>
    <w:p w14:paraId="2C3F0627" w14:textId="0B1FD7B4" w:rsidR="00BA2020" w:rsidRPr="00E65655" w:rsidRDefault="00BA2020" w:rsidP="009978D2">
      <w:pPr>
        <w:spacing w:after="140" w:line="286" w:lineRule="auto"/>
        <w:jc w:val="both"/>
        <w:rPr>
          <w:szCs w:val="20"/>
        </w:rPr>
      </w:pPr>
      <w:r w:rsidRPr="00E65655">
        <w:rPr>
          <w:szCs w:val="20"/>
        </w:rPr>
        <w:t>The following are risk factor</w:t>
      </w:r>
      <w:r w:rsidR="006423B5" w:rsidRPr="00E65655">
        <w:rPr>
          <w:szCs w:val="20"/>
        </w:rPr>
        <w:t>s relating to the Certificates:</w:t>
      </w:r>
    </w:p>
    <w:p w14:paraId="2DF7A4A8" w14:textId="77777777" w:rsidR="00D36A0C" w:rsidRPr="00E65655" w:rsidRDefault="00D36A0C" w:rsidP="009978D2">
      <w:pPr>
        <w:numPr>
          <w:ilvl w:val="0"/>
          <w:numId w:val="9"/>
        </w:numPr>
        <w:tabs>
          <w:tab w:val="clear" w:pos="9450"/>
        </w:tabs>
        <w:spacing w:after="140" w:line="286" w:lineRule="auto"/>
        <w:ind w:left="720" w:hanging="720"/>
        <w:jc w:val="both"/>
        <w:rPr>
          <w:rFonts w:cs="Arial"/>
        </w:rPr>
      </w:pPr>
      <w:r w:rsidRPr="00E65655">
        <w:t xml:space="preserve">in respect of certain corporate adjustment events on the Underlying Stock, trading in the Certificates may be suspended on the relevant ex-date of the Underlying Stock and trading in the Certificates will resume on the next immediate trading day on the SGX-ST. Please note that trading in the Certificates on the SGX-ST may be suspended for more than one trading day in certain </w:t>
      </w:r>
      <w:proofErr w:type="gramStart"/>
      <w:r w:rsidRPr="00E65655">
        <w:t>circumstances;</w:t>
      </w:r>
      <w:proofErr w:type="gramEnd"/>
    </w:p>
    <w:p w14:paraId="08DBC928" w14:textId="3B830F88" w:rsidR="00BA2020" w:rsidRPr="00E65655" w:rsidRDefault="00BA2020" w:rsidP="009978D2">
      <w:pPr>
        <w:numPr>
          <w:ilvl w:val="0"/>
          <w:numId w:val="9"/>
        </w:numPr>
        <w:tabs>
          <w:tab w:val="clear" w:pos="9450"/>
        </w:tabs>
        <w:spacing w:after="140" w:line="286" w:lineRule="auto"/>
        <w:ind w:left="720" w:hanging="720"/>
        <w:jc w:val="both"/>
        <w:rPr>
          <w:rFonts w:cs="Arial"/>
        </w:rPr>
      </w:pPr>
      <w:r w:rsidRPr="00E65655">
        <w:t xml:space="preserve">investment in Certificates involves substantial risks including market risk, liquidity risk, and the risk that </w:t>
      </w:r>
      <w:r w:rsidRPr="00E65655">
        <w:rPr>
          <w:rFonts w:cs="Arial"/>
        </w:rPr>
        <w:t xml:space="preserve">the Issuer and/or the Guarantor will be unable to satisfy its/their obligations under the </w:t>
      </w:r>
      <w:r w:rsidRPr="00E65655">
        <w:t>Certificates</w:t>
      </w:r>
      <w:r w:rsidRPr="00E65655">
        <w:rPr>
          <w:rFonts w:cs="Arial"/>
        </w:rPr>
        <w:t xml:space="preserve">. Investors should ensure that they understand the nature of all these risks before </w:t>
      </w:r>
      <w:proofErr w:type="gramStart"/>
      <w:r w:rsidRPr="00E65655">
        <w:rPr>
          <w:rFonts w:cs="Arial"/>
        </w:rPr>
        <w:t>making a decision</w:t>
      </w:r>
      <w:proofErr w:type="gramEnd"/>
      <w:r w:rsidRPr="00E65655">
        <w:rPr>
          <w:rFonts w:cs="Arial"/>
        </w:rPr>
        <w:t xml:space="preserve"> to invest in the </w:t>
      </w:r>
      <w:r w:rsidRPr="00E65655">
        <w:t>Certificates</w:t>
      </w:r>
      <w:r w:rsidRPr="00E65655">
        <w:rPr>
          <w:rFonts w:cs="Arial"/>
        </w:rPr>
        <w:t xml:space="preserve">. You should consider carefully whether </w:t>
      </w:r>
      <w:r w:rsidRPr="00E65655">
        <w:t>Certificates</w:t>
      </w:r>
      <w:r w:rsidRPr="00E65655">
        <w:rPr>
          <w:rFonts w:cs="Arial"/>
        </w:rPr>
        <w:t xml:space="preserve"> are suitable for you </w:t>
      </w:r>
      <w:proofErr w:type="gramStart"/>
      <w:r w:rsidRPr="00E65655">
        <w:rPr>
          <w:rFonts w:cs="Arial"/>
        </w:rPr>
        <w:t>in light of</w:t>
      </w:r>
      <w:proofErr w:type="gramEnd"/>
      <w:r w:rsidRPr="00E65655">
        <w:rPr>
          <w:rFonts w:cs="Arial"/>
        </w:rPr>
        <w:t xml:space="preserve"> your experience, objectives, financial position and other relevant circumstances. </w:t>
      </w:r>
      <w:r w:rsidRPr="00E65655">
        <w:t>Certificates</w:t>
      </w:r>
      <w:r w:rsidRPr="00E65655">
        <w:rPr>
          <w:rFonts w:cs="Arial"/>
        </w:rPr>
        <w:t xml:space="preserve"> are not suitable for inexperienced </w:t>
      </w:r>
      <w:proofErr w:type="gramStart"/>
      <w:r w:rsidRPr="00E65655">
        <w:rPr>
          <w:rFonts w:cs="Arial"/>
        </w:rPr>
        <w:t>investors;</w:t>
      </w:r>
      <w:proofErr w:type="gramEnd"/>
    </w:p>
    <w:p w14:paraId="72C0C5D7" w14:textId="16E9DCD7" w:rsidR="00BA2020" w:rsidRPr="00E65655" w:rsidRDefault="00BA2020" w:rsidP="009978D2">
      <w:pPr>
        <w:numPr>
          <w:ilvl w:val="0"/>
          <w:numId w:val="9"/>
        </w:numPr>
        <w:tabs>
          <w:tab w:val="clear" w:pos="9450"/>
        </w:tabs>
        <w:spacing w:after="140" w:line="286" w:lineRule="auto"/>
        <w:ind w:left="720" w:hanging="720"/>
        <w:jc w:val="both"/>
      </w:pPr>
      <w:r w:rsidRPr="00E65655">
        <w:rPr>
          <w:rFonts w:cs="Arial"/>
          <w:bCs/>
        </w:rPr>
        <w:t xml:space="preserve">the </w:t>
      </w:r>
      <w:r w:rsidRPr="00E65655">
        <w:t>Certificates</w:t>
      </w:r>
      <w:r w:rsidRPr="00E65655">
        <w:rPr>
          <w:rFonts w:cs="Arial"/>
          <w:bCs/>
        </w:rPr>
        <w:t xml:space="preserve"> constitute general unsecured obligations of the Issuer</w:t>
      </w:r>
      <w:r w:rsidR="00446232" w:rsidRPr="00E65655">
        <w:rPr>
          <w:rFonts w:cs="Arial"/>
          <w:bCs/>
        </w:rPr>
        <w:t xml:space="preserve"> </w:t>
      </w:r>
      <w:r w:rsidR="00446232" w:rsidRPr="00E65655">
        <w:rPr>
          <w:rFonts w:cs="Arial"/>
        </w:rPr>
        <w:t>(in the case of any substitution of the Issuer in accordance with the Conditions of the Certificates, the Substituted Obligor as defined in the Conditions of the Certificates)</w:t>
      </w:r>
      <w:r w:rsidRPr="00E65655">
        <w:rPr>
          <w:rFonts w:cs="Arial"/>
          <w:bCs/>
        </w:rPr>
        <w:t xml:space="preserve"> and of no other person, and the Guarantee constitutes direct unconditional unsecured senior preferred obligations of the Guarantor and of no other person. </w:t>
      </w:r>
      <w:proofErr w:type="gramStart"/>
      <w:r w:rsidRPr="00E65655">
        <w:rPr>
          <w:rFonts w:cs="Arial"/>
          <w:bCs/>
        </w:rPr>
        <w:t>In particular, it</w:t>
      </w:r>
      <w:proofErr w:type="gramEnd"/>
      <w:r w:rsidRPr="00E65655">
        <w:rPr>
          <w:rFonts w:cs="Arial"/>
          <w:bCs/>
        </w:rPr>
        <w:t xml:space="preserve"> should be noted that the Issuer issues </w:t>
      </w:r>
      <w:proofErr w:type="gramStart"/>
      <w:r w:rsidRPr="00E65655">
        <w:rPr>
          <w:rFonts w:cs="Arial"/>
          <w:bCs/>
        </w:rPr>
        <w:t>a large number of</w:t>
      </w:r>
      <w:proofErr w:type="gramEnd"/>
      <w:r w:rsidRPr="00E65655">
        <w:rPr>
          <w:rFonts w:cs="Arial"/>
          <w:bCs/>
        </w:rPr>
        <w:t xml:space="preserve"> financial instruments, including </w:t>
      </w:r>
      <w:r w:rsidRPr="00E65655">
        <w:t>Certificates</w:t>
      </w:r>
      <w:r w:rsidRPr="00E65655">
        <w:rPr>
          <w:rFonts w:cs="Arial"/>
          <w:bCs/>
        </w:rPr>
        <w:t xml:space="preserve">, on a global basis and, at any given time, the financial instruments outstanding may be substantial. If you purchase the </w:t>
      </w:r>
      <w:r w:rsidRPr="00E65655">
        <w:t>Certificates,</w:t>
      </w:r>
      <w:r w:rsidRPr="00E65655">
        <w:rPr>
          <w:rFonts w:cs="Arial"/>
          <w:bCs/>
        </w:rPr>
        <w:t xml:space="preserve"> you are relying upon the creditworthiness of the Issuer and the Guarantor and have no rights under the </w:t>
      </w:r>
      <w:r w:rsidRPr="00E65655">
        <w:t>Certificates</w:t>
      </w:r>
      <w:r w:rsidRPr="00E65655">
        <w:rPr>
          <w:rFonts w:cs="Arial"/>
          <w:bCs/>
        </w:rPr>
        <w:t xml:space="preserve"> against any other </w:t>
      </w:r>
      <w:proofErr w:type="gramStart"/>
      <w:r w:rsidRPr="00E65655">
        <w:rPr>
          <w:rFonts w:cs="Arial"/>
          <w:bCs/>
        </w:rPr>
        <w:t>person</w:t>
      </w:r>
      <w:r w:rsidRPr="00E65655">
        <w:t>;</w:t>
      </w:r>
      <w:proofErr w:type="gramEnd"/>
    </w:p>
    <w:p w14:paraId="072A47FF" w14:textId="77777777" w:rsidR="00E92BE0" w:rsidRPr="00E65655" w:rsidRDefault="00BA2020" w:rsidP="009978D2">
      <w:pPr>
        <w:numPr>
          <w:ilvl w:val="0"/>
          <w:numId w:val="9"/>
        </w:numPr>
        <w:tabs>
          <w:tab w:val="clear" w:pos="9450"/>
        </w:tabs>
        <w:spacing w:after="140" w:line="286" w:lineRule="auto"/>
        <w:ind w:left="720" w:hanging="720"/>
        <w:jc w:val="both"/>
      </w:pPr>
      <w:r w:rsidRPr="00E65655">
        <w:t xml:space="preserve">since the Certificates relate to the </w:t>
      </w:r>
      <w:r w:rsidRPr="00E65655">
        <w:rPr>
          <w:rFonts w:hint="eastAsia"/>
          <w:lang w:eastAsia="zh-CN"/>
        </w:rPr>
        <w:t>price</w:t>
      </w:r>
      <w:r w:rsidRPr="00E65655">
        <w:t xml:space="preserve"> of </w:t>
      </w:r>
      <w:r w:rsidRPr="00E65655">
        <w:rPr>
          <w:rFonts w:hint="eastAsia"/>
          <w:lang w:eastAsia="zh-CN"/>
        </w:rPr>
        <w:t>the</w:t>
      </w:r>
      <w:r w:rsidRPr="00E65655">
        <w:t xml:space="preserve"> </w:t>
      </w:r>
      <w:r w:rsidRPr="00E65655">
        <w:rPr>
          <w:rFonts w:hint="eastAsia"/>
          <w:lang w:eastAsia="zh-CN"/>
        </w:rPr>
        <w:t>Underlying Stock</w:t>
      </w:r>
      <w:r w:rsidRPr="00E65655">
        <w:t xml:space="preserve">, certain events relating to the </w:t>
      </w:r>
      <w:r w:rsidRPr="00E65655">
        <w:rPr>
          <w:rFonts w:hint="eastAsia"/>
          <w:lang w:eastAsia="zh-CN"/>
        </w:rPr>
        <w:t xml:space="preserve">Underlying Stock </w:t>
      </w:r>
      <w:r w:rsidRPr="00E65655">
        <w:t xml:space="preserve">may cause adverse movements in the value and the </w:t>
      </w:r>
      <w:r w:rsidRPr="00E65655">
        <w:rPr>
          <w:rFonts w:hint="eastAsia"/>
          <w:lang w:eastAsia="zh-CN"/>
        </w:rPr>
        <w:t>price</w:t>
      </w:r>
      <w:r w:rsidRPr="00E65655">
        <w:t xml:space="preserve"> of the </w:t>
      </w:r>
      <w:r w:rsidRPr="00E65655">
        <w:rPr>
          <w:rFonts w:hint="eastAsia"/>
          <w:lang w:eastAsia="zh-CN"/>
        </w:rPr>
        <w:t>Underlying Stock</w:t>
      </w:r>
      <w:r w:rsidRPr="00E65655">
        <w:t xml:space="preserve">, as a result of which, the Certificate Holders (as defined in the Conditions of the Certificates) may, in extreme circumstances, sustain a significant loss of their investment if the </w:t>
      </w:r>
      <w:r w:rsidRPr="00E65655">
        <w:rPr>
          <w:rFonts w:hint="eastAsia"/>
          <w:lang w:eastAsia="zh-CN"/>
        </w:rPr>
        <w:t>price</w:t>
      </w:r>
      <w:r w:rsidRPr="00E65655">
        <w:t xml:space="preserve"> of the </w:t>
      </w:r>
      <w:r w:rsidRPr="00E65655">
        <w:rPr>
          <w:rFonts w:hint="eastAsia"/>
          <w:lang w:eastAsia="zh-CN"/>
        </w:rPr>
        <w:t>Underlying Stock</w:t>
      </w:r>
      <w:r w:rsidRPr="00E65655">
        <w:t xml:space="preserve"> has risen sharply;</w:t>
      </w:r>
      <w:r w:rsidR="00E92BE0" w:rsidRPr="00E65655">
        <w:t xml:space="preserve"> </w:t>
      </w:r>
    </w:p>
    <w:p w14:paraId="52570824" w14:textId="66708EFC" w:rsidR="00E92BE0" w:rsidRPr="00E65655" w:rsidRDefault="00E92BE0" w:rsidP="009978D2">
      <w:pPr>
        <w:numPr>
          <w:ilvl w:val="0"/>
          <w:numId w:val="9"/>
        </w:numPr>
        <w:tabs>
          <w:tab w:val="clear" w:pos="9450"/>
        </w:tabs>
        <w:spacing w:after="140" w:line="286" w:lineRule="auto"/>
        <w:ind w:left="720" w:hanging="720"/>
        <w:jc w:val="both"/>
      </w:pPr>
      <w:r w:rsidRPr="00E65655">
        <w:t>in the event that the Company is subject to any sanction by governmental authorities, (i) such sanction may impact general investor interest in the Underlying Stock, which may in turn affect the liquidity and market price of the Underlying Stock, and (ii) investors should consult their own legal advisers to check whether and to what extent investing in the Certificates will be in violation of applicable laws and regulations;</w:t>
      </w:r>
    </w:p>
    <w:p w14:paraId="6872BFCA" w14:textId="01286709" w:rsidR="00BA2020" w:rsidRPr="00E65655" w:rsidRDefault="00E92BE0" w:rsidP="009978D2">
      <w:pPr>
        <w:numPr>
          <w:ilvl w:val="0"/>
          <w:numId w:val="9"/>
        </w:numPr>
        <w:tabs>
          <w:tab w:val="clear" w:pos="9450"/>
        </w:tabs>
        <w:spacing w:after="140" w:line="286" w:lineRule="auto"/>
        <w:ind w:left="720" w:hanging="720"/>
        <w:jc w:val="both"/>
      </w:pPr>
      <w:r w:rsidRPr="00E65655">
        <w:t>in the event that the Company is controlled through weighted voting rights, certain individuals who own shares of a class which is being given more votes per share may have the ability to determine the outcome of most matters, and depending on the action taken by the Company, the market price of the Certificates could be adversely affected;</w:t>
      </w:r>
    </w:p>
    <w:p w14:paraId="15349DCC" w14:textId="77777777" w:rsidR="00BA2020" w:rsidRPr="00E65655" w:rsidRDefault="00BA2020" w:rsidP="009978D2">
      <w:pPr>
        <w:numPr>
          <w:ilvl w:val="0"/>
          <w:numId w:val="9"/>
        </w:numPr>
        <w:tabs>
          <w:tab w:val="clear" w:pos="9450"/>
        </w:tabs>
        <w:spacing w:after="140" w:line="286" w:lineRule="auto"/>
        <w:ind w:left="720" w:hanging="720"/>
        <w:jc w:val="both"/>
        <w:rPr>
          <w:rFonts w:cs="Arial"/>
        </w:rPr>
      </w:pPr>
      <w:r w:rsidRPr="00E65655">
        <w:rPr>
          <w:rFonts w:cs="Arial"/>
        </w:rPr>
        <w:t xml:space="preserve">due to their nature, the </w:t>
      </w:r>
      <w:r w:rsidRPr="00E65655">
        <w:t>Certificates</w:t>
      </w:r>
      <w:r w:rsidRPr="00E65655">
        <w:rPr>
          <w:rFonts w:cs="Arial"/>
        </w:rPr>
        <w:t xml:space="preserve"> can be volatile instruments and may be subject to considerable fluctuations in value. The price of the </w:t>
      </w:r>
      <w:r w:rsidRPr="00E65655">
        <w:t>Certificates</w:t>
      </w:r>
      <w:r w:rsidRPr="00E65655">
        <w:rPr>
          <w:rFonts w:cs="Arial"/>
        </w:rPr>
        <w:t xml:space="preserve"> may fall in value as rapidly as it may rise due to, including but not limited to, variations in the frequency and magnitude of the changes in the </w:t>
      </w:r>
      <w:r w:rsidRPr="00E65655">
        <w:rPr>
          <w:rFonts w:cs="Arial" w:hint="eastAsia"/>
          <w:lang w:eastAsia="zh-CN"/>
        </w:rPr>
        <w:t>price</w:t>
      </w:r>
      <w:r w:rsidRPr="00E65655">
        <w:rPr>
          <w:rFonts w:cs="Arial"/>
        </w:rPr>
        <w:t xml:space="preserve"> of </w:t>
      </w:r>
      <w:r w:rsidRPr="00E65655">
        <w:rPr>
          <w:rFonts w:cs="Arial"/>
          <w:bCs/>
        </w:rPr>
        <w:t xml:space="preserve">the </w:t>
      </w:r>
      <w:r w:rsidRPr="00E65655">
        <w:rPr>
          <w:rFonts w:cs="Arial" w:hint="eastAsia"/>
          <w:bCs/>
          <w:lang w:eastAsia="zh-CN"/>
        </w:rPr>
        <w:t>Underlying Stock</w:t>
      </w:r>
      <w:r w:rsidRPr="00E65655">
        <w:rPr>
          <w:rFonts w:cs="Arial"/>
        </w:rPr>
        <w:t xml:space="preserve">, the time remaining to expiry, the currency exchange rates and the creditworthiness of the Issuer and the </w:t>
      </w:r>
      <w:proofErr w:type="gramStart"/>
      <w:r w:rsidRPr="00E65655">
        <w:rPr>
          <w:rFonts w:cs="Arial"/>
        </w:rPr>
        <w:t>Guarantor;</w:t>
      </w:r>
      <w:proofErr w:type="gramEnd"/>
    </w:p>
    <w:p w14:paraId="1E9666CA" w14:textId="05E83E26" w:rsidR="00BA2020" w:rsidRPr="00E65655" w:rsidRDefault="00BA2020" w:rsidP="009978D2">
      <w:pPr>
        <w:numPr>
          <w:ilvl w:val="0"/>
          <w:numId w:val="9"/>
        </w:numPr>
        <w:tabs>
          <w:tab w:val="clear" w:pos="9450"/>
        </w:tabs>
        <w:spacing w:after="140" w:line="286" w:lineRule="auto"/>
        <w:ind w:left="720" w:hanging="720"/>
        <w:jc w:val="both"/>
      </w:pPr>
      <w:r w:rsidRPr="00E65655">
        <w:rPr>
          <w:rFonts w:cs="Arial"/>
          <w:bCs/>
        </w:rPr>
        <w:t xml:space="preserve">if, whilst any of the </w:t>
      </w:r>
      <w:r w:rsidRPr="00E65655">
        <w:t>Certificates</w:t>
      </w:r>
      <w:r w:rsidRPr="00E65655">
        <w:rPr>
          <w:rFonts w:cs="Arial"/>
          <w:bCs/>
        </w:rPr>
        <w:t xml:space="preserve"> remain unexercised, trading in the </w:t>
      </w:r>
      <w:r w:rsidRPr="00E65655">
        <w:rPr>
          <w:rFonts w:cs="Arial" w:hint="eastAsia"/>
          <w:bCs/>
          <w:lang w:eastAsia="zh-CN"/>
        </w:rPr>
        <w:t>Underlying Stock</w:t>
      </w:r>
      <w:r w:rsidRPr="00E65655">
        <w:rPr>
          <w:rFonts w:cs="Arial"/>
          <w:bCs/>
        </w:rPr>
        <w:t xml:space="preserve"> is suspended or halted</w:t>
      </w:r>
      <w:r w:rsidRPr="00E65655">
        <w:rPr>
          <w:rFonts w:cs="Arial" w:hint="eastAsia"/>
          <w:bCs/>
          <w:lang w:eastAsia="zh-CN"/>
        </w:rPr>
        <w:t xml:space="preserve"> on the relevant stock exchange</w:t>
      </w:r>
      <w:r w:rsidRPr="00E65655">
        <w:rPr>
          <w:rFonts w:cs="Arial"/>
          <w:bCs/>
        </w:rPr>
        <w:t xml:space="preserve">, trading in the </w:t>
      </w:r>
      <w:r w:rsidRPr="00E65655">
        <w:t>Certificates</w:t>
      </w:r>
      <w:r w:rsidRPr="00E65655">
        <w:rPr>
          <w:rFonts w:cs="Arial"/>
          <w:bCs/>
        </w:rPr>
        <w:t xml:space="preserve"> may be </w:t>
      </w:r>
      <w:r w:rsidR="006423B5" w:rsidRPr="00E65655">
        <w:rPr>
          <w:rFonts w:cs="Arial"/>
          <w:bCs/>
        </w:rPr>
        <w:t xml:space="preserve">suspended for a similar </w:t>
      </w:r>
      <w:proofErr w:type="gramStart"/>
      <w:r w:rsidR="006423B5" w:rsidRPr="00E65655">
        <w:rPr>
          <w:rFonts w:cs="Arial"/>
          <w:bCs/>
        </w:rPr>
        <w:t>period;</w:t>
      </w:r>
      <w:proofErr w:type="gramEnd"/>
    </w:p>
    <w:p w14:paraId="0AF21865" w14:textId="77777777" w:rsidR="00BA2020" w:rsidRPr="00E65655" w:rsidRDefault="00BA2020" w:rsidP="009978D2">
      <w:pPr>
        <w:numPr>
          <w:ilvl w:val="0"/>
          <w:numId w:val="9"/>
        </w:numPr>
        <w:tabs>
          <w:tab w:val="clear" w:pos="9450"/>
        </w:tabs>
        <w:spacing w:after="140" w:line="286" w:lineRule="auto"/>
        <w:ind w:left="720" w:hanging="720"/>
        <w:jc w:val="both"/>
      </w:pPr>
      <w:r w:rsidRPr="00E65655">
        <w:rPr>
          <w:rFonts w:cs="Arial"/>
          <w:bCs/>
        </w:rPr>
        <w:lastRenderedPageBreak/>
        <w:t xml:space="preserve">as indicated in the Conditions of the Certificates and herein, a Certificate Holder must tender a specified number of Certificates at any one time </w:t>
      </w:r>
      <w:proofErr w:type="gramStart"/>
      <w:r w:rsidRPr="00E65655">
        <w:rPr>
          <w:rFonts w:cs="Arial"/>
          <w:bCs/>
        </w:rPr>
        <w:t>in order to</w:t>
      </w:r>
      <w:proofErr w:type="gramEnd"/>
      <w:r w:rsidRPr="00E65655">
        <w:rPr>
          <w:rFonts w:cs="Arial"/>
          <w:bCs/>
        </w:rPr>
        <w:t xml:space="preserve"> exercise. Thus, Certificate Holders with fewer than the specified minimum number of Certificates in a particular series will either have to sell their Certificates or purchase additional Certificates, incurring transactions costs in each case, </w:t>
      </w:r>
      <w:proofErr w:type="gramStart"/>
      <w:r w:rsidRPr="00E65655">
        <w:rPr>
          <w:rFonts w:cs="Arial"/>
          <w:bCs/>
        </w:rPr>
        <w:t>in order to</w:t>
      </w:r>
      <w:proofErr w:type="gramEnd"/>
      <w:r w:rsidRPr="00E65655">
        <w:rPr>
          <w:rFonts w:cs="Arial"/>
          <w:bCs/>
        </w:rPr>
        <w:t xml:space="preserve"> realise their </w:t>
      </w:r>
      <w:proofErr w:type="gramStart"/>
      <w:r w:rsidRPr="00E65655">
        <w:rPr>
          <w:rFonts w:cs="Arial"/>
          <w:bCs/>
        </w:rPr>
        <w:t>investment;</w:t>
      </w:r>
      <w:proofErr w:type="gramEnd"/>
    </w:p>
    <w:p w14:paraId="049E9956" w14:textId="77777777" w:rsidR="00BA2020" w:rsidRPr="00E65655" w:rsidRDefault="00BA2020" w:rsidP="009978D2">
      <w:pPr>
        <w:numPr>
          <w:ilvl w:val="0"/>
          <w:numId w:val="9"/>
        </w:numPr>
        <w:tabs>
          <w:tab w:val="clear" w:pos="9450"/>
        </w:tabs>
        <w:spacing w:after="140" w:line="286" w:lineRule="auto"/>
        <w:ind w:left="720" w:hanging="720"/>
        <w:jc w:val="both"/>
      </w:pPr>
      <w:r w:rsidRPr="00E65655">
        <w:rPr>
          <w:rFonts w:cs="Arial"/>
          <w:bCs/>
        </w:rPr>
        <w:t xml:space="preserve">investors should note that in the event of there being a Market Disruption Event (as defined in the Conditions) determination or payment of the Cash Settlement Amount (as defined in the Conditions) may be delayed, all as more fully described in the </w:t>
      </w:r>
      <w:proofErr w:type="gramStart"/>
      <w:r w:rsidRPr="00E65655">
        <w:rPr>
          <w:rFonts w:cs="Arial"/>
          <w:bCs/>
        </w:rPr>
        <w:t>Conditions;</w:t>
      </w:r>
      <w:proofErr w:type="gramEnd"/>
    </w:p>
    <w:p w14:paraId="536D2606" w14:textId="26FC1552" w:rsidR="00BA2020" w:rsidRPr="00E65655" w:rsidRDefault="00BA2020" w:rsidP="009978D2">
      <w:pPr>
        <w:numPr>
          <w:ilvl w:val="0"/>
          <w:numId w:val="9"/>
        </w:numPr>
        <w:tabs>
          <w:tab w:val="clear" w:pos="9450"/>
        </w:tabs>
        <w:spacing w:after="140" w:line="286" w:lineRule="auto"/>
        <w:ind w:left="720" w:hanging="720"/>
        <w:jc w:val="both"/>
        <w:rPr>
          <w:color w:val="000000"/>
        </w:rPr>
      </w:pPr>
      <w:r w:rsidRPr="00E65655">
        <w:rPr>
          <w:rFonts w:hint="eastAsia"/>
          <w:color w:val="000000"/>
          <w:lang w:eastAsia="zh-CN"/>
        </w:rPr>
        <w:t>certain events relating to the Underlying Stock require or</w:t>
      </w:r>
      <w:proofErr w:type="gramStart"/>
      <w:r w:rsidRPr="00E65655">
        <w:rPr>
          <w:rFonts w:hint="eastAsia"/>
          <w:color w:val="000000"/>
          <w:lang w:eastAsia="zh-CN"/>
        </w:rPr>
        <w:t>, as the case may be, permit</w:t>
      </w:r>
      <w:proofErr w:type="gramEnd"/>
      <w:r w:rsidRPr="00E65655">
        <w:rPr>
          <w:rFonts w:hint="eastAsia"/>
          <w:color w:val="000000"/>
          <w:lang w:eastAsia="zh-CN"/>
        </w:rPr>
        <w:t xml:space="preserve"> the Issuer to make certain adjustments or amendments to the Conditions. Investors may refer to the Condition</w:t>
      </w:r>
      <w:r w:rsidRPr="00E65655">
        <w:rPr>
          <w:color w:val="000000"/>
          <w:lang w:eastAsia="zh-CN"/>
        </w:rPr>
        <w:t>s</w:t>
      </w:r>
      <w:r w:rsidRPr="00E65655">
        <w:rPr>
          <w:rFonts w:hint="eastAsia"/>
          <w:color w:val="000000"/>
          <w:lang w:eastAsia="zh-CN"/>
        </w:rPr>
        <w:t xml:space="preserve"> 4 and 6 on page</w:t>
      </w:r>
      <w:r w:rsidRPr="00E65655">
        <w:rPr>
          <w:color w:val="000000"/>
          <w:lang w:eastAsia="zh-CN"/>
        </w:rPr>
        <w:t>s</w:t>
      </w:r>
      <w:r w:rsidRPr="00E65655">
        <w:rPr>
          <w:rFonts w:hint="eastAsia"/>
          <w:color w:val="000000"/>
          <w:lang w:eastAsia="zh-CN"/>
        </w:rPr>
        <w:t xml:space="preserve"> </w:t>
      </w:r>
      <w:r w:rsidR="00EA3EE8" w:rsidRPr="00E65655">
        <w:rPr>
          <w:color w:val="000000"/>
          <w:lang w:eastAsia="zh-CN"/>
        </w:rPr>
        <w:t>3</w:t>
      </w:r>
      <w:r w:rsidR="00CF22A1" w:rsidRPr="00E65655">
        <w:rPr>
          <w:color w:val="000000"/>
          <w:lang w:eastAsia="zh-CN"/>
        </w:rPr>
        <w:t>2</w:t>
      </w:r>
      <w:r w:rsidRPr="00E65655">
        <w:rPr>
          <w:rFonts w:hint="eastAsia"/>
          <w:color w:val="000000"/>
          <w:lang w:eastAsia="zh-CN"/>
        </w:rPr>
        <w:t xml:space="preserve"> to </w:t>
      </w:r>
      <w:r w:rsidR="00EA3EE8" w:rsidRPr="00E65655">
        <w:rPr>
          <w:color w:val="000000"/>
          <w:lang w:eastAsia="zh-CN"/>
        </w:rPr>
        <w:t>3</w:t>
      </w:r>
      <w:r w:rsidR="00CF22A1" w:rsidRPr="00E65655">
        <w:rPr>
          <w:color w:val="000000"/>
          <w:lang w:eastAsia="zh-CN"/>
        </w:rPr>
        <w:t>7</w:t>
      </w:r>
      <w:r w:rsidRPr="00E65655">
        <w:rPr>
          <w:rFonts w:hint="eastAsia"/>
          <w:color w:val="000000"/>
          <w:lang w:eastAsia="zh-CN"/>
        </w:rPr>
        <w:t xml:space="preserve"> </w:t>
      </w:r>
      <w:r w:rsidRPr="00E65655">
        <w:rPr>
          <w:color w:val="000000"/>
          <w:lang w:eastAsia="zh-CN"/>
        </w:rPr>
        <w:t>and the examples and illustrations of adjustments set out in the “</w:t>
      </w:r>
      <w:r w:rsidRPr="00E65655">
        <w:rPr>
          <w:rFonts w:cs="Arial"/>
          <w:szCs w:val="20"/>
        </w:rPr>
        <w:t xml:space="preserve">Information relating to the European Style Cash Settled Short Certificates on Single Equities” section </w:t>
      </w:r>
      <w:r w:rsidRPr="00E65655">
        <w:rPr>
          <w:rFonts w:hint="eastAsia"/>
          <w:color w:val="000000"/>
          <w:lang w:eastAsia="zh-CN"/>
        </w:rPr>
        <w:t xml:space="preserve">of this document for more </w:t>
      </w:r>
      <w:proofErr w:type="gramStart"/>
      <w:r w:rsidRPr="00E65655">
        <w:rPr>
          <w:rFonts w:hint="eastAsia"/>
          <w:color w:val="000000"/>
          <w:lang w:eastAsia="zh-CN"/>
        </w:rPr>
        <w:t>information;</w:t>
      </w:r>
      <w:proofErr w:type="gramEnd"/>
    </w:p>
    <w:p w14:paraId="1D588D59" w14:textId="77777777" w:rsidR="00BA2020" w:rsidRPr="00E65655" w:rsidRDefault="00BA2020" w:rsidP="009978D2">
      <w:pPr>
        <w:numPr>
          <w:ilvl w:val="0"/>
          <w:numId w:val="9"/>
        </w:numPr>
        <w:tabs>
          <w:tab w:val="clear" w:pos="9450"/>
        </w:tabs>
        <w:spacing w:after="140" w:line="286" w:lineRule="auto"/>
        <w:ind w:left="720" w:hanging="720"/>
        <w:jc w:val="both"/>
        <w:rPr>
          <w:color w:val="000000"/>
        </w:rPr>
      </w:pPr>
      <w:r w:rsidRPr="00E65655">
        <w:rPr>
          <w:color w:val="000000"/>
        </w:rPr>
        <w:t xml:space="preserve">the Certificates are only exercisable on the Expiry Date and may not be exercised by Certificate Holders prior to such Expiry Date. Accordingly, if on the Expiry Date the Cash Settlement Amount is zero, a Certificate Holder will lose the value of his </w:t>
      </w:r>
      <w:proofErr w:type="gramStart"/>
      <w:r w:rsidRPr="00E65655">
        <w:rPr>
          <w:color w:val="000000"/>
        </w:rPr>
        <w:t>investment;</w:t>
      </w:r>
      <w:proofErr w:type="gramEnd"/>
    </w:p>
    <w:p w14:paraId="693348A6" w14:textId="77777777" w:rsidR="00BA2020" w:rsidRPr="00E65655" w:rsidRDefault="00BA2020" w:rsidP="009978D2">
      <w:pPr>
        <w:numPr>
          <w:ilvl w:val="0"/>
          <w:numId w:val="9"/>
        </w:numPr>
        <w:tabs>
          <w:tab w:val="clear" w:pos="9450"/>
        </w:tabs>
        <w:spacing w:after="140" w:line="286" w:lineRule="auto"/>
        <w:ind w:left="720" w:hanging="720"/>
        <w:jc w:val="both"/>
        <w:rPr>
          <w:color w:val="000000"/>
        </w:rPr>
      </w:pPr>
      <w:r w:rsidRPr="00E65655">
        <w:rPr>
          <w:color w:val="000000"/>
        </w:rPr>
        <w:t>the total return on an investment in any Certificate may be affected by the Hedging Fee Factor (as defined below), Management Fee (as defined below) and Gap Premium (as defined below</w:t>
      </w:r>
      <w:proofErr w:type="gramStart"/>
      <w:r w:rsidRPr="00E65655">
        <w:rPr>
          <w:color w:val="000000"/>
        </w:rPr>
        <w:t>);</w:t>
      </w:r>
      <w:proofErr w:type="gramEnd"/>
    </w:p>
    <w:p w14:paraId="6F7706C8" w14:textId="77777777" w:rsidR="00BA2020" w:rsidRPr="00E65655" w:rsidRDefault="00BA2020" w:rsidP="009978D2">
      <w:pPr>
        <w:numPr>
          <w:ilvl w:val="0"/>
          <w:numId w:val="9"/>
        </w:numPr>
        <w:tabs>
          <w:tab w:val="clear" w:pos="9450"/>
        </w:tabs>
        <w:spacing w:after="140" w:line="286" w:lineRule="auto"/>
        <w:ind w:left="720" w:hanging="720"/>
        <w:jc w:val="both"/>
        <w:rPr>
          <w:color w:val="000000"/>
        </w:rPr>
      </w:pPr>
      <w:r w:rsidRPr="00E65655">
        <w:rPr>
          <w:color w:val="000000"/>
        </w:rPr>
        <w:t>investors holding their position overnight should note that they would be required to bear the annualised cost which consists of the Management Fee and Gap Premium, which are calculated daily and applied to the value of the Certificates, as well as certain costs embedded within the Leverage Inverse Strategy (as described below) including the Stock Borrowing Cost (as defined below) and Rebalancing Cost (as defined below);</w:t>
      </w:r>
    </w:p>
    <w:p w14:paraId="444C17DF" w14:textId="77777777" w:rsidR="00BA2020" w:rsidRPr="00E65655" w:rsidRDefault="00BA2020" w:rsidP="009978D2">
      <w:pPr>
        <w:numPr>
          <w:ilvl w:val="0"/>
          <w:numId w:val="9"/>
        </w:numPr>
        <w:tabs>
          <w:tab w:val="clear" w:pos="9450"/>
        </w:tabs>
        <w:spacing w:after="140" w:line="286" w:lineRule="auto"/>
        <w:ind w:left="720" w:hanging="720"/>
        <w:jc w:val="both"/>
      </w:pPr>
      <w:r w:rsidRPr="00E65655">
        <w:t>investors should note that there are leveraged risks because the Certificates integrate an inverse leverage mechanism and the Certificates will amplify the movements in the increase, a</w:t>
      </w:r>
      <w:r w:rsidRPr="00E65655">
        <w:rPr>
          <w:rFonts w:hint="eastAsia"/>
          <w:lang w:eastAsia="zh-CN"/>
        </w:rPr>
        <w:t>nd</w:t>
      </w:r>
      <w:r w:rsidRPr="00E65655">
        <w:t xml:space="preserve"> in the decrease, of the value of the </w:t>
      </w:r>
      <w:r w:rsidRPr="00E65655">
        <w:rPr>
          <w:rFonts w:cs="Arial" w:hint="eastAsia"/>
          <w:color w:val="000000"/>
          <w:szCs w:val="20"/>
          <w:lang w:eastAsia="zh-CN"/>
        </w:rPr>
        <w:t xml:space="preserve">Underlying Stock </w:t>
      </w:r>
      <w:r w:rsidRPr="00E65655">
        <w:t xml:space="preserve">and if the </w:t>
      </w:r>
      <w:r w:rsidRPr="00E65655">
        <w:rPr>
          <w:color w:val="000000"/>
          <w:szCs w:val="20"/>
        </w:rPr>
        <w:t>investment results in a loss, any such loss will be increased by the leverage factor of the Certificates.</w:t>
      </w:r>
      <w:r w:rsidRPr="00E65655">
        <w:rPr>
          <w:rFonts w:cs="Arial"/>
          <w:color w:val="000000"/>
          <w:szCs w:val="20"/>
        </w:rPr>
        <w:t xml:space="preserve"> As such, investors could lose more than they would if they had invested directly in the </w:t>
      </w:r>
      <w:r w:rsidRPr="00E65655">
        <w:rPr>
          <w:rFonts w:cs="Arial" w:hint="eastAsia"/>
          <w:color w:val="000000"/>
          <w:szCs w:val="20"/>
          <w:lang w:eastAsia="zh-CN"/>
        </w:rPr>
        <w:t xml:space="preserve">Underlying </w:t>
      </w:r>
      <w:proofErr w:type="gramStart"/>
      <w:r w:rsidRPr="00E65655">
        <w:rPr>
          <w:rFonts w:cs="Arial" w:hint="eastAsia"/>
          <w:color w:val="000000"/>
          <w:szCs w:val="20"/>
          <w:lang w:eastAsia="zh-CN"/>
        </w:rPr>
        <w:t>Stock</w:t>
      </w:r>
      <w:r w:rsidRPr="00E65655">
        <w:rPr>
          <w:color w:val="000000"/>
          <w:szCs w:val="20"/>
        </w:rPr>
        <w:t>;</w:t>
      </w:r>
      <w:proofErr w:type="gramEnd"/>
    </w:p>
    <w:p w14:paraId="363CB189" w14:textId="74929495" w:rsidR="00BA2020" w:rsidRPr="00E65655" w:rsidRDefault="00BA2020" w:rsidP="009978D2">
      <w:pPr>
        <w:numPr>
          <w:ilvl w:val="0"/>
          <w:numId w:val="9"/>
        </w:numPr>
        <w:tabs>
          <w:tab w:val="clear" w:pos="9450"/>
        </w:tabs>
        <w:spacing w:after="140" w:line="286" w:lineRule="auto"/>
        <w:ind w:left="720" w:hanging="720"/>
        <w:jc w:val="both"/>
        <w:rPr>
          <w:color w:val="000000"/>
          <w:szCs w:val="20"/>
        </w:rPr>
      </w:pPr>
      <w:r w:rsidRPr="00E65655">
        <w:rPr>
          <w:color w:val="000000"/>
          <w:szCs w:val="20"/>
        </w:rPr>
        <w:t xml:space="preserve">when held for longer than a day, the performance of the Certificates could be more or less than the leverage factor that is embedded within the Certificates. The performance of the Certificates each day is locked in, and any subsequent returns are based on what was achieved the previous </w:t>
      </w:r>
      <w:r w:rsidR="00D36A0C" w:rsidRPr="00E65655">
        <w:rPr>
          <w:color w:val="000000"/>
          <w:szCs w:val="20"/>
        </w:rPr>
        <w:t xml:space="preserve">trading </w:t>
      </w:r>
      <w:r w:rsidRPr="00E65655">
        <w:rPr>
          <w:color w:val="000000"/>
          <w:szCs w:val="20"/>
        </w:rPr>
        <w:t xml:space="preserve">day. This process, referred to as compounding, may lead to a performance difference from 5 times the inverse performance of </w:t>
      </w:r>
      <w:r w:rsidRPr="00E65655">
        <w:rPr>
          <w:rFonts w:cs="Arial"/>
          <w:color w:val="000000"/>
          <w:szCs w:val="20"/>
        </w:rPr>
        <w:t xml:space="preserve">the </w:t>
      </w:r>
      <w:r w:rsidRPr="00E65655">
        <w:rPr>
          <w:rFonts w:cs="Arial" w:hint="eastAsia"/>
          <w:color w:val="000000"/>
          <w:szCs w:val="20"/>
          <w:lang w:eastAsia="zh-CN"/>
        </w:rPr>
        <w:t>Underlying Stock</w:t>
      </w:r>
      <w:r w:rsidRPr="00E65655">
        <w:rPr>
          <w:rFonts w:cs="Arial"/>
          <w:color w:val="000000"/>
          <w:szCs w:val="20"/>
        </w:rPr>
        <w:t xml:space="preserve"> </w:t>
      </w:r>
      <w:r w:rsidRPr="00E65655">
        <w:rPr>
          <w:color w:val="000000"/>
          <w:szCs w:val="20"/>
        </w:rPr>
        <w:t xml:space="preserve">over a period longer than one day. This difference may be amplified in a volatile market with a sideway trend, where market movements are not clear in direction, whereby investors may sustain substantial </w:t>
      </w:r>
      <w:proofErr w:type="gramStart"/>
      <w:r w:rsidRPr="00E65655">
        <w:rPr>
          <w:color w:val="000000"/>
          <w:szCs w:val="20"/>
        </w:rPr>
        <w:t>losses;</w:t>
      </w:r>
      <w:proofErr w:type="gramEnd"/>
    </w:p>
    <w:p w14:paraId="7AA5F333" w14:textId="46C9B209" w:rsidR="00231E98" w:rsidRPr="00E65655" w:rsidRDefault="00231E98" w:rsidP="009978D2">
      <w:pPr>
        <w:numPr>
          <w:ilvl w:val="0"/>
          <w:numId w:val="9"/>
        </w:numPr>
        <w:tabs>
          <w:tab w:val="clear" w:pos="9450"/>
        </w:tabs>
        <w:spacing w:after="140" w:line="286" w:lineRule="auto"/>
        <w:ind w:left="720" w:hanging="720"/>
        <w:jc w:val="both"/>
        <w:rPr>
          <w:color w:val="000000"/>
          <w:szCs w:val="20"/>
        </w:rPr>
      </w:pPr>
      <w:r w:rsidRPr="00E65655">
        <w:rPr>
          <w:rFonts w:eastAsia="Times New Roman"/>
          <w:iCs/>
        </w:rPr>
        <w:t xml:space="preserve">the Air Bag Mechanism </w:t>
      </w:r>
      <w:r w:rsidRPr="00E65655">
        <w:rPr>
          <w:color w:val="000000"/>
          <w:szCs w:val="20"/>
        </w:rPr>
        <w:t xml:space="preserve">(as defined below) </w:t>
      </w:r>
      <w:r w:rsidRPr="00E65655">
        <w:rPr>
          <w:rFonts w:eastAsia="Times New Roman"/>
          <w:iCs/>
        </w:rPr>
        <w:t>is triggered only when the Underlying Stock is calculated or traded, which may not be during the trading hours of the Relevant Stock Exchange for the Certificates (as defined below</w:t>
      </w:r>
      <w:proofErr w:type="gramStart"/>
      <w:r w:rsidRPr="00E65655">
        <w:rPr>
          <w:rFonts w:eastAsia="Times New Roman"/>
          <w:iCs/>
        </w:rPr>
        <w:t>);</w:t>
      </w:r>
      <w:proofErr w:type="gramEnd"/>
    </w:p>
    <w:p w14:paraId="5173A158" w14:textId="348FD77A" w:rsidR="00BA2020" w:rsidRPr="00E65655" w:rsidRDefault="00BA2020" w:rsidP="009978D2">
      <w:pPr>
        <w:numPr>
          <w:ilvl w:val="0"/>
          <w:numId w:val="9"/>
        </w:numPr>
        <w:tabs>
          <w:tab w:val="clear" w:pos="9450"/>
        </w:tabs>
        <w:spacing w:after="140" w:line="286" w:lineRule="auto"/>
        <w:ind w:left="720" w:hanging="720"/>
        <w:jc w:val="both"/>
        <w:rPr>
          <w:color w:val="000000"/>
          <w:szCs w:val="20"/>
        </w:rPr>
      </w:pPr>
      <w:r w:rsidRPr="00E65655">
        <w:rPr>
          <w:color w:val="000000"/>
          <w:szCs w:val="20"/>
        </w:rPr>
        <w:t xml:space="preserve">investors should note that the Air Bag Mechanism reduces </w:t>
      </w:r>
      <w:r w:rsidRPr="00E65655">
        <w:rPr>
          <w:rFonts w:cs="Arial"/>
          <w:szCs w:val="20"/>
        </w:rPr>
        <w:t xml:space="preserve">the impact on the Leverage Inverse Strategy if the </w:t>
      </w:r>
      <w:r w:rsidRPr="00E65655">
        <w:rPr>
          <w:rFonts w:cs="Arial" w:hint="eastAsia"/>
          <w:szCs w:val="20"/>
          <w:lang w:eastAsia="zh-CN"/>
        </w:rPr>
        <w:t>Underlying Stock</w:t>
      </w:r>
      <w:r w:rsidRPr="00E65655">
        <w:rPr>
          <w:rFonts w:cs="Arial"/>
          <w:szCs w:val="20"/>
        </w:rPr>
        <w:t xml:space="preserve"> rises further, but will also maintain a reduced exposure to the </w:t>
      </w:r>
      <w:r w:rsidRPr="00E65655">
        <w:rPr>
          <w:rFonts w:cs="Arial" w:hint="eastAsia"/>
          <w:szCs w:val="20"/>
          <w:lang w:eastAsia="zh-CN"/>
        </w:rPr>
        <w:t>Underlying Stock</w:t>
      </w:r>
      <w:r w:rsidRPr="00E65655">
        <w:rPr>
          <w:rFonts w:cs="Arial"/>
          <w:szCs w:val="20"/>
        </w:rPr>
        <w:t xml:space="preserve"> in the event the </w:t>
      </w:r>
      <w:r w:rsidRPr="00E65655">
        <w:rPr>
          <w:rFonts w:cs="Arial" w:hint="eastAsia"/>
          <w:szCs w:val="20"/>
          <w:lang w:eastAsia="zh-CN"/>
        </w:rPr>
        <w:t>Underlying Stock</w:t>
      </w:r>
      <w:r w:rsidRPr="00E65655">
        <w:rPr>
          <w:rFonts w:cs="Arial"/>
          <w:szCs w:val="20"/>
        </w:rPr>
        <w:t xml:space="preserve"> starts to fall after the Air Bag Mechanism is triggered, thereby reducing its ability to recoup </w:t>
      </w:r>
      <w:proofErr w:type="gramStart"/>
      <w:r w:rsidRPr="00E65655">
        <w:rPr>
          <w:rFonts w:cs="Arial"/>
          <w:szCs w:val="20"/>
        </w:rPr>
        <w:t>losses</w:t>
      </w:r>
      <w:r w:rsidRPr="00E65655">
        <w:rPr>
          <w:color w:val="000000"/>
          <w:szCs w:val="20"/>
        </w:rPr>
        <w:t>;</w:t>
      </w:r>
      <w:proofErr w:type="gramEnd"/>
    </w:p>
    <w:p w14:paraId="5C019F3C" w14:textId="3694C260" w:rsidR="00BA2020" w:rsidRPr="00E65655" w:rsidRDefault="00BA2020" w:rsidP="009978D2">
      <w:pPr>
        <w:numPr>
          <w:ilvl w:val="0"/>
          <w:numId w:val="9"/>
        </w:numPr>
        <w:tabs>
          <w:tab w:val="clear" w:pos="9450"/>
        </w:tabs>
        <w:spacing w:after="140" w:line="286" w:lineRule="auto"/>
        <w:ind w:left="720" w:hanging="720"/>
        <w:jc w:val="both"/>
      </w:pPr>
      <w:r w:rsidRPr="00E65655">
        <w:t xml:space="preserve">there is no assurance that the Air Bag Mechanism will prevent investors from losing the entire value of their investment, in the event of (i) an overnight increase in the </w:t>
      </w:r>
      <w:r w:rsidRPr="00E65655">
        <w:rPr>
          <w:rFonts w:hint="eastAsia"/>
          <w:lang w:eastAsia="zh-CN"/>
        </w:rPr>
        <w:t>Underlying Stock</w:t>
      </w:r>
      <w:r w:rsidRPr="00E65655">
        <w:t xml:space="preserve">, where there is a 20% or greater gap between the previous </w:t>
      </w:r>
      <w:r w:rsidR="00D36A0C" w:rsidRPr="00E65655">
        <w:t xml:space="preserve">trading </w:t>
      </w:r>
      <w:r w:rsidRPr="00E65655">
        <w:t xml:space="preserve">day closing </w:t>
      </w:r>
      <w:r w:rsidRPr="00E65655">
        <w:rPr>
          <w:rFonts w:hint="eastAsia"/>
          <w:lang w:eastAsia="zh-CN"/>
        </w:rPr>
        <w:t>price</w:t>
      </w:r>
      <w:r w:rsidRPr="00E65655">
        <w:t xml:space="preserve"> and the opening </w:t>
      </w:r>
      <w:r w:rsidRPr="00E65655">
        <w:rPr>
          <w:rFonts w:hint="eastAsia"/>
          <w:lang w:eastAsia="zh-CN"/>
        </w:rPr>
        <w:lastRenderedPageBreak/>
        <w:t>price</w:t>
      </w:r>
      <w:r w:rsidRPr="00E65655">
        <w:t xml:space="preserve"> of the </w:t>
      </w:r>
      <w:r w:rsidRPr="00E65655">
        <w:rPr>
          <w:rFonts w:hint="eastAsia"/>
          <w:lang w:eastAsia="zh-CN"/>
        </w:rPr>
        <w:t>Underlying Stock</w:t>
      </w:r>
      <w:r w:rsidRPr="00E65655">
        <w:t xml:space="preserve"> the following </w:t>
      </w:r>
      <w:r w:rsidR="00D36A0C" w:rsidRPr="00E65655">
        <w:t xml:space="preserve">trading </w:t>
      </w:r>
      <w:r w:rsidRPr="00E65655">
        <w:t xml:space="preserve">day, as the Air Bag Mechanism will only be triggered when market opens </w:t>
      </w:r>
      <w:r w:rsidR="00963F58" w:rsidRPr="00E65655">
        <w:t>(including pre-opening session</w:t>
      </w:r>
      <w:r w:rsidR="009B4410" w:rsidRPr="00E65655">
        <w:t xml:space="preserve"> or opening auction, as the case may be</w:t>
      </w:r>
      <w:r w:rsidR="00963F58" w:rsidRPr="00E65655">
        <w:t xml:space="preserve">) </w:t>
      </w:r>
      <w:r w:rsidRPr="00E65655">
        <w:t xml:space="preserve">the following </w:t>
      </w:r>
      <w:r w:rsidR="00D36A0C" w:rsidRPr="00E65655">
        <w:t xml:space="preserve">trading </w:t>
      </w:r>
      <w:r w:rsidRPr="00E65655">
        <w:t xml:space="preserve">day or (ii) a sharp intraday increase in the price of the </w:t>
      </w:r>
      <w:r w:rsidRPr="00E65655">
        <w:rPr>
          <w:rFonts w:hint="eastAsia"/>
          <w:lang w:eastAsia="zh-CN"/>
        </w:rPr>
        <w:t>Underlying Stock</w:t>
      </w:r>
      <w:r w:rsidRPr="00E65655">
        <w:t xml:space="preserve"> of 20% or greater within the 15 minutes Observation Period compared to the reference price, being: (1) if air bag has not been previously triggered on the same day, the previous closing price of the Underlying Stock, or (2) if one or more air bag have been previously triggered on the same day, the latest New Observed Price. Investors may refer to pages </w:t>
      </w:r>
      <w:r w:rsidR="0063084C" w:rsidRPr="00E65655">
        <w:rPr>
          <w:bCs/>
        </w:rPr>
        <w:t>5</w:t>
      </w:r>
      <w:r w:rsidR="00CF22A1" w:rsidRPr="00E65655">
        <w:rPr>
          <w:bCs/>
        </w:rPr>
        <w:t>3</w:t>
      </w:r>
      <w:r w:rsidRPr="00E65655">
        <w:t> to </w:t>
      </w:r>
      <w:r w:rsidR="002636CF" w:rsidRPr="00E65655">
        <w:rPr>
          <w:bCs/>
        </w:rPr>
        <w:t>5</w:t>
      </w:r>
      <w:r w:rsidR="00CF22A1" w:rsidRPr="00E65655">
        <w:rPr>
          <w:bCs/>
        </w:rPr>
        <w:t>4</w:t>
      </w:r>
      <w:r w:rsidRPr="00E65655">
        <w:t xml:space="preserve"> of this document for more </w:t>
      </w:r>
      <w:proofErr w:type="gramStart"/>
      <w:r w:rsidRPr="00E65655">
        <w:t>information;</w:t>
      </w:r>
      <w:proofErr w:type="gramEnd"/>
    </w:p>
    <w:p w14:paraId="6B3F15CD" w14:textId="483B80DA" w:rsidR="00B05415" w:rsidRPr="00E65655" w:rsidRDefault="00BA2020" w:rsidP="009978D2">
      <w:pPr>
        <w:numPr>
          <w:ilvl w:val="0"/>
          <w:numId w:val="9"/>
        </w:numPr>
        <w:tabs>
          <w:tab w:val="clear" w:pos="9450"/>
        </w:tabs>
        <w:spacing w:after="140" w:line="286" w:lineRule="auto"/>
        <w:ind w:left="720" w:hanging="720"/>
        <w:jc w:val="both"/>
      </w:pPr>
      <w:r w:rsidRPr="00E65655">
        <w:t xml:space="preserve">certain events may, pursuant to the terms and conditions of the Certificates, trigger (i) the implementation of methods of adjustment or (ii) the early termination of the Certificates. </w:t>
      </w:r>
      <w:r w:rsidR="00CE2B79" w:rsidRPr="00E65655">
        <w:t xml:space="preserve">The </w:t>
      </w:r>
      <w:r w:rsidR="00B05415" w:rsidRPr="00E65655">
        <w:t>Certificates may be terminated prior to its Expiry Date for the following reasons which are not exhaustive:  Illegality and force majeure, occurrence of a Holding Limit Event (as defined in the Conditions of the Certificates) or Hedging Disruption (as defined in the Conditions of the Certificates).  For more detailed examples of when early termination may occur, please refer to the FAQ section under the “Education” tab on the website at dlc.socgen.com.</w:t>
      </w:r>
    </w:p>
    <w:p w14:paraId="45469AB6" w14:textId="3A594036" w:rsidR="00BA2020" w:rsidRPr="00E65655" w:rsidRDefault="00BA2020" w:rsidP="009978D2">
      <w:pPr>
        <w:spacing w:after="140" w:line="286" w:lineRule="auto"/>
        <w:ind w:left="720"/>
        <w:jc w:val="both"/>
      </w:pPr>
      <w:r w:rsidRPr="00E65655">
        <w:rPr>
          <w:rFonts w:hint="eastAsia"/>
          <w:lang w:eastAsia="zh-CN"/>
        </w:rPr>
        <w:t>The Issuer will</w:t>
      </w:r>
      <w:r w:rsidRPr="00E65655">
        <w:rPr>
          <w:lang w:eastAsia="zh-CN"/>
        </w:rPr>
        <w:t xml:space="preserve"> give the investors reasonable notice of any early termination</w:t>
      </w:r>
      <w:r w:rsidRPr="00E65655">
        <w:rPr>
          <w:rFonts w:hint="eastAsia"/>
          <w:lang w:eastAsia="zh-CN"/>
        </w:rPr>
        <w:t xml:space="preserve">. </w:t>
      </w:r>
      <w:r w:rsidRPr="00E65655">
        <w:t xml:space="preserve">If the Issuer terminates the Certificates early, the Issuer will, if and to the extent permitted by applicable law, pay an amount to each Certificate Holder in respect of each Certificate held by such holder equal to the fair market value of the Certificate less the cost to the Issuer of unwinding any underlying related hedging arrangements, all as determined by the Issuer in its sole and absolute discretion. The performance of this commitment shall depend on (i) general market conditions and (ii) the liquidity conditions of the underlying instrument(s) and, as the case may be, of any other hedging transactions. Investors should note that the amount repaid by the Issuer may be </w:t>
      </w:r>
      <w:r w:rsidR="00B05415" w:rsidRPr="00E65655">
        <w:t xml:space="preserve">substantially </w:t>
      </w:r>
      <w:r w:rsidRPr="00E65655">
        <w:t>less than the amount initially invested</w:t>
      </w:r>
      <w:r w:rsidR="00B05415" w:rsidRPr="00E65655">
        <w:t>, and at the worst case, be zero</w:t>
      </w:r>
      <w:r w:rsidRPr="00E65655">
        <w:t xml:space="preserve">. </w:t>
      </w:r>
      <w:r w:rsidRPr="00E65655">
        <w:rPr>
          <w:rFonts w:cs="Arial"/>
          <w:bCs/>
          <w:lang w:val="en-US"/>
        </w:rPr>
        <w:t xml:space="preserve">Investors may refer to </w:t>
      </w:r>
      <w:proofErr w:type="gramStart"/>
      <w:r w:rsidRPr="00E65655">
        <w:rPr>
          <w:rFonts w:cs="Arial"/>
          <w:bCs/>
          <w:lang w:val="en-US"/>
        </w:rPr>
        <w:t>the Condition</w:t>
      </w:r>
      <w:proofErr w:type="gramEnd"/>
      <w:r w:rsidRPr="00E65655">
        <w:rPr>
          <w:rFonts w:cs="Arial"/>
          <w:bCs/>
          <w:lang w:val="en-US"/>
        </w:rPr>
        <w:t xml:space="preserve"> 13 on pages </w:t>
      </w:r>
      <w:r w:rsidR="00EA3EE8" w:rsidRPr="00E65655">
        <w:rPr>
          <w:rFonts w:cs="Arial"/>
          <w:bCs/>
          <w:lang w:val="en-US"/>
        </w:rPr>
        <w:t>3</w:t>
      </w:r>
      <w:r w:rsidR="00912B20" w:rsidRPr="00E65655">
        <w:rPr>
          <w:rFonts w:cs="Arial"/>
          <w:bCs/>
          <w:lang w:val="en-US"/>
        </w:rPr>
        <w:t>9</w:t>
      </w:r>
      <w:r w:rsidRPr="00E65655">
        <w:rPr>
          <w:rFonts w:cs="Arial"/>
          <w:bCs/>
          <w:lang w:val="en-US"/>
        </w:rPr>
        <w:t xml:space="preserve"> to</w:t>
      </w:r>
      <w:r w:rsidRPr="00E65655">
        <w:rPr>
          <w:rFonts w:cs="Arial"/>
          <w:b/>
          <w:bCs/>
          <w:lang w:val="en-US"/>
        </w:rPr>
        <w:t xml:space="preserve"> </w:t>
      </w:r>
      <w:r w:rsidR="00252B32" w:rsidRPr="00E65655">
        <w:rPr>
          <w:rFonts w:cs="Arial"/>
          <w:bCs/>
          <w:lang w:val="en-US"/>
        </w:rPr>
        <w:t>4</w:t>
      </w:r>
      <w:r w:rsidR="00912B20" w:rsidRPr="00E65655">
        <w:rPr>
          <w:rFonts w:cs="Arial"/>
          <w:bCs/>
          <w:lang w:val="en-US"/>
        </w:rPr>
        <w:t>1</w:t>
      </w:r>
      <w:r w:rsidRPr="00E65655">
        <w:rPr>
          <w:rFonts w:cs="Arial"/>
          <w:b/>
          <w:bCs/>
          <w:lang w:val="en-US"/>
        </w:rPr>
        <w:t xml:space="preserve"> </w:t>
      </w:r>
      <w:r w:rsidRPr="00E65655">
        <w:rPr>
          <w:rFonts w:cs="Arial"/>
          <w:bCs/>
          <w:lang w:val="en-US"/>
        </w:rPr>
        <w:t xml:space="preserve">of this document for more </w:t>
      </w:r>
      <w:proofErr w:type="gramStart"/>
      <w:r w:rsidRPr="00E65655">
        <w:rPr>
          <w:rFonts w:cs="Arial"/>
          <w:bCs/>
          <w:lang w:val="en-US"/>
        </w:rPr>
        <w:t>information</w:t>
      </w:r>
      <w:r w:rsidRPr="00E65655">
        <w:t>;</w:t>
      </w:r>
      <w:proofErr w:type="gramEnd"/>
    </w:p>
    <w:p w14:paraId="40AA10C2" w14:textId="44FBD302" w:rsidR="00BA2020" w:rsidRPr="00E65655" w:rsidRDefault="00BA2020" w:rsidP="009978D2">
      <w:pPr>
        <w:numPr>
          <w:ilvl w:val="0"/>
          <w:numId w:val="9"/>
        </w:numPr>
        <w:tabs>
          <w:tab w:val="clear" w:pos="9450"/>
        </w:tabs>
        <w:spacing w:after="140" w:line="286" w:lineRule="auto"/>
        <w:ind w:left="720" w:hanging="720"/>
        <w:jc w:val="both"/>
      </w:pPr>
      <w:r w:rsidRPr="00E65655">
        <w:t xml:space="preserve">there is no assurance that an active trading market for the Certificates will sustain throughout the life of the Certificates, or if it does sustain, it may be due to market making on the part of the Designated Market Maker. The Issuer acting through its Designated Market Maker may be the only market participant buying and selling the Certificates. Therefore, the secondary market for the Certificates may be limited and you may not be able to realise the value of the Certificates. Do note that the bid-ask spread </w:t>
      </w:r>
      <w:r w:rsidR="00C07A63" w:rsidRPr="00E65655">
        <w:t xml:space="preserve">increases with </w:t>
      </w:r>
      <w:proofErr w:type="gramStart"/>
      <w:r w:rsidR="00C07A63" w:rsidRPr="00E65655">
        <w:t>illiquidity;</w:t>
      </w:r>
      <w:proofErr w:type="gramEnd"/>
    </w:p>
    <w:p w14:paraId="5751B7BE" w14:textId="77777777" w:rsidR="00BA2020" w:rsidRPr="00E65655" w:rsidRDefault="00BA2020" w:rsidP="009978D2">
      <w:pPr>
        <w:numPr>
          <w:ilvl w:val="0"/>
          <w:numId w:val="9"/>
        </w:numPr>
        <w:tabs>
          <w:tab w:val="clear" w:pos="9450"/>
        </w:tabs>
        <w:spacing w:after="140" w:line="286" w:lineRule="auto"/>
        <w:ind w:left="720" w:hanging="720"/>
        <w:jc w:val="both"/>
        <w:rPr>
          <w:rFonts w:cs="Arial"/>
          <w:bCs/>
        </w:rPr>
      </w:pPr>
      <w:r w:rsidRPr="00E65655">
        <w:rPr>
          <w:rFonts w:cs="Arial"/>
          <w:bCs/>
        </w:rPr>
        <w:t xml:space="preserve">in the ordinary course of their business, including without limitation, in connection with the Issuer or its appointed designated market maker’s market making activities, the Issuer, the Guarantor and any of their respective subsidiaries and affiliates may effect transactions for their own account or for the account of their customers and hold long or short positions in the </w:t>
      </w:r>
      <w:r w:rsidRPr="00E65655">
        <w:rPr>
          <w:rFonts w:cs="Arial" w:hint="eastAsia"/>
          <w:bCs/>
          <w:lang w:eastAsia="zh-CN"/>
        </w:rPr>
        <w:t>Underlying Stock</w:t>
      </w:r>
      <w:r w:rsidRPr="00E65655">
        <w:rPr>
          <w:rFonts w:cs="Arial"/>
          <w:bCs/>
        </w:rPr>
        <w:t xml:space="preserve">. In addition, in connection with the offering of any </w:t>
      </w:r>
      <w:r w:rsidRPr="00E65655">
        <w:t>Certificates</w:t>
      </w:r>
      <w:r w:rsidRPr="00E65655">
        <w:rPr>
          <w:rFonts w:cs="Arial"/>
          <w:bCs/>
        </w:rPr>
        <w:t xml:space="preserve">, the Issuer, the Guarantor and any of their respective subsidiaries and affiliates may </w:t>
      </w:r>
      <w:proofErr w:type="gramStart"/>
      <w:r w:rsidRPr="00E65655">
        <w:rPr>
          <w:rFonts w:cs="Arial"/>
          <w:bCs/>
        </w:rPr>
        <w:t>enter into</w:t>
      </w:r>
      <w:proofErr w:type="gramEnd"/>
      <w:r w:rsidRPr="00E65655">
        <w:rPr>
          <w:rFonts w:cs="Arial"/>
          <w:bCs/>
        </w:rPr>
        <w:t xml:space="preserve"> one or more hedging transactions with respect to the </w:t>
      </w:r>
      <w:r w:rsidRPr="00E65655">
        <w:rPr>
          <w:rFonts w:cs="Arial" w:hint="eastAsia"/>
          <w:bCs/>
          <w:lang w:eastAsia="zh-CN"/>
        </w:rPr>
        <w:t>Underlying Stock</w:t>
      </w:r>
      <w:r w:rsidRPr="00E65655">
        <w:rPr>
          <w:rFonts w:cs="Arial"/>
          <w:bCs/>
        </w:rPr>
        <w:t xml:space="preserve">. In connection with such hedging or market-making activities or with respect to proprietary or other trading activities by the Issuer, the Guarantor and any of their respective subsidiaries and affiliates, the Issuer, the Guarantor and any of their respective subsidiaries and affiliates may enter into transactions in the </w:t>
      </w:r>
      <w:r w:rsidRPr="00E65655">
        <w:rPr>
          <w:rFonts w:cs="Arial" w:hint="eastAsia"/>
          <w:bCs/>
          <w:lang w:eastAsia="zh-CN"/>
        </w:rPr>
        <w:t>Underlying Stock</w:t>
      </w:r>
      <w:r w:rsidRPr="00E65655">
        <w:rPr>
          <w:rFonts w:cs="Arial"/>
          <w:bCs/>
        </w:rPr>
        <w:t xml:space="preserve"> which may affect the market price, liquidity or value of the </w:t>
      </w:r>
      <w:r w:rsidRPr="00E65655">
        <w:t>Certificates</w:t>
      </w:r>
      <w:r w:rsidRPr="00E65655">
        <w:rPr>
          <w:rFonts w:cs="Arial"/>
          <w:bCs/>
        </w:rPr>
        <w:t xml:space="preserve"> and which may affect the interests of Certificate Holders;</w:t>
      </w:r>
    </w:p>
    <w:p w14:paraId="7502E8FC" w14:textId="77777777" w:rsidR="00BA2020" w:rsidRPr="00E65655" w:rsidRDefault="00BA2020" w:rsidP="009978D2">
      <w:pPr>
        <w:numPr>
          <w:ilvl w:val="0"/>
          <w:numId w:val="9"/>
        </w:numPr>
        <w:tabs>
          <w:tab w:val="clear" w:pos="9450"/>
        </w:tabs>
        <w:spacing w:after="140" w:line="286" w:lineRule="auto"/>
        <w:ind w:left="720" w:hanging="720"/>
        <w:jc w:val="both"/>
        <w:rPr>
          <w:rFonts w:cs="Arial"/>
        </w:rPr>
      </w:pPr>
      <w:r w:rsidRPr="00E65655">
        <w:rPr>
          <w:rFonts w:cs="Arial"/>
        </w:rPr>
        <w:t>various potential and actual conflicts of interest may arise from the overall activities of the Issuer, the Guarantor and/or any of their subsidiaries and affiliates.</w:t>
      </w:r>
    </w:p>
    <w:p w14:paraId="0BB0FA25" w14:textId="77777777" w:rsidR="00BA2020" w:rsidRPr="00E65655" w:rsidRDefault="00BA2020" w:rsidP="009978D2">
      <w:pPr>
        <w:spacing w:after="140" w:line="286" w:lineRule="auto"/>
        <w:ind w:left="720"/>
        <w:jc w:val="both"/>
        <w:rPr>
          <w:rFonts w:cs="Arial"/>
        </w:rPr>
      </w:pPr>
      <w:r w:rsidRPr="00E65655">
        <w:rPr>
          <w:rFonts w:cs="Arial"/>
        </w:rPr>
        <w:t xml:space="preserve">The Issuer, the Guarantor and any of their subsidiaries and affiliates are diversified financial institutions with relationships in countries around the world. These entities engage in a wide </w:t>
      </w:r>
      <w:r w:rsidRPr="00E65655">
        <w:rPr>
          <w:rFonts w:cs="Arial"/>
        </w:rPr>
        <w:lastRenderedPageBreak/>
        <w:t xml:space="preserve">range of commercial and investment banking, brokerage, funds management, hedging transactions and investment and other activities for their own account or the account of others. In addition, the Issuer, the Guarantor and any of their subsidiaries and affiliates, in connection with their other business activities, may possess or acquire material information about </w:t>
      </w:r>
      <w:r w:rsidRPr="00E65655">
        <w:rPr>
          <w:rFonts w:cs="Arial"/>
          <w:bCs/>
        </w:rPr>
        <w:t xml:space="preserve">the </w:t>
      </w:r>
      <w:r w:rsidRPr="00E65655">
        <w:rPr>
          <w:rFonts w:cs="Arial" w:hint="eastAsia"/>
          <w:bCs/>
          <w:lang w:eastAsia="zh-CN"/>
        </w:rPr>
        <w:t>Underlying Stock</w:t>
      </w:r>
      <w:r w:rsidRPr="00E65655">
        <w:rPr>
          <w:rFonts w:cs="Arial"/>
        </w:rPr>
        <w:t xml:space="preserve">. Such activities and information may involve or otherwise affect issuers of </w:t>
      </w:r>
      <w:r w:rsidRPr="00E65655">
        <w:rPr>
          <w:rFonts w:cs="Arial"/>
          <w:bCs/>
        </w:rPr>
        <w:t xml:space="preserve">the </w:t>
      </w:r>
      <w:r w:rsidRPr="00E65655">
        <w:rPr>
          <w:rFonts w:cs="Arial" w:hint="eastAsia"/>
          <w:bCs/>
          <w:lang w:eastAsia="zh-CN"/>
        </w:rPr>
        <w:t>Underlying Stock</w:t>
      </w:r>
      <w:r w:rsidRPr="00E65655">
        <w:rPr>
          <w:rFonts w:cs="Arial"/>
          <w:bCs/>
        </w:rPr>
        <w:t xml:space="preserve"> </w:t>
      </w:r>
      <w:r w:rsidRPr="00E65655">
        <w:rPr>
          <w:rFonts w:cs="Arial"/>
        </w:rPr>
        <w:t xml:space="preserve">in a manner that may cause consequences adverse to the Certificate Holders or otherwise create conflicts of interests in connection with the issue of </w:t>
      </w:r>
      <w:r w:rsidRPr="00E65655">
        <w:t>Certificates</w:t>
      </w:r>
      <w:r w:rsidRPr="00E65655">
        <w:rPr>
          <w:rFonts w:cs="Arial"/>
        </w:rPr>
        <w:t xml:space="preserve"> by the Issuer. Such actions and conflicts may include, without limitation, the exercise of voting power, the purchase and sale of securities, financial advisory relationships and exercise of creditor rights. The Issuer, the Guarantor and any of their subsidiaries and affiliates have no obligation to disclose such information about </w:t>
      </w:r>
      <w:r w:rsidRPr="00E65655">
        <w:rPr>
          <w:rFonts w:cs="Arial"/>
          <w:bCs/>
        </w:rPr>
        <w:t xml:space="preserve">the </w:t>
      </w:r>
      <w:r w:rsidRPr="00E65655">
        <w:rPr>
          <w:rFonts w:cs="Arial" w:hint="eastAsia"/>
          <w:bCs/>
          <w:lang w:eastAsia="zh-CN"/>
        </w:rPr>
        <w:t>Underlying Stock</w:t>
      </w:r>
      <w:r w:rsidRPr="00E65655">
        <w:rPr>
          <w:rFonts w:cs="Arial"/>
          <w:bCs/>
        </w:rPr>
        <w:t xml:space="preserve"> </w:t>
      </w:r>
      <w:r w:rsidRPr="00E65655">
        <w:rPr>
          <w:rFonts w:cs="Arial"/>
        </w:rPr>
        <w:t xml:space="preserve">or such activities. The Issuer, the Guarantor and any of their subsidiaries and affiliates and their officers and directors may engage in any such activities without regard to the issue of </w:t>
      </w:r>
      <w:r w:rsidRPr="00E65655">
        <w:t>Certificates</w:t>
      </w:r>
      <w:r w:rsidRPr="00E65655">
        <w:rPr>
          <w:rFonts w:cs="Arial"/>
        </w:rPr>
        <w:t xml:space="preserve"> by the Issuer or the effect that such activities may directly or indirectly have on any </w:t>
      </w:r>
      <w:proofErr w:type="gramStart"/>
      <w:r w:rsidRPr="00E65655">
        <w:rPr>
          <w:rFonts w:cs="Arial"/>
        </w:rPr>
        <w:t>Certificate;</w:t>
      </w:r>
      <w:proofErr w:type="gramEnd"/>
    </w:p>
    <w:p w14:paraId="1F7914D1" w14:textId="77777777" w:rsidR="00BA2020" w:rsidRPr="00E65655" w:rsidRDefault="00BA2020" w:rsidP="009978D2">
      <w:pPr>
        <w:numPr>
          <w:ilvl w:val="0"/>
          <w:numId w:val="9"/>
        </w:numPr>
        <w:tabs>
          <w:tab w:val="clear" w:pos="9450"/>
        </w:tabs>
        <w:spacing w:after="140" w:line="286" w:lineRule="auto"/>
        <w:ind w:left="720" w:hanging="720"/>
        <w:jc w:val="both"/>
      </w:pPr>
      <w:r w:rsidRPr="00E65655">
        <w:t>legal considerations which may restrict the possibility of certain investments:</w:t>
      </w:r>
    </w:p>
    <w:p w14:paraId="03205252" w14:textId="77777777" w:rsidR="00BA2020" w:rsidRPr="00E65655" w:rsidRDefault="00BA2020" w:rsidP="009978D2">
      <w:pPr>
        <w:spacing w:after="140" w:line="286" w:lineRule="auto"/>
        <w:ind w:left="720"/>
        <w:jc w:val="both"/>
      </w:pPr>
      <w:r w:rsidRPr="00E65655">
        <w:t xml:space="preserve">Some investors’ investment activities are subject to specific laws and regulations or laws and regulations currently being considered by various authorities. All potential investors must consult their own legal advisers to check whether and to what extent (i) they can legally purchase the Certificates (ii) the Certificates can be used as collateral security for various forms of borrowing (iii) if other restrictions apply to the purchase of Certificates or their use as collateral security. Financial institutions must consult their legal advisers or regulators to determine the appropriate treatment of the Certificates under any applicable risk-based capital or similar </w:t>
      </w:r>
      <w:proofErr w:type="gramStart"/>
      <w:r w:rsidRPr="00E65655">
        <w:t>rules;</w:t>
      </w:r>
      <w:proofErr w:type="gramEnd"/>
    </w:p>
    <w:p w14:paraId="0A02D6B4" w14:textId="77777777" w:rsidR="00BA2020" w:rsidRPr="00E65655" w:rsidRDefault="00BA2020" w:rsidP="009978D2">
      <w:pPr>
        <w:numPr>
          <w:ilvl w:val="0"/>
          <w:numId w:val="9"/>
        </w:numPr>
        <w:tabs>
          <w:tab w:val="clear" w:pos="9450"/>
        </w:tabs>
        <w:spacing w:after="140" w:line="286" w:lineRule="auto"/>
        <w:ind w:left="720" w:hanging="720"/>
        <w:jc w:val="both"/>
      </w:pPr>
      <w:r w:rsidRPr="00E65655">
        <w:t xml:space="preserve">the credit rating of the Guarantor is an assessment of its ability to pay obligations, including those on the Certificates. Consequently, actual or anticipated declines in the credit rating of the Guarantor may affect the market value of the </w:t>
      </w:r>
      <w:proofErr w:type="gramStart"/>
      <w:r w:rsidRPr="00E65655">
        <w:t>Certificates;</w:t>
      </w:r>
      <w:proofErr w:type="gramEnd"/>
    </w:p>
    <w:p w14:paraId="29F372BD" w14:textId="77777777" w:rsidR="00BA2020" w:rsidRPr="00E65655" w:rsidRDefault="00BA2020" w:rsidP="009978D2">
      <w:pPr>
        <w:numPr>
          <w:ilvl w:val="0"/>
          <w:numId w:val="9"/>
        </w:numPr>
        <w:tabs>
          <w:tab w:val="clear" w:pos="9450"/>
        </w:tabs>
        <w:spacing w:after="140" w:line="286" w:lineRule="auto"/>
        <w:ind w:left="720" w:hanging="720"/>
        <w:jc w:val="both"/>
      </w:pPr>
      <w:r w:rsidRPr="00E65655">
        <w:t>the Certificates are linked to the Underlying Stock and subject to the risk that the price of the Underlying Stock may rise. The following is a list of some of the significant risks associated with the Underlying Stock:</w:t>
      </w:r>
    </w:p>
    <w:p w14:paraId="7B8581BB" w14:textId="77777777" w:rsidR="00BA2020" w:rsidRPr="00E65655" w:rsidRDefault="00BA2020" w:rsidP="009978D2">
      <w:pPr>
        <w:pStyle w:val="ListParagraph"/>
        <w:numPr>
          <w:ilvl w:val="0"/>
          <w:numId w:val="23"/>
        </w:numPr>
        <w:spacing w:after="140" w:line="286" w:lineRule="auto"/>
        <w:ind w:hanging="720"/>
        <w:jc w:val="both"/>
      </w:pPr>
      <w:r w:rsidRPr="00E65655">
        <w:t>Historical performance of the Underlying Stock does not give an indication of future performance of the Underlying Stock. It is impossible to predict whether the price of the Underlying Stock will fall or rise over the term of the Certificates; and</w:t>
      </w:r>
    </w:p>
    <w:p w14:paraId="4BCEE605" w14:textId="77777777" w:rsidR="00BA2020" w:rsidRPr="00E65655" w:rsidRDefault="00BA2020" w:rsidP="009978D2">
      <w:pPr>
        <w:pStyle w:val="ListParagraph"/>
        <w:numPr>
          <w:ilvl w:val="0"/>
          <w:numId w:val="23"/>
        </w:numPr>
        <w:spacing w:after="140" w:line="286" w:lineRule="auto"/>
        <w:ind w:hanging="720"/>
        <w:jc w:val="both"/>
        <w:rPr>
          <w:rFonts w:cs="Arial"/>
          <w:b/>
          <w:snapToGrid w:val="0"/>
        </w:rPr>
      </w:pPr>
      <w:r w:rsidRPr="00E65655">
        <w:t xml:space="preserve">The price of the Underlying Stock may be affected by the economic, financial and political events in one or more jurisdictions, including the stock exchange(s) or quotation system(s) on which the Underlying Stock may be </w:t>
      </w:r>
      <w:proofErr w:type="gramStart"/>
      <w:r w:rsidRPr="00E65655">
        <w:t>traded;</w:t>
      </w:r>
      <w:proofErr w:type="gramEnd"/>
    </w:p>
    <w:p w14:paraId="5B5B3272" w14:textId="77777777" w:rsidR="00BA2020" w:rsidRPr="00E65655" w:rsidRDefault="00BA2020" w:rsidP="009978D2">
      <w:pPr>
        <w:numPr>
          <w:ilvl w:val="0"/>
          <w:numId w:val="9"/>
        </w:numPr>
        <w:tabs>
          <w:tab w:val="clear" w:pos="9450"/>
        </w:tabs>
        <w:spacing w:after="140" w:line="286" w:lineRule="auto"/>
        <w:ind w:left="720" w:hanging="720"/>
        <w:jc w:val="both"/>
        <w:rPr>
          <w:rFonts w:cs="Arial"/>
          <w:snapToGrid w:val="0"/>
        </w:rPr>
      </w:pPr>
      <w:r w:rsidRPr="00E65655">
        <w:rPr>
          <w:rFonts w:cs="Arial"/>
          <w:snapToGrid w:val="0"/>
        </w:rPr>
        <w:t xml:space="preserve">the value of the Certificates depends on the Leverage Inverse Strategy performance built in the Certificate. The Calculation Agent will make the Leverage Inverse Strategy last closing level and a calculation tool available to the investors on a </w:t>
      </w:r>
      <w:proofErr w:type="gramStart"/>
      <w:r w:rsidRPr="00E65655">
        <w:rPr>
          <w:rFonts w:cs="Arial"/>
          <w:snapToGrid w:val="0"/>
        </w:rPr>
        <w:t>website;</w:t>
      </w:r>
      <w:proofErr w:type="gramEnd"/>
    </w:p>
    <w:p w14:paraId="54AB1714" w14:textId="66126E11" w:rsidR="00BA2020" w:rsidRPr="00E65655" w:rsidRDefault="00BA2020" w:rsidP="009978D2">
      <w:pPr>
        <w:numPr>
          <w:ilvl w:val="0"/>
          <w:numId w:val="9"/>
        </w:numPr>
        <w:tabs>
          <w:tab w:val="clear" w:pos="9450"/>
        </w:tabs>
        <w:spacing w:after="140" w:line="286" w:lineRule="auto"/>
        <w:ind w:left="720" w:hanging="720"/>
        <w:jc w:val="both"/>
        <w:rPr>
          <w:rFonts w:cs="Arial"/>
          <w:snapToGrid w:val="0"/>
        </w:rPr>
      </w:pPr>
      <w:r w:rsidRPr="00E65655">
        <w:rPr>
          <w:rFonts w:cs="Arial"/>
        </w:rPr>
        <w:t xml:space="preserve">two or more risk factors may simultaneously </w:t>
      </w:r>
      <w:proofErr w:type="gramStart"/>
      <w:r w:rsidRPr="00E65655">
        <w:rPr>
          <w:rFonts w:cs="Arial"/>
        </w:rPr>
        <w:t>have an effect on</w:t>
      </w:r>
      <w:proofErr w:type="gramEnd"/>
      <w:r w:rsidRPr="00E65655">
        <w:rPr>
          <w:rFonts w:cs="Arial"/>
        </w:rPr>
        <w:t xml:space="preserve"> the value of a Certificate such that the effect of any individual risk factor may not be predicted. No assurance can be given as to the effect any combination of risk factors may have</w:t>
      </w:r>
      <w:r w:rsidR="00C07A63" w:rsidRPr="00E65655">
        <w:rPr>
          <w:rFonts w:cs="Arial"/>
        </w:rPr>
        <w:t xml:space="preserve"> on the value of a </w:t>
      </w:r>
      <w:proofErr w:type="gramStart"/>
      <w:r w:rsidR="00C07A63" w:rsidRPr="00E65655">
        <w:rPr>
          <w:rFonts w:cs="Arial"/>
        </w:rPr>
        <w:t>Certificate;</w:t>
      </w:r>
      <w:proofErr w:type="gramEnd"/>
    </w:p>
    <w:p w14:paraId="42A14809" w14:textId="77777777" w:rsidR="00BA2020" w:rsidRPr="00E65655" w:rsidRDefault="00BA2020" w:rsidP="009978D2">
      <w:pPr>
        <w:numPr>
          <w:ilvl w:val="0"/>
          <w:numId w:val="9"/>
        </w:numPr>
        <w:tabs>
          <w:tab w:val="clear" w:pos="9450"/>
        </w:tabs>
        <w:spacing w:after="140" w:line="286" w:lineRule="auto"/>
        <w:ind w:left="741" w:hanging="741"/>
        <w:jc w:val="both"/>
      </w:pPr>
      <w:r w:rsidRPr="00E65655">
        <w:t>as the Certificates are represented by a global warrant certificate which will be deposited with The Central Depository (Pte) Limited (“</w:t>
      </w:r>
      <w:r w:rsidRPr="00E65655">
        <w:rPr>
          <w:b/>
          <w:bCs/>
        </w:rPr>
        <w:t>CDP</w:t>
      </w:r>
      <w:r w:rsidRPr="00E65655">
        <w:t>”):</w:t>
      </w:r>
    </w:p>
    <w:p w14:paraId="40555F14" w14:textId="77777777" w:rsidR="00BA2020" w:rsidRPr="00E65655" w:rsidRDefault="00BA2020" w:rsidP="009978D2">
      <w:pPr>
        <w:numPr>
          <w:ilvl w:val="0"/>
          <w:numId w:val="13"/>
        </w:numPr>
        <w:spacing w:after="140" w:line="286" w:lineRule="auto"/>
        <w:jc w:val="both"/>
      </w:pPr>
      <w:r w:rsidRPr="00E65655">
        <w:t xml:space="preserve">investors should note that no definitive certificate will be issued in relation to the </w:t>
      </w:r>
      <w:proofErr w:type="gramStart"/>
      <w:r w:rsidRPr="00E65655">
        <w:t>Certificates;</w:t>
      </w:r>
      <w:proofErr w:type="gramEnd"/>
    </w:p>
    <w:p w14:paraId="262D6BFE" w14:textId="77777777" w:rsidR="00BA2020" w:rsidRPr="00E65655" w:rsidRDefault="00BA2020" w:rsidP="009978D2">
      <w:pPr>
        <w:numPr>
          <w:ilvl w:val="0"/>
          <w:numId w:val="13"/>
        </w:numPr>
        <w:spacing w:after="140" w:line="286" w:lineRule="auto"/>
        <w:jc w:val="both"/>
        <w:rPr>
          <w:snapToGrid w:val="0"/>
          <w:color w:val="000000"/>
          <w:szCs w:val="20"/>
        </w:rPr>
      </w:pPr>
      <w:r w:rsidRPr="00E65655">
        <w:rPr>
          <w:snapToGrid w:val="0"/>
          <w:color w:val="000000"/>
          <w:szCs w:val="20"/>
        </w:rPr>
        <w:lastRenderedPageBreak/>
        <w:t>there will be no register of Certificate Holders and each person who is for the time being shown in the records maintained by CDP as entitled to a particular number of Certificates by way of interest (to the extent of such number) in the global warrant certificate in respect of those Certificates represented thereby shall be treated as the holder of such number of Certificates;</w:t>
      </w:r>
    </w:p>
    <w:p w14:paraId="3794AE10" w14:textId="77777777" w:rsidR="00BA2020" w:rsidRPr="00E65655" w:rsidRDefault="00BA2020" w:rsidP="009978D2">
      <w:pPr>
        <w:numPr>
          <w:ilvl w:val="0"/>
          <w:numId w:val="13"/>
        </w:numPr>
        <w:spacing w:after="140" w:line="286" w:lineRule="auto"/>
        <w:jc w:val="both"/>
      </w:pPr>
      <w:r w:rsidRPr="00E65655">
        <w:t>investors will need to rely on any statements received from their brokers/custodians as evidence of their interest in the Certificates; and</w:t>
      </w:r>
    </w:p>
    <w:p w14:paraId="5DE67DE4" w14:textId="0E37EBEF" w:rsidR="00BA2020" w:rsidRPr="00E65655" w:rsidRDefault="00BA2020" w:rsidP="009978D2">
      <w:pPr>
        <w:numPr>
          <w:ilvl w:val="0"/>
          <w:numId w:val="13"/>
        </w:numPr>
        <w:spacing w:after="140" w:line="286" w:lineRule="auto"/>
        <w:jc w:val="both"/>
      </w:pPr>
      <w:r w:rsidRPr="00E65655">
        <w:t xml:space="preserve">notices to such Certificate Holders will be published on the </w:t>
      </w:r>
      <w:proofErr w:type="gramStart"/>
      <w:r w:rsidRPr="00E65655">
        <w:t>web-site</w:t>
      </w:r>
      <w:proofErr w:type="gramEnd"/>
      <w:r w:rsidRPr="00E65655">
        <w:t xml:space="preserve"> of the SGX-ST.  Investors will need to check the </w:t>
      </w:r>
      <w:proofErr w:type="gramStart"/>
      <w:r w:rsidRPr="00E65655">
        <w:t>web-site</w:t>
      </w:r>
      <w:proofErr w:type="gramEnd"/>
      <w:r w:rsidRPr="00E65655">
        <w:t xml:space="preserve"> of the SGX-ST regularly and/or rely on their brokers/cus</w:t>
      </w:r>
      <w:r w:rsidR="00C07A63" w:rsidRPr="00E65655">
        <w:t xml:space="preserve">todians to obtain such </w:t>
      </w:r>
      <w:proofErr w:type="gramStart"/>
      <w:r w:rsidR="00C07A63" w:rsidRPr="00E65655">
        <w:t>notices;</w:t>
      </w:r>
      <w:proofErr w:type="gramEnd"/>
    </w:p>
    <w:p w14:paraId="6E788B1D" w14:textId="77777777" w:rsidR="00BA2020" w:rsidRPr="00E65655" w:rsidRDefault="00BA2020" w:rsidP="009978D2">
      <w:pPr>
        <w:numPr>
          <w:ilvl w:val="0"/>
          <w:numId w:val="9"/>
        </w:numPr>
        <w:tabs>
          <w:tab w:val="clear" w:pos="9450"/>
        </w:tabs>
        <w:spacing w:after="140" w:line="286" w:lineRule="auto"/>
        <w:ind w:left="720" w:hanging="720"/>
        <w:jc w:val="both"/>
      </w:pPr>
      <w:r w:rsidRPr="00E65655">
        <w:t>the US Foreign Account Tax Compliance Act (“</w:t>
      </w:r>
      <w:r w:rsidRPr="00E65655">
        <w:rPr>
          <w:b/>
        </w:rPr>
        <w:t>FATCA</w:t>
      </w:r>
      <w:r w:rsidRPr="00E65655">
        <w:t>”) withholding risk:</w:t>
      </w:r>
    </w:p>
    <w:p w14:paraId="217DB7F8" w14:textId="794A10EA" w:rsidR="00BA2020" w:rsidRPr="00E65655" w:rsidRDefault="00446232" w:rsidP="009978D2">
      <w:pPr>
        <w:spacing w:after="140" w:line="286" w:lineRule="auto"/>
        <w:ind w:left="720"/>
        <w:jc w:val="both"/>
      </w:pPr>
      <w:bookmarkStart w:id="2" w:name="_DV_C865"/>
      <w:bookmarkEnd w:id="2"/>
      <w:r w:rsidRPr="00E65655">
        <w:t xml:space="preserve">FATCA generally imposes a 30 per cent. withholding tax on certain U.S.-source payments to certain non-US persons that do provide certification of their compliance with IRS rules to disclose the identity of their US owners and account holders (if any) or establish a basis for exemption for such disclosure. The Issuer </w:t>
      </w:r>
      <w:bookmarkStart w:id="3" w:name="_cp_change_21"/>
      <w:bookmarkStart w:id="4" w:name="_cp_change_22"/>
      <w:bookmarkEnd w:id="3"/>
      <w:bookmarkEnd w:id="4"/>
      <w:r w:rsidRPr="00E65655">
        <w:t xml:space="preserve">or an investor’s broker or custodian may be subject to FATCA and, as a result, </w:t>
      </w:r>
      <w:bookmarkStart w:id="5" w:name="_cp_change_23"/>
      <w:bookmarkStart w:id="6" w:name="_cp_change_24"/>
      <w:bookmarkEnd w:id="5"/>
      <w:bookmarkEnd w:id="6"/>
      <w:r w:rsidRPr="00E65655">
        <w:t xml:space="preserve">may be required to obtain certification from investors that they have complied with FATCA disclosure requirements or have established a basis for exemption from FATCA. If an investor does not provide </w:t>
      </w:r>
      <w:bookmarkStart w:id="7" w:name="_cp_change_25"/>
      <w:bookmarkStart w:id="8" w:name="_cp_change_26"/>
      <w:bookmarkEnd w:id="7"/>
      <w:bookmarkEnd w:id="8"/>
      <w:r w:rsidRPr="00E65655">
        <w:t xml:space="preserve">the Issuer or the relevant broker or custodian with such certification, the Issuer and the Guarantor </w:t>
      </w:r>
      <w:bookmarkStart w:id="9" w:name="_cp_change_27"/>
      <w:bookmarkEnd w:id="9"/>
      <w:r w:rsidRPr="00E65655">
        <w:t xml:space="preserve">or other withholding agent could be required to withhold U.S. tax on U.S.-source income (if any) paid pursuant to the Certificates. In certain cases, the Issuer </w:t>
      </w:r>
      <w:bookmarkStart w:id="10" w:name="_cp_change_28"/>
      <w:bookmarkEnd w:id="10"/>
      <w:r w:rsidRPr="00E65655">
        <w:t>or the relevant broker or custodian could be required to close an account of an investor who does not comply with the FATCA certification procedures</w:t>
      </w:r>
      <w:r w:rsidR="00BA2020" w:rsidRPr="00E65655">
        <w:t>.</w:t>
      </w:r>
    </w:p>
    <w:p w14:paraId="6F07763D" w14:textId="77777777" w:rsidR="00BA2020" w:rsidRPr="00E65655" w:rsidRDefault="00BA2020" w:rsidP="009978D2">
      <w:pPr>
        <w:spacing w:after="140" w:line="286" w:lineRule="auto"/>
        <w:ind w:left="720"/>
        <w:jc w:val="both"/>
      </w:pPr>
      <w:r w:rsidRPr="00E65655">
        <w:t xml:space="preserve">FATCA IS PARTICULARLY COMPLEX. EACH INVESTOR SHOULD CONSULT ITS OWN TAX ADVISER TO OBTAIN A MORE DETAILED EXPLANATION OF FATCA AND TO DETERMINE HOW THIS LEGISLATION MIGHT AFFECT EACH INVESTOR IN ITS PARTICULAR </w:t>
      </w:r>
      <w:proofErr w:type="gramStart"/>
      <w:r w:rsidRPr="00E65655">
        <w:t>CIRCUMSTANCES;</w:t>
      </w:r>
      <w:proofErr w:type="gramEnd"/>
    </w:p>
    <w:p w14:paraId="0C4FF780" w14:textId="77777777" w:rsidR="00BA2020" w:rsidRPr="00E65655" w:rsidRDefault="00BA2020" w:rsidP="009978D2">
      <w:pPr>
        <w:numPr>
          <w:ilvl w:val="0"/>
          <w:numId w:val="9"/>
        </w:numPr>
        <w:tabs>
          <w:tab w:val="clear" w:pos="9450"/>
        </w:tabs>
        <w:spacing w:after="140" w:line="286" w:lineRule="auto"/>
        <w:ind w:left="720" w:hanging="720"/>
        <w:jc w:val="both"/>
        <w:rPr>
          <w:rFonts w:ascii="Times New Roman" w:eastAsia="Times New Roman" w:hAnsi="Times New Roman"/>
          <w:b/>
          <w:bCs/>
          <w:szCs w:val="20"/>
        </w:rPr>
      </w:pPr>
      <w:r w:rsidRPr="00E65655">
        <w:t>U.S. withholding tax</w:t>
      </w:r>
    </w:p>
    <w:p w14:paraId="056AFAAC" w14:textId="741F4D02" w:rsidR="00D36A0C" w:rsidRPr="00E65655" w:rsidRDefault="00BA2020" w:rsidP="009978D2">
      <w:pPr>
        <w:spacing w:after="140" w:line="286" w:lineRule="auto"/>
        <w:ind w:left="720"/>
        <w:jc w:val="both"/>
        <w:rPr>
          <w:rFonts w:cs="Arial"/>
          <w:color w:val="000000"/>
          <w:szCs w:val="20"/>
          <w:lang w:val="en-US"/>
        </w:rPr>
      </w:pPr>
      <w:r w:rsidRPr="00E65655">
        <w:rPr>
          <w:lang w:val="en-US"/>
        </w:rPr>
        <w:t xml:space="preserve">The Issuer has determined that this Certificate is not linked to U.S. Underlying Equities within the meaning of applicable regulations under Section 871(m) of the United States Internal Revenue Code, as discussed in the accompanying Base Listing Document under “TAXATION—TAXATION IN THE UNITED STATES OF AMERICA—Section 871(m) of the U.S. Internal Revenue Code of 1986.” Accordingly, the Issuer expects that Section 871(m) will not apply to the Certificates. Such determination is not binding on the IRS, and the IRS may disagree with this determination. Section 871(m) is complex and its application may depend on a Certificate Holder's particular circumstances. Certificate Holders should consult with their own tax advisers regarding the potential application of Section 871(m) to the </w:t>
      </w:r>
      <w:proofErr w:type="gramStart"/>
      <w:r w:rsidRPr="00E65655">
        <w:rPr>
          <w:lang w:val="en-US"/>
        </w:rPr>
        <w:t>Certificates;</w:t>
      </w:r>
      <w:proofErr w:type="gramEnd"/>
      <w:r w:rsidRPr="00E65655">
        <w:rPr>
          <w:rFonts w:cs="Arial"/>
          <w:b/>
          <w:color w:val="000000"/>
          <w:szCs w:val="20"/>
          <w:lang w:val="en-US"/>
        </w:rPr>
        <w:t xml:space="preserve"> </w:t>
      </w:r>
    </w:p>
    <w:p w14:paraId="1FDF997E" w14:textId="6FD1CB20" w:rsidR="00D36A0C" w:rsidRPr="00E65655" w:rsidRDefault="00D36A0C" w:rsidP="009978D2">
      <w:pPr>
        <w:numPr>
          <w:ilvl w:val="0"/>
          <w:numId w:val="9"/>
        </w:numPr>
        <w:tabs>
          <w:tab w:val="clear" w:pos="9450"/>
        </w:tabs>
        <w:spacing w:after="140" w:line="286" w:lineRule="auto"/>
        <w:ind w:left="720" w:hanging="720"/>
        <w:jc w:val="both"/>
        <w:rPr>
          <w:rFonts w:cs="Arial"/>
        </w:rPr>
      </w:pPr>
      <w:r w:rsidRPr="00E65655">
        <w:rPr>
          <w:rFonts w:cs="Arial"/>
        </w:rPr>
        <w:t>risks arising from the taxation of securities</w:t>
      </w:r>
    </w:p>
    <w:p w14:paraId="348E4488" w14:textId="14793E2A" w:rsidR="00D36A0C" w:rsidRPr="00E65655" w:rsidRDefault="00D36A0C" w:rsidP="009978D2">
      <w:pPr>
        <w:spacing w:after="140" w:line="286" w:lineRule="auto"/>
        <w:ind w:left="720"/>
        <w:jc w:val="both"/>
        <w:rPr>
          <w:rFonts w:cs="Arial"/>
        </w:rPr>
      </w:pPr>
      <w:r w:rsidRPr="00E65655">
        <w:rPr>
          <w:rFonts w:cs="Arial"/>
        </w:rPr>
        <w:t xml:space="preserve">Tax law and practice are subject to change, possibly with retroactive effect. This may have a negative impact on the value of the Certificates and/or the market price of the Certificates. For example, the specific tax assessment of the Certificates may change compared to its assessment at the time of purchase of the Certificates. This is especially true </w:t>
      </w:r>
      <w:proofErr w:type="gramStart"/>
      <w:r w:rsidRPr="00E65655">
        <w:rPr>
          <w:rFonts w:cs="Arial"/>
        </w:rPr>
        <w:t>with regard to</w:t>
      </w:r>
      <w:proofErr w:type="gramEnd"/>
      <w:r w:rsidRPr="00E65655">
        <w:rPr>
          <w:rFonts w:cs="Arial"/>
        </w:rPr>
        <w:t xml:space="preserve"> derivative Certificates and their tax treatment. Holders of Certificates therefore bear the risk that they may misjudge the taxation of the income from the purchase of the Certificates. However, there is also the possibility that the taxation of the income from the purchase of the Certificates will change to the detriment of the holders.</w:t>
      </w:r>
    </w:p>
    <w:p w14:paraId="1B112E17" w14:textId="26656F42" w:rsidR="00D36A0C" w:rsidRPr="00E65655" w:rsidRDefault="00D36A0C" w:rsidP="009978D2">
      <w:pPr>
        <w:spacing w:after="140" w:line="286" w:lineRule="auto"/>
        <w:ind w:left="720"/>
        <w:jc w:val="both"/>
        <w:rPr>
          <w:rFonts w:cs="Arial"/>
        </w:rPr>
      </w:pPr>
      <w:r w:rsidRPr="00E65655">
        <w:rPr>
          <w:rFonts w:cs="Arial"/>
        </w:rPr>
        <w:lastRenderedPageBreak/>
        <w:t xml:space="preserve">Holders of the Certificates bear the risk that the specific tax assessment of the Certificates will change. This can have a negative impact on the value of the </w:t>
      </w:r>
      <w:proofErr w:type="gramStart"/>
      <w:r w:rsidRPr="00E65655">
        <w:rPr>
          <w:rFonts w:cs="Arial"/>
        </w:rPr>
        <w:t>Certificates</w:t>
      </w:r>
      <w:proofErr w:type="gramEnd"/>
      <w:r w:rsidRPr="00E65655">
        <w:rPr>
          <w:rFonts w:cs="Arial"/>
        </w:rPr>
        <w:t xml:space="preserve"> and the investor may incur a corresponding loss. The stronger this negative effect, the greater the loss may </w:t>
      </w:r>
      <w:proofErr w:type="gramStart"/>
      <w:r w:rsidRPr="00E65655">
        <w:rPr>
          <w:rFonts w:cs="Arial"/>
        </w:rPr>
        <w:t>be;</w:t>
      </w:r>
      <w:proofErr w:type="gramEnd"/>
      <w:r w:rsidRPr="00E65655">
        <w:rPr>
          <w:rFonts w:cs="Arial"/>
        </w:rPr>
        <w:t xml:space="preserve"> and</w:t>
      </w:r>
    </w:p>
    <w:p w14:paraId="30EBD67D" w14:textId="6FDA2C3A" w:rsidR="00BA2020" w:rsidRPr="00E65655" w:rsidRDefault="00BA2020" w:rsidP="009978D2">
      <w:pPr>
        <w:numPr>
          <w:ilvl w:val="0"/>
          <w:numId w:val="9"/>
        </w:numPr>
        <w:tabs>
          <w:tab w:val="clear" w:pos="9450"/>
        </w:tabs>
        <w:spacing w:after="140" w:line="286" w:lineRule="auto"/>
        <w:ind w:left="720" w:hanging="720"/>
        <w:jc w:val="both"/>
        <w:rPr>
          <w:rFonts w:cs="Arial"/>
        </w:rPr>
      </w:pPr>
      <w:r w:rsidRPr="00E65655">
        <w:rPr>
          <w:rFonts w:cs="Arial"/>
        </w:rPr>
        <w:t>risk factors relating to the BRRD</w:t>
      </w:r>
    </w:p>
    <w:p w14:paraId="340329A0" w14:textId="77777777" w:rsidR="007F6676" w:rsidRPr="00E65655" w:rsidRDefault="007F6676" w:rsidP="007F6676">
      <w:pPr>
        <w:keepNext/>
        <w:keepLines/>
        <w:spacing w:after="140" w:line="290" w:lineRule="auto"/>
        <w:ind w:left="720"/>
        <w:jc w:val="both"/>
        <w:outlineLvl w:val="0"/>
        <w:rPr>
          <w:i/>
          <w:iCs/>
        </w:rPr>
      </w:pPr>
      <w:r w:rsidRPr="00E65655">
        <w:rPr>
          <w:i/>
          <w:iCs/>
        </w:rPr>
        <w:t>French and Luxembourg law and European legislation regarding the resolution of financial institutions may require the write-down or conversion to equity of the Certificates or other resolution measures if the Issuer or the Guarantor is deemed to meet the conditions for resolution.</w:t>
      </w:r>
    </w:p>
    <w:p w14:paraId="7860BA62"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Directive 2014/59/EU of the European Parliament and of the Council of the European Union dated 15 May 2014 establishing a framework for the recovery and resolution of credit institutions and investment firms (the “</w:t>
      </w:r>
      <w:r w:rsidRPr="00E65655">
        <w:rPr>
          <w:rFonts w:cs="Arial"/>
          <w:b/>
          <w:bCs/>
          <w:color w:val="000000"/>
          <w:szCs w:val="20"/>
          <w:lang w:eastAsia="zh-CN"/>
        </w:rPr>
        <w:t>BRRD</w:t>
      </w:r>
      <w:r w:rsidRPr="00E65655">
        <w:rPr>
          <w:rFonts w:cs="Arial"/>
          <w:bCs/>
          <w:color w:val="000000"/>
          <w:szCs w:val="20"/>
          <w:lang w:eastAsia="zh-CN"/>
        </w:rPr>
        <w:t>”</w:t>
      </w:r>
      <w:r w:rsidRPr="00E65655">
        <w:rPr>
          <w:rFonts w:cs="Arial"/>
          <w:color w:val="000000"/>
          <w:szCs w:val="20"/>
          <w:lang w:eastAsia="zh-CN"/>
        </w:rPr>
        <w:t>) entered into force on 2 July 2014. The BRRD, as amended, has been implemented into Luxembourg law by, among others, the Luxembourg act dated 18 December 2015 on the failure of credit institutions and certain investment firms, as amended (the “</w:t>
      </w:r>
      <w:r w:rsidRPr="00E65655">
        <w:rPr>
          <w:rFonts w:cs="Arial"/>
          <w:b/>
          <w:color w:val="000000"/>
          <w:szCs w:val="20"/>
          <w:lang w:eastAsia="zh-CN"/>
        </w:rPr>
        <w:t>BRR Act 2015</w:t>
      </w:r>
      <w:r w:rsidRPr="00E65655">
        <w:rPr>
          <w:rFonts w:cs="Arial"/>
          <w:color w:val="000000"/>
          <w:szCs w:val="20"/>
          <w:lang w:eastAsia="zh-CN"/>
        </w:rPr>
        <w:t>”). Under the BRR Act 2015, the competent authority is the Luxembourg financial sector supervisory authority (</w:t>
      </w:r>
      <w:r w:rsidRPr="00E65655">
        <w:rPr>
          <w:rFonts w:cs="Arial"/>
          <w:i/>
          <w:color w:val="000000"/>
          <w:szCs w:val="20"/>
          <w:lang w:eastAsia="zh-CN"/>
        </w:rPr>
        <w:t>Commission de surveillance du secteur financier</w:t>
      </w:r>
      <w:r w:rsidRPr="00E65655">
        <w:rPr>
          <w:rFonts w:cs="Arial"/>
          <w:color w:val="000000"/>
          <w:szCs w:val="20"/>
          <w:lang w:eastAsia="zh-CN"/>
        </w:rPr>
        <w:t>, the CSSF) and the resolution authority is the CSSF acting as resolution council (</w:t>
      </w:r>
      <w:r w:rsidRPr="00E65655">
        <w:rPr>
          <w:rFonts w:cs="Arial"/>
          <w:i/>
          <w:color w:val="000000"/>
          <w:szCs w:val="20"/>
          <w:lang w:eastAsia="zh-CN"/>
        </w:rPr>
        <w:t>conseil</w:t>
      </w:r>
      <w:r w:rsidRPr="00E65655">
        <w:rPr>
          <w:rFonts w:cs="Arial"/>
          <w:color w:val="000000"/>
          <w:szCs w:val="20"/>
          <w:lang w:eastAsia="zh-CN"/>
        </w:rPr>
        <w:t xml:space="preserve"> </w:t>
      </w:r>
      <w:r w:rsidRPr="00E65655">
        <w:rPr>
          <w:rFonts w:cs="Arial"/>
          <w:i/>
          <w:color w:val="000000"/>
          <w:szCs w:val="20"/>
          <w:lang w:eastAsia="zh-CN"/>
        </w:rPr>
        <w:t>de résolution</w:t>
      </w:r>
      <w:r w:rsidRPr="00E65655">
        <w:rPr>
          <w:rFonts w:cs="Arial"/>
          <w:color w:val="000000"/>
          <w:szCs w:val="20"/>
          <w:lang w:eastAsia="zh-CN"/>
        </w:rPr>
        <w:t>).</w:t>
      </w:r>
    </w:p>
    <w:p w14:paraId="31DB4AF2"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val="en-US" w:eastAsia="zh-CN"/>
        </w:rPr>
      </w:pPr>
      <w:bookmarkStart w:id="11" w:name="_cp_change_53"/>
      <w:bookmarkEnd w:id="11"/>
      <w:r w:rsidRPr="00E65655">
        <w:rPr>
          <w:rFonts w:cs="Arial"/>
          <w:color w:val="000000"/>
          <w:szCs w:val="20"/>
          <w:lang w:val="en-US" w:eastAsia="zh-CN"/>
        </w:rPr>
        <w:t>In April 2023, the EU Commission released a proposal to amend</w:t>
      </w:r>
      <w:proofErr w:type="gramStart"/>
      <w:r w:rsidRPr="00E65655">
        <w:rPr>
          <w:rFonts w:cs="Arial"/>
          <w:color w:val="000000"/>
          <w:szCs w:val="20"/>
          <w:lang w:val="en-US" w:eastAsia="zh-CN"/>
        </w:rPr>
        <w:t>, in particular, the</w:t>
      </w:r>
      <w:proofErr w:type="gramEnd"/>
      <w:r w:rsidRPr="00E65655">
        <w:rPr>
          <w:rFonts w:cs="Arial"/>
          <w:color w:val="000000"/>
          <w:szCs w:val="20"/>
          <w:lang w:val="en-US" w:eastAsia="zh-CN"/>
        </w:rPr>
        <w:t xml:space="preserve"> BRRD according to which senior preferred debt instruments would no longer rank pari passu with any non covered non preferred deposits of the Issuer; instead, senior preferred debt instruments would rank junior in right of payment to the claims of all depositors.</w:t>
      </w:r>
    </w:p>
    <w:p w14:paraId="44D6FDCE"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val="en-US" w:eastAsia="zh-CN"/>
        </w:rPr>
      </w:pPr>
      <w:bookmarkStart w:id="12" w:name="_cp_change_52"/>
      <w:bookmarkStart w:id="13" w:name="_cp_change_55"/>
      <w:bookmarkEnd w:id="12"/>
      <w:bookmarkEnd w:id="13"/>
      <w:r w:rsidRPr="00E65655">
        <w:rPr>
          <w:rFonts w:cs="Arial"/>
          <w:color w:val="000000"/>
          <w:szCs w:val="20"/>
          <w:lang w:val="en-US" w:eastAsia="zh-CN"/>
        </w:rPr>
        <w:t>This proposal is</w:t>
      </w:r>
      <w:bookmarkStart w:id="14" w:name="_cp_change_962"/>
      <w:r w:rsidRPr="00E65655">
        <w:rPr>
          <w:rFonts w:cs="Arial"/>
          <w:color w:val="000000"/>
          <w:szCs w:val="20"/>
          <w:lang w:val="en-US" w:eastAsia="zh-CN"/>
        </w:rPr>
        <w:t xml:space="preserve"> still subject to further discussions and as a result its precise legal application date is unknown. As such</w:t>
      </w:r>
      <w:bookmarkEnd w:id="14"/>
      <w:r w:rsidRPr="00E65655">
        <w:rPr>
          <w:rFonts w:cs="Arial"/>
          <w:color w:val="000000"/>
          <w:szCs w:val="20"/>
          <w:lang w:val="en-US" w:eastAsia="zh-CN"/>
        </w:rPr>
        <w:t>, there may be an increased risk of an investor in senior preferred debt instruments losing all or some of their investment in the context of the exercise of the Bail-in Power.</w:t>
      </w:r>
    </w:p>
    <w:p w14:paraId="06D3A427"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Moreover, Regulation (EU) No. 806/2014 of the European Parliament and of the Council of 15 July 2014 establishing uniform rules and a uniform procedure for the resolution of credit institutions and certain investment firms in the framework of a Single Resolution Mechanism (“</w:t>
      </w:r>
      <w:r w:rsidRPr="00E65655">
        <w:rPr>
          <w:rFonts w:cs="Arial"/>
          <w:b/>
          <w:color w:val="000000"/>
          <w:szCs w:val="20"/>
          <w:lang w:eastAsia="zh-CN"/>
        </w:rPr>
        <w:t>SRM</w:t>
      </w:r>
      <w:r w:rsidRPr="00E65655">
        <w:rPr>
          <w:rFonts w:cs="Arial"/>
          <w:color w:val="000000"/>
          <w:szCs w:val="20"/>
          <w:lang w:eastAsia="zh-CN"/>
        </w:rPr>
        <w:t xml:space="preserve">”) and a Single </w:t>
      </w:r>
      <w:r w:rsidRPr="00E65655">
        <w:rPr>
          <w:rFonts w:cs="Arial" w:hint="eastAsia"/>
          <w:color w:val="000000"/>
          <w:szCs w:val="20"/>
          <w:lang w:eastAsia="zh-CN"/>
        </w:rPr>
        <w:t>Resolution</w:t>
      </w:r>
      <w:r w:rsidRPr="00E65655">
        <w:rPr>
          <w:rFonts w:cs="Arial"/>
          <w:color w:val="000000"/>
          <w:szCs w:val="20"/>
          <w:lang w:eastAsia="zh-CN"/>
        </w:rPr>
        <w:t xml:space="preserve"> Framework (the “</w:t>
      </w:r>
      <w:r w:rsidRPr="00E65655">
        <w:rPr>
          <w:rFonts w:cs="Arial"/>
          <w:b/>
          <w:color w:val="000000"/>
          <w:szCs w:val="20"/>
          <w:lang w:eastAsia="zh-CN"/>
        </w:rPr>
        <w:t>SRM Regulation</w:t>
      </w:r>
      <w:r w:rsidRPr="00E65655">
        <w:rPr>
          <w:rFonts w:cs="Arial"/>
          <w:color w:val="000000"/>
          <w:szCs w:val="20"/>
          <w:lang w:eastAsia="zh-CN"/>
        </w:rPr>
        <w:t>”) has established a centralised power of resolution entrusted to a Single Resolution Board (the “</w:t>
      </w:r>
      <w:r w:rsidRPr="00E65655">
        <w:rPr>
          <w:rFonts w:cs="Arial"/>
          <w:b/>
          <w:color w:val="000000"/>
          <w:szCs w:val="20"/>
          <w:lang w:eastAsia="zh-CN"/>
        </w:rPr>
        <w:t>SRB</w:t>
      </w:r>
      <w:r w:rsidRPr="00E65655">
        <w:rPr>
          <w:rFonts w:cs="Arial"/>
          <w:color w:val="000000"/>
          <w:szCs w:val="20"/>
          <w:lang w:eastAsia="zh-CN"/>
        </w:rPr>
        <w:t>”) in cooperation with the national resolution authorities.</w:t>
      </w:r>
    </w:p>
    <w:p w14:paraId="004D1742"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Since November 2014, the European Central Bank (“</w:t>
      </w:r>
      <w:r w:rsidRPr="00E65655">
        <w:rPr>
          <w:rFonts w:cs="Arial"/>
          <w:b/>
          <w:color w:val="000000"/>
          <w:szCs w:val="20"/>
          <w:lang w:eastAsia="zh-CN"/>
        </w:rPr>
        <w:t>ECB</w:t>
      </w:r>
      <w:r w:rsidRPr="00E65655">
        <w:rPr>
          <w:rFonts w:cs="Arial"/>
          <w:color w:val="000000"/>
          <w:szCs w:val="20"/>
          <w:lang w:eastAsia="zh-CN"/>
        </w:rPr>
        <w:t>”) has taken over the prudential supervision of significant credit institutions in the member states of the Eurozone under the Single Supervisory Mechanism (“</w:t>
      </w:r>
      <w:r w:rsidRPr="00E65655">
        <w:rPr>
          <w:rFonts w:cs="Arial"/>
          <w:b/>
          <w:color w:val="000000"/>
          <w:szCs w:val="20"/>
          <w:lang w:eastAsia="zh-CN"/>
        </w:rPr>
        <w:t>SSM</w:t>
      </w:r>
      <w:r w:rsidRPr="00E65655">
        <w:rPr>
          <w:rFonts w:cs="Arial"/>
          <w:color w:val="000000"/>
          <w:szCs w:val="20"/>
          <w:lang w:eastAsia="zh-CN"/>
        </w:rPr>
        <w:t>”). In addition, the SRM has been put in place to ensure that the resolution of credit institutions and certain investment firms across the Eurozone is harmonised. As mentioned above, the SRM is managed by the SRB. Under Article 5(1) of the SRM Regulation, the SRM has been granted those responsibilities and powers granted to the EU Member States’ resolution authorities under the BRRD for those credit institutions and certain investment firms subject to direct supervision by the ECB. The ability of the SRB to exercise these powers came into force at the beginning of 2016.</w:t>
      </w:r>
    </w:p>
    <w:p w14:paraId="2881DD19"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Societe Generale has been, and continues to be,  designated as a significant supervised entity for the purposes of Article 49(1) of Regulation (EU) No 468/2014 of the ECB of 16 April 2014 establishing the framework for cooperation within the SSM between the ECB and national competent authorities and with national designated authorities (the “</w:t>
      </w:r>
      <w:r w:rsidRPr="00E65655">
        <w:rPr>
          <w:rFonts w:cs="Arial"/>
          <w:b/>
          <w:color w:val="000000"/>
          <w:szCs w:val="20"/>
          <w:lang w:eastAsia="zh-CN"/>
        </w:rPr>
        <w:t>SSM Regulation</w:t>
      </w:r>
      <w:r w:rsidRPr="00E65655">
        <w:rPr>
          <w:rFonts w:cs="Arial"/>
          <w:color w:val="000000"/>
          <w:szCs w:val="20"/>
          <w:lang w:eastAsia="zh-CN"/>
        </w:rPr>
        <w:t xml:space="preserve">”) and is consequently subject to the direct supervision of the ECB in the context of the SSM. This means that Societe Generale and SG Issuer (being covered by the consolidated prudential supervision </w:t>
      </w:r>
      <w:r w:rsidRPr="00E65655">
        <w:rPr>
          <w:rFonts w:cs="Arial"/>
          <w:color w:val="000000"/>
          <w:szCs w:val="20"/>
          <w:lang w:eastAsia="zh-CN"/>
        </w:rPr>
        <w:lastRenderedPageBreak/>
        <w:t xml:space="preserve">of Societe Generale) are also subject to the SRM which came into force in 2015. The SRM Regulation mirrors the BRRD and, to a large part, refers to the BRRD so that the SRB </w:t>
      </w:r>
      <w:proofErr w:type="gramStart"/>
      <w:r w:rsidRPr="00E65655">
        <w:rPr>
          <w:rFonts w:cs="Arial"/>
          <w:color w:val="000000"/>
          <w:szCs w:val="20"/>
          <w:lang w:eastAsia="zh-CN"/>
        </w:rPr>
        <w:t>is able to</w:t>
      </w:r>
      <w:proofErr w:type="gramEnd"/>
      <w:r w:rsidRPr="00E65655">
        <w:rPr>
          <w:rFonts w:cs="Arial"/>
          <w:color w:val="000000"/>
          <w:szCs w:val="20"/>
          <w:lang w:eastAsia="zh-CN"/>
        </w:rPr>
        <w:t xml:space="preserve"> apply the same powers that would otherwise be available to the relevant national resolution authority.</w:t>
      </w:r>
    </w:p>
    <w:p w14:paraId="190BE2AD"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stated aim of the BRRD and the SRM Regulation is to provide for the establishment of an EU-wide framework for the recovery and resolution of credit institutions and certain investment firms. The regime provided for by the BRRD is, among other things, stated to be needed to provide the resolution authority designated by each EU Member State (the “</w:t>
      </w:r>
      <w:r w:rsidRPr="00E65655">
        <w:rPr>
          <w:rFonts w:cs="Arial"/>
          <w:b/>
          <w:bCs/>
          <w:color w:val="000000"/>
          <w:szCs w:val="20"/>
          <w:lang w:eastAsia="zh-CN"/>
        </w:rPr>
        <w:t>Resolution Authority</w:t>
      </w:r>
      <w:r w:rsidRPr="00E65655">
        <w:rPr>
          <w:rFonts w:cs="Arial"/>
          <w:bCs/>
          <w:color w:val="000000"/>
          <w:szCs w:val="20"/>
          <w:lang w:eastAsia="zh-CN"/>
        </w:rPr>
        <w:t>”</w:t>
      </w:r>
      <w:r w:rsidRPr="00E65655">
        <w:rPr>
          <w:rFonts w:cs="Arial"/>
          <w:color w:val="000000"/>
          <w:szCs w:val="20"/>
          <w:lang w:eastAsia="zh-CN"/>
        </w:rPr>
        <w:t>) with a credible set of tools to intervene sufficiently early and quickly in an unsound or failing institution so as to ensure the continuity of the institution’s critical financial and economic functions while minimising the impact of an institution’s failure on the economy and financial system (including taxpayers’ exposure to losses).</w:t>
      </w:r>
    </w:p>
    <w:p w14:paraId="7803B97F"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In accordance with the provisions of the SRM Regulation, when applicable, the SRB, has replaced the national resolution authorities designated under the BRRD with respect to all aspects relating to the decision-making process and the national resolution authorities designated under the BRRD continue to carry out activities relating to the implementation of resolution schemes adopted by the SRB. The provisions relating to the cooperation between the SRB and the national resolution authorities for the preparation of the institutions’ resolution plans have applied since 1 January 2015 and the SRM has been fully operational since 1 January 2016.</w:t>
      </w:r>
    </w:p>
    <w:p w14:paraId="41F0353F"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SRB is the Resolution Authority for the Issuer and the Guarantor.</w:t>
      </w:r>
    </w:p>
    <w:p w14:paraId="37379252"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powers provided to the Resolution Authority in the BRRD and the SRM Regulation include write-down/conversion powers to ensure that capital instruments (including subordinated debt instruments) and eligible liabilities (including senior debt instruments if junior instruments prove insufficient to absorb all losses) absorb losses of the issuing institution that is subject to resolution in accordance with a set order of priority (the “</w:t>
      </w:r>
      <w:r w:rsidRPr="00E65655">
        <w:rPr>
          <w:rFonts w:cs="Arial"/>
          <w:b/>
          <w:bCs/>
          <w:color w:val="000000"/>
          <w:szCs w:val="20"/>
          <w:lang w:eastAsia="zh-CN"/>
        </w:rPr>
        <w:t>Bail-in Power</w:t>
      </w:r>
      <w:r w:rsidRPr="00E65655">
        <w:rPr>
          <w:rFonts w:cs="Arial"/>
          <w:bCs/>
          <w:color w:val="000000"/>
          <w:szCs w:val="20"/>
          <w:lang w:eastAsia="zh-CN"/>
        </w:rPr>
        <w:t>”</w:t>
      </w:r>
      <w:r w:rsidRPr="00E65655">
        <w:rPr>
          <w:rFonts w:cs="Arial"/>
          <w:color w:val="000000"/>
          <w:szCs w:val="20"/>
          <w:lang w:eastAsia="zh-CN"/>
        </w:rPr>
        <w:t>). The conditions for resolution under the SRM Regulation are deemed to be met when: (i) the Resolution Authority determines that the institution is failing or is likely to fail, (ii) there is no reasonable prospect that any measure other than a resolution measure would prevent the failure within a reasonable timeframe, and (iii) a resolution measure is necessary for the achievement of the resolution objectives (in particular, ensuring the continuity of critical functions, avoiding a significant adverse effect on the financial system, protecting public funds by minimizing reliance on extraordinary public financial support, and protecting client funds and assets) and winding up of the institution under normal insolvency proceedings would not meet those resolution objectives to the same extent.</w:t>
      </w:r>
    </w:p>
    <w:p w14:paraId="69F524DC"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Resolution Authority could also, independently of a resolution measure or in combination with a resolution measure, fully or partially write-down or convert capital instruments (including subordinated debt instruments) into equity when it determines that the institution or its group will no longer be viable unless such write-down or conversion power is exercised or when the institution requires extraordinary public financial support (except when extraordinary public financial support is provided in Article 10 of the SRM Regulation). The terms and conditions of the Certificates contain provisions giving effect to the Bail-in Power in the context of resolution and write-down or conversion of capital instruments at the point of non-viability.</w:t>
      </w:r>
    </w:p>
    <w:p w14:paraId="7C93FA4A"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 xml:space="preserve">The Bail-in Power could result in the full (i.e., to zero) or partial write-down or conversion of the Certificates into ordinary shares or other instruments of ownership, or the variation of the terms of the Certificates (for example, the maturity and/or interest payable may be altered and/or a temporary suspension of payments may be ordered). Extraordinary public financial support </w:t>
      </w:r>
      <w:r w:rsidRPr="00E65655">
        <w:rPr>
          <w:rFonts w:cs="Arial"/>
          <w:color w:val="000000"/>
          <w:szCs w:val="20"/>
          <w:lang w:eastAsia="zh-CN"/>
        </w:rPr>
        <w:lastRenderedPageBreak/>
        <w:t>should only be used as a last resort after having assessed and applied, to the maximum extent practicable, the resolution measures. No support will be available until a minimum amount of contribution to loss absorption and recapitalization of 8% of total liabilities including own funds has been made by shareholders, holders of capital instruments and other eligible liabilities through write-down, conversion or otherwise.</w:t>
      </w:r>
    </w:p>
    <w:p w14:paraId="53F5D813"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In addition to the Bail-in Power, the BRRD and the SRM Regulation provide the Resolution Authority with broader powers to implement other resolution measures with respect to institutions that meet the conditions for resolution, which may include (without limitation) the sale of the institution’s business, the creation of a bridge institution, the separation of assets, the replacement or substitution of the institution as obligor in respect of debt instruments, modifications to the terms of debt instruments (including altering the maturity and/or the amount of interest payable and/or imposing a temporary suspension on payments), removing management, appointing an interim administrator, and discontinuing the listing and admission to trading of financial instruments.</w:t>
      </w:r>
      <w:r w:rsidRPr="00E65655">
        <w:rPr>
          <w:rFonts w:cs="Arial" w:hint="eastAsia"/>
          <w:color w:val="000000"/>
          <w:szCs w:val="20"/>
          <w:lang w:eastAsia="zh-CN"/>
        </w:rPr>
        <w:t xml:space="preserve"> </w:t>
      </w:r>
    </w:p>
    <w:p w14:paraId="196F4006"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Before taking a resolution measure, including implementing the Bail-in Power, or exercising the power to write down or convert relevant capital instruments, the Resolution Authority must ensure that a fair, prudent and realistic valuation of the assets and liabilities of the institution is carried out by a person independent from any public authority.</w:t>
      </w:r>
    </w:p>
    <w:p w14:paraId="5BF7E7F7"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BRRD, the BRR Act 2015 and the SRM Regulation however also state that, under exceptional circumstances, if the bail-in instrument is applied, the SRB, in cooperation with the CSSF, may completely or partially exclude certain liabilities from the application of the impairment or conversion powers under certain conditions.</w:t>
      </w:r>
    </w:p>
    <w:p w14:paraId="508ADB00"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 xml:space="preserve">Since 1 January 2016, EU credit institutions (such as Societe Generale) and certain investment firms </w:t>
      </w:r>
      <w:proofErr w:type="gramStart"/>
      <w:r w:rsidRPr="00E65655">
        <w:rPr>
          <w:rFonts w:cs="Arial"/>
          <w:color w:val="000000"/>
          <w:szCs w:val="20"/>
          <w:lang w:eastAsia="zh-CN"/>
        </w:rPr>
        <w:t>have to</w:t>
      </w:r>
      <w:proofErr w:type="gramEnd"/>
      <w:r w:rsidRPr="00E65655">
        <w:rPr>
          <w:rFonts w:cs="Arial"/>
          <w:color w:val="000000"/>
          <w:szCs w:val="20"/>
          <w:lang w:eastAsia="zh-CN"/>
        </w:rPr>
        <w:t xml:space="preserve"> meet, </w:t>
      </w:r>
      <w:proofErr w:type="gramStart"/>
      <w:r w:rsidRPr="00E65655">
        <w:rPr>
          <w:rFonts w:cs="Arial"/>
          <w:color w:val="000000"/>
          <w:szCs w:val="20"/>
          <w:lang w:eastAsia="zh-CN"/>
        </w:rPr>
        <w:t>at all times</w:t>
      </w:r>
      <w:proofErr w:type="gramEnd"/>
      <w:r w:rsidRPr="00E65655">
        <w:rPr>
          <w:rFonts w:cs="Arial"/>
          <w:color w:val="000000"/>
          <w:szCs w:val="20"/>
          <w:lang w:eastAsia="zh-CN"/>
        </w:rPr>
        <w:t>, a minimum requirement for own funds and eligible liabilities (“</w:t>
      </w:r>
      <w:r w:rsidRPr="00E65655">
        <w:rPr>
          <w:rFonts w:cs="Arial"/>
          <w:b/>
          <w:color w:val="000000"/>
          <w:szCs w:val="20"/>
          <w:lang w:eastAsia="zh-CN"/>
        </w:rPr>
        <w:t>MREL</w:t>
      </w:r>
      <w:r w:rsidRPr="00E65655">
        <w:rPr>
          <w:rFonts w:cs="Arial"/>
          <w:color w:val="000000"/>
          <w:szCs w:val="20"/>
          <w:lang w:eastAsia="zh-CN"/>
        </w:rPr>
        <w:t xml:space="preserve">”) pursuant to Article 12 of the SRM Regulation. The MREL, which is expressed as a percentage of the total liabilities and own funds of the institution, aims at preventing institutions from structuring their liabilities in a manner that impedes the effectiveness of the Bail-in Power </w:t>
      </w:r>
      <w:proofErr w:type="gramStart"/>
      <w:r w:rsidRPr="00E65655">
        <w:rPr>
          <w:rFonts w:cs="Arial"/>
          <w:color w:val="000000"/>
          <w:szCs w:val="20"/>
          <w:lang w:eastAsia="zh-CN"/>
        </w:rPr>
        <w:t>in order to</w:t>
      </w:r>
      <w:proofErr w:type="gramEnd"/>
      <w:r w:rsidRPr="00E65655">
        <w:rPr>
          <w:rFonts w:cs="Arial"/>
          <w:color w:val="000000"/>
          <w:szCs w:val="20"/>
          <w:lang w:eastAsia="zh-CN"/>
        </w:rPr>
        <w:t xml:space="preserve"> facilitate resolution.</w:t>
      </w:r>
    </w:p>
    <w:p w14:paraId="7A007AE5"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 xml:space="preserve">The regime has evolved </w:t>
      </w:r>
      <w:proofErr w:type="gramStart"/>
      <w:r w:rsidRPr="00E65655">
        <w:rPr>
          <w:rFonts w:cs="Arial"/>
          <w:color w:val="000000"/>
          <w:szCs w:val="20"/>
          <w:lang w:eastAsia="zh-CN"/>
        </w:rPr>
        <w:t>as a result of</w:t>
      </w:r>
      <w:proofErr w:type="gramEnd"/>
      <w:r w:rsidRPr="00E65655">
        <w:rPr>
          <w:rFonts w:cs="Arial"/>
          <w:color w:val="000000"/>
          <w:szCs w:val="20"/>
          <w:lang w:eastAsia="zh-CN"/>
        </w:rPr>
        <w:t xml:space="preserve"> the changes adopted by the EU legislators. On 7 June 2019, as part of the contemplated amendments to the so-called “EU Banking Package”, the following legislative texts were published in the Official Journal of the EU 14 May 2019:</w:t>
      </w:r>
    </w:p>
    <w:p w14:paraId="7F77929B" w14:textId="77777777" w:rsidR="007F6676" w:rsidRPr="00E65655" w:rsidRDefault="007F6676" w:rsidP="007F6676">
      <w:pPr>
        <w:numPr>
          <w:ilvl w:val="0"/>
          <w:numId w:val="30"/>
        </w:numPr>
        <w:autoSpaceDE w:val="0"/>
        <w:autoSpaceDN w:val="0"/>
        <w:adjustRightInd w:val="0"/>
        <w:spacing w:after="140" w:line="290" w:lineRule="auto"/>
        <w:ind w:hanging="720"/>
        <w:jc w:val="both"/>
        <w:rPr>
          <w:rFonts w:cs="Arial"/>
          <w:color w:val="000000"/>
          <w:szCs w:val="20"/>
          <w:lang w:eastAsia="zh-CN"/>
        </w:rPr>
      </w:pPr>
      <w:r w:rsidRPr="00E65655">
        <w:rPr>
          <w:rFonts w:cs="Arial"/>
          <w:color w:val="000000"/>
          <w:szCs w:val="20"/>
          <w:lang w:eastAsia="zh-CN"/>
        </w:rPr>
        <w:t>Directive (EU) 2019/879 of the European Parliament and of the Council of 20 May 2019 amending the BRRD as regards the loss-absorbing and recapitalisation capacity of credit institutions and investment firms (“</w:t>
      </w:r>
      <w:r w:rsidRPr="00E65655">
        <w:rPr>
          <w:rFonts w:cs="Arial"/>
          <w:b/>
          <w:color w:val="000000"/>
          <w:szCs w:val="20"/>
          <w:lang w:eastAsia="zh-CN"/>
        </w:rPr>
        <w:t>BRRD II</w:t>
      </w:r>
      <w:r w:rsidRPr="00E65655">
        <w:rPr>
          <w:rFonts w:cs="Arial"/>
          <w:color w:val="000000"/>
          <w:szCs w:val="20"/>
          <w:lang w:eastAsia="zh-CN"/>
        </w:rPr>
        <w:t>”); and</w:t>
      </w:r>
    </w:p>
    <w:p w14:paraId="29404869" w14:textId="77777777" w:rsidR="007F6676" w:rsidRPr="00E65655" w:rsidRDefault="007F6676" w:rsidP="007F6676">
      <w:pPr>
        <w:numPr>
          <w:ilvl w:val="0"/>
          <w:numId w:val="30"/>
        </w:numPr>
        <w:autoSpaceDE w:val="0"/>
        <w:autoSpaceDN w:val="0"/>
        <w:adjustRightInd w:val="0"/>
        <w:spacing w:after="140" w:line="290" w:lineRule="auto"/>
        <w:ind w:hanging="720"/>
        <w:jc w:val="both"/>
        <w:rPr>
          <w:rFonts w:cs="Arial"/>
          <w:color w:val="000000"/>
          <w:szCs w:val="20"/>
          <w:lang w:eastAsia="zh-CN"/>
        </w:rPr>
      </w:pPr>
      <w:r w:rsidRPr="00E65655">
        <w:rPr>
          <w:rFonts w:cs="Arial"/>
          <w:color w:val="000000"/>
          <w:szCs w:val="20"/>
          <w:lang w:eastAsia="zh-CN"/>
        </w:rPr>
        <w:t>Regulation (EU) 2019/877 of the European Parliament and of the Council of 20 May 2019 amending the SRM Regulation as regards the loss-absorbing and recapitalisation capacity (“</w:t>
      </w:r>
      <w:r w:rsidRPr="00E65655">
        <w:rPr>
          <w:rFonts w:cs="Arial"/>
          <w:b/>
          <w:color w:val="000000"/>
          <w:szCs w:val="20"/>
          <w:lang w:eastAsia="zh-CN"/>
        </w:rPr>
        <w:t>TLAC</w:t>
      </w:r>
      <w:r w:rsidRPr="00E65655">
        <w:rPr>
          <w:rFonts w:cs="Arial"/>
          <w:color w:val="000000"/>
          <w:szCs w:val="20"/>
          <w:lang w:eastAsia="zh-CN"/>
        </w:rPr>
        <w:t>”) of credit institutions and investment firms (the “</w:t>
      </w:r>
      <w:r w:rsidRPr="00E65655">
        <w:rPr>
          <w:rFonts w:cs="Arial"/>
          <w:b/>
          <w:color w:val="000000"/>
          <w:szCs w:val="20"/>
          <w:lang w:eastAsia="zh-CN"/>
        </w:rPr>
        <w:t>SRM II Regulation</w:t>
      </w:r>
      <w:r w:rsidRPr="00E65655">
        <w:rPr>
          <w:rFonts w:cs="Arial"/>
          <w:color w:val="000000"/>
          <w:szCs w:val="20"/>
          <w:lang w:eastAsia="zh-CN"/>
        </w:rPr>
        <w:t>” and, together with the BRRD II, the “</w:t>
      </w:r>
      <w:r w:rsidRPr="00E65655">
        <w:rPr>
          <w:rFonts w:cs="Arial"/>
          <w:b/>
          <w:color w:val="000000"/>
          <w:szCs w:val="20"/>
          <w:lang w:eastAsia="zh-CN"/>
        </w:rPr>
        <w:t>EU Banking Package Reforms</w:t>
      </w:r>
      <w:r w:rsidRPr="00E65655">
        <w:rPr>
          <w:rFonts w:cs="Arial"/>
          <w:color w:val="000000"/>
          <w:szCs w:val="20"/>
          <w:lang w:eastAsia="zh-CN"/>
        </w:rPr>
        <w:t>”).</w:t>
      </w:r>
    </w:p>
    <w:p w14:paraId="2226A09D"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EU Banking Package Reforms introduced, among other things, the TLAC standard as implemented by the Financial Stability Board's TLAC Term Sheet (“</w:t>
      </w:r>
      <w:r w:rsidRPr="00E65655">
        <w:rPr>
          <w:rFonts w:cs="Arial"/>
          <w:b/>
          <w:color w:val="000000"/>
          <w:szCs w:val="20"/>
          <w:lang w:eastAsia="zh-CN"/>
        </w:rPr>
        <w:t>FSB TLAC Term Sheet</w:t>
      </w:r>
      <w:r w:rsidRPr="00E65655">
        <w:rPr>
          <w:rFonts w:cs="Arial"/>
          <w:color w:val="000000"/>
          <w:szCs w:val="20"/>
          <w:lang w:eastAsia="zh-CN"/>
        </w:rPr>
        <w:t>”), by adapting, among other things, the existing regime relating to the specific MREL with the aim of reducing risks in the banking sector and further reinforcing institutions’ ability to withstand potential shocks will strengthen the banking union and reduce risks in the financial system.</w:t>
      </w:r>
    </w:p>
    <w:p w14:paraId="3EEC70EA" w14:textId="77777777" w:rsidR="007F6676" w:rsidRPr="00E65655" w:rsidRDefault="007F6676" w:rsidP="00F7372B">
      <w:pPr>
        <w:keepNext/>
        <w:keepLines/>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lastRenderedPageBreak/>
        <w:t>The TLAC has been implemented in accordance with the FSB TLAC Term Sheet, which imposes a level of “Minimum TLAC” that will be determined individually for each global systemically important bank (“</w:t>
      </w:r>
      <w:r w:rsidRPr="00E65655">
        <w:rPr>
          <w:rFonts w:cs="Arial"/>
          <w:b/>
          <w:color w:val="000000"/>
          <w:szCs w:val="20"/>
          <w:lang w:eastAsia="zh-CN"/>
        </w:rPr>
        <w:t>G-SIB</w:t>
      </w:r>
      <w:r w:rsidRPr="00E65655">
        <w:rPr>
          <w:rFonts w:cs="Arial"/>
          <w:color w:val="000000"/>
          <w:szCs w:val="20"/>
          <w:lang w:eastAsia="zh-CN"/>
        </w:rPr>
        <w:t>”), such as Societe Generale, in an amount at least equal to (i) 16%, plus applicable buffers, of risk weight assets since January 1, 2022 and 18%, plus applicable buffers, thereafter and (ii) 6% of the Basel III leverage ratio denominator since January 1, 2022 and 6.75% thereafter (each of which could be extended by additional firm-specific requirements).</w:t>
      </w:r>
    </w:p>
    <w:p w14:paraId="0FB49E99"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Regulation (EU) No 575/2013 of the European Parliament and of the Council of 26 June 2013 on prudential requirements for credit institutions and investment firms (the “</w:t>
      </w:r>
      <w:r w:rsidRPr="00E65655">
        <w:rPr>
          <w:rFonts w:cs="Arial"/>
          <w:b/>
          <w:color w:val="000000"/>
          <w:szCs w:val="20"/>
          <w:lang w:eastAsia="zh-CN"/>
        </w:rPr>
        <w:t>CRR</w:t>
      </w:r>
      <w:r w:rsidRPr="00E65655">
        <w:rPr>
          <w:rFonts w:cs="Arial"/>
          <w:color w:val="000000"/>
          <w:szCs w:val="20"/>
          <w:lang w:eastAsia="zh-CN"/>
        </w:rPr>
        <w:t>”), as amended</w:t>
      </w:r>
      <w:r w:rsidRPr="00E65655">
        <w:rPr>
          <w:rFonts w:cs="Arial" w:hint="eastAsia"/>
          <w:color w:val="000000"/>
          <w:szCs w:val="20"/>
          <w:lang w:eastAsia="zh-CN"/>
        </w:rPr>
        <w:t xml:space="preserve"> notably</w:t>
      </w:r>
      <w:r w:rsidRPr="00E65655">
        <w:rPr>
          <w:rFonts w:cs="Arial"/>
          <w:color w:val="000000"/>
          <w:szCs w:val="20"/>
          <w:lang w:eastAsia="zh-CN"/>
        </w:rPr>
        <w:t xml:space="preserve"> by Regulation (EU) 2019/876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(the “</w:t>
      </w:r>
      <w:r w:rsidRPr="00E65655">
        <w:rPr>
          <w:rFonts w:cs="Arial"/>
          <w:b/>
          <w:color w:val="000000"/>
          <w:szCs w:val="20"/>
          <w:lang w:eastAsia="zh-CN"/>
        </w:rPr>
        <w:t>CRR II</w:t>
      </w:r>
      <w:r w:rsidRPr="00E65655">
        <w:rPr>
          <w:rFonts w:cs="Arial"/>
          <w:color w:val="000000"/>
          <w:szCs w:val="20"/>
          <w:lang w:eastAsia="zh-CN"/>
        </w:rPr>
        <w:t>”)</w:t>
      </w:r>
      <w:r w:rsidRPr="00E65655">
        <w:t xml:space="preserve"> </w:t>
      </w:r>
      <w:r w:rsidRPr="00E65655">
        <w:rPr>
          <w:rFonts w:cs="Arial"/>
          <w:color w:val="000000"/>
          <w:szCs w:val="20"/>
          <w:lang w:eastAsia="zh-CN"/>
        </w:rPr>
        <w:t xml:space="preserve">and Regulation (EU) 2022/2036 of the European Parliament and of the Council of 19 October 2022 amending Regulation (EU) No 575/2013 and Directive 2014/59/EU as regards the prudential treatment of global systemically important institutions with a multiple-point-of-entry resolution strategy and methods for the indirect subscription of instruments eligible for meeting the minimum requirement for own funds and eligible liabilities, EU G-SIBs, such as Societe Generale, have to comply with TLAC requirements, on top of the MREL requirements, since the entry into force of the CRR II. As such, G-SIBs, such as Societe Generale </w:t>
      </w:r>
      <w:proofErr w:type="gramStart"/>
      <w:r w:rsidRPr="00E65655">
        <w:rPr>
          <w:rFonts w:cs="Arial"/>
          <w:color w:val="000000"/>
          <w:szCs w:val="20"/>
          <w:lang w:eastAsia="zh-CN"/>
        </w:rPr>
        <w:t>have to</w:t>
      </w:r>
      <w:proofErr w:type="gramEnd"/>
      <w:r w:rsidRPr="00E65655">
        <w:rPr>
          <w:rFonts w:cs="Arial"/>
          <w:color w:val="000000"/>
          <w:szCs w:val="20"/>
          <w:lang w:eastAsia="zh-CN"/>
        </w:rPr>
        <w:t xml:space="preserve"> comply with both the TLAC and MREL requirements.</w:t>
      </w:r>
    </w:p>
    <w:p w14:paraId="1F35020A"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Consequently, the criteria for MREL-eligible liabilities have been closely aligned with the criteria for TLAC-eligible liabilities under CRR II, but subject to the complementary adjustments and requirements introduced in the BRRD II. In particular, certain debt instruments with an embedded derivative component, such as certain structured notes, will be eligible, subject to certain conditions, to meet MREL requirements to the extent that they have a fixed or increasing principal amount repayable at maturity that is known in advance with only an additional return permitted to be linked to that derivative component and dependent on the performance of a reference asset.</w:t>
      </w:r>
    </w:p>
    <w:p w14:paraId="4F9C04C9" w14:textId="77777777" w:rsidR="007F6676" w:rsidRPr="00E65655" w:rsidRDefault="007F6676" w:rsidP="007F6676">
      <w:pPr>
        <w:autoSpaceDE w:val="0"/>
        <w:autoSpaceDN w:val="0"/>
        <w:adjustRightInd w:val="0"/>
        <w:spacing w:after="140" w:line="290" w:lineRule="auto"/>
        <w:ind w:left="720"/>
        <w:jc w:val="both"/>
        <w:rPr>
          <w:rFonts w:cs="Arial"/>
          <w:color w:val="000000"/>
          <w:szCs w:val="20"/>
          <w:lang w:eastAsia="zh-CN"/>
        </w:rPr>
      </w:pPr>
      <w:r w:rsidRPr="00E65655">
        <w:rPr>
          <w:rFonts w:cs="Arial"/>
          <w:color w:val="000000"/>
          <w:szCs w:val="20"/>
          <w:lang w:eastAsia="zh-CN"/>
        </w:rPr>
        <w:t>The level of capital and eligible liabilities required under MREL is set by the SRB for Societe Generale on an individual and/or consolidated basis based on certain criteria including systemic importance and may also be set for SG Issuer. Eligible liabilities may be senior or subordinated, provided, among other requirements, that they have a remaining term of at least one year and, they recognise contractually the Resolution Authority's power to write down or convert the liabilities governed by non-EU law.</w:t>
      </w:r>
    </w:p>
    <w:p w14:paraId="6F91F42C" w14:textId="2F7073FA" w:rsidR="00D36A0C" w:rsidRPr="00E65655" w:rsidRDefault="007F6676" w:rsidP="007F6676">
      <w:pPr>
        <w:autoSpaceDE w:val="0"/>
        <w:autoSpaceDN w:val="0"/>
        <w:adjustRightInd w:val="0"/>
        <w:spacing w:after="140" w:line="286" w:lineRule="auto"/>
        <w:ind w:left="720"/>
        <w:jc w:val="both"/>
        <w:rPr>
          <w:rFonts w:cs="Arial"/>
          <w:color w:val="000000"/>
          <w:szCs w:val="20"/>
          <w:lang w:eastAsia="zh-CN"/>
        </w:rPr>
      </w:pPr>
      <w:r w:rsidRPr="00E65655">
        <w:rPr>
          <w:rFonts w:cs="Arial"/>
          <w:color w:val="000000"/>
          <w:szCs w:val="20"/>
          <w:lang w:eastAsia="zh-CN"/>
        </w:rPr>
        <w:t xml:space="preserve">The scope of liabilities used to meet MREL includes, in principle, all liabilities resulting from claims arising from ordinary unsecured creditors (non-subordinated liabilities) unless they do not meet specific eligibility criteria set out in BRRD, as amended </w:t>
      </w:r>
      <w:r w:rsidRPr="00E65655">
        <w:rPr>
          <w:rFonts w:cs="Arial" w:hint="eastAsia"/>
          <w:color w:val="000000"/>
          <w:szCs w:val="20"/>
          <w:lang w:eastAsia="zh-CN"/>
        </w:rPr>
        <w:t xml:space="preserve">notably </w:t>
      </w:r>
      <w:r w:rsidRPr="00E65655">
        <w:rPr>
          <w:rFonts w:cs="Arial"/>
          <w:color w:val="000000"/>
          <w:szCs w:val="20"/>
          <w:lang w:eastAsia="zh-CN"/>
        </w:rPr>
        <w:t xml:space="preserve">by BRRD II. To enhance the resolvability of institutions and entities through an effective use of the bail-in tool, the SRB should be able to require that MREL be met with own funds and other subordinated liabilities, in particular where there are clear indications that bailed-in creditors are likely to bear losses in resolution that would exceed the losses that they would incur under normal insolvency proceedings. </w:t>
      </w:r>
      <w:proofErr w:type="gramStart"/>
      <w:r w:rsidRPr="00E65655">
        <w:rPr>
          <w:rFonts w:cs="Arial"/>
          <w:color w:val="000000"/>
          <w:szCs w:val="20"/>
          <w:lang w:eastAsia="zh-CN"/>
        </w:rPr>
        <w:t>Moreover</w:t>
      </w:r>
      <w:proofErr w:type="gramEnd"/>
      <w:r w:rsidRPr="00E65655">
        <w:rPr>
          <w:rFonts w:cs="Arial"/>
          <w:color w:val="000000"/>
          <w:szCs w:val="20"/>
          <w:lang w:eastAsia="zh-CN"/>
        </w:rPr>
        <w:t xml:space="preserve"> the SRB should assess the need to require institutions and entities to meet the MREL with own funds and other subordinated liabilities where the amount of liabilities excluded from the application of the bail- in tool reaches a certain threshold within a class of liabilities that includes MREL-eligible liabilities. Any subordination of debt instruments requested by the SRB for the MREL shall be without prejudice to the possibility to partly meet the TLAC requirements with non-subordinated debt instruments in accordance with the CRR, </w:t>
      </w:r>
      <w:r w:rsidRPr="00E65655">
        <w:rPr>
          <w:rFonts w:cs="Arial"/>
          <w:color w:val="000000"/>
          <w:szCs w:val="20"/>
          <w:lang w:eastAsia="zh-CN"/>
        </w:rPr>
        <w:lastRenderedPageBreak/>
        <w:t>as amended by the CRR II, as permitted by the TLAC standard. Specific requirements apply to resolution groups with assets above EUR 100 billion (top-tier banks, including Societe Generale)</w:t>
      </w:r>
      <w:r w:rsidR="00D36A0C" w:rsidRPr="00E65655">
        <w:rPr>
          <w:rFonts w:cs="Arial"/>
          <w:color w:val="000000"/>
          <w:szCs w:val="20"/>
          <w:lang w:eastAsia="zh-CN"/>
        </w:rPr>
        <w:t>.</w:t>
      </w:r>
    </w:p>
    <w:p w14:paraId="1F01AD98" w14:textId="77777777" w:rsidR="00560B0E" w:rsidRPr="00E65655" w:rsidRDefault="00560B0E" w:rsidP="00BA2020">
      <w:pPr>
        <w:pStyle w:val="Default"/>
        <w:widowControl w:val="0"/>
        <w:spacing w:after="140" w:line="290" w:lineRule="auto"/>
        <w:ind w:left="720"/>
        <w:jc w:val="both"/>
        <w:rPr>
          <w:rFonts w:ascii="Arial" w:hAnsi="Arial" w:cs="Arial"/>
          <w:sz w:val="20"/>
          <w:szCs w:val="20"/>
        </w:rPr>
      </w:pPr>
    </w:p>
    <w:p w14:paraId="2F6F3A56" w14:textId="77777777" w:rsidR="004F6E28" w:rsidRPr="00E65655" w:rsidRDefault="004F6E28" w:rsidP="00E23E7C">
      <w:pPr>
        <w:pageBreakBefore/>
        <w:spacing w:after="140" w:line="290" w:lineRule="auto"/>
        <w:ind w:left="720" w:hanging="720"/>
        <w:jc w:val="center"/>
        <w:rPr>
          <w:rFonts w:cs="Arial"/>
          <w:b/>
          <w:szCs w:val="20"/>
        </w:rPr>
      </w:pPr>
      <w:r w:rsidRPr="00E65655">
        <w:rPr>
          <w:rFonts w:cs="Arial"/>
          <w:b/>
          <w:szCs w:val="20"/>
        </w:rPr>
        <w:lastRenderedPageBreak/>
        <w:t xml:space="preserve">TERMS AND CONDITIONS OF THE </w:t>
      </w:r>
      <w:r w:rsidR="0001533A" w:rsidRPr="00E65655">
        <w:rPr>
          <w:rFonts w:cs="Arial"/>
          <w:b/>
          <w:szCs w:val="20"/>
        </w:rPr>
        <w:t>CERTIFICATES</w:t>
      </w:r>
    </w:p>
    <w:p w14:paraId="591DBD06" w14:textId="77777777" w:rsidR="004F6E28" w:rsidRPr="00E65655" w:rsidRDefault="004F6E28" w:rsidP="0067308C">
      <w:pPr>
        <w:pStyle w:val="PlainText"/>
        <w:spacing w:after="140" w:line="290" w:lineRule="auto"/>
        <w:ind w:firstLine="720"/>
        <w:jc w:val="both"/>
        <w:rPr>
          <w:rFonts w:ascii="Arial" w:hAnsi="Arial" w:cs="Arial"/>
        </w:rPr>
      </w:pPr>
    </w:p>
    <w:p w14:paraId="64E96977" w14:textId="75FAF4C3" w:rsidR="004F6E28" w:rsidRPr="00E65655" w:rsidRDefault="004F6E28" w:rsidP="0067308C">
      <w:pPr>
        <w:pStyle w:val="PlainText"/>
        <w:spacing w:after="140" w:line="290" w:lineRule="auto"/>
        <w:ind w:firstLine="720"/>
        <w:jc w:val="both"/>
        <w:rPr>
          <w:rFonts w:ascii="Arial" w:hAnsi="Arial" w:cs="Arial"/>
          <w:i/>
          <w:iCs/>
        </w:rPr>
      </w:pPr>
      <w:r w:rsidRPr="00E65655">
        <w:rPr>
          <w:rFonts w:ascii="Arial" w:hAnsi="Arial" w:cs="Arial"/>
          <w:i/>
          <w:iCs/>
        </w:rPr>
        <w:t xml:space="preserve">The following are the terms and conditions of the </w:t>
      </w:r>
      <w:r w:rsidR="00871D3A" w:rsidRPr="00E65655">
        <w:rPr>
          <w:rFonts w:ascii="Arial" w:hAnsi="Arial" w:cs="Arial"/>
          <w:i/>
        </w:rPr>
        <w:t>Certificates</w:t>
      </w:r>
      <w:r w:rsidRPr="00E65655">
        <w:rPr>
          <w:rFonts w:ascii="Arial" w:hAnsi="Arial" w:cs="Arial"/>
          <w:i/>
          <w:iCs/>
        </w:rPr>
        <w:t xml:space="preserve"> and should be read in conjunction with, and are qualified by reference to, the other information set out in this document</w:t>
      </w:r>
      <w:r w:rsidR="00D36A0C" w:rsidRPr="00E65655">
        <w:rPr>
          <w:rFonts w:ascii="Arial" w:hAnsi="Arial" w:cs="Arial"/>
          <w:i/>
          <w:iCs/>
        </w:rPr>
        <w:t xml:space="preserve"> and</w:t>
      </w:r>
      <w:r w:rsidR="002478A0" w:rsidRPr="00E65655">
        <w:rPr>
          <w:rFonts w:ascii="Arial" w:hAnsi="Arial" w:cs="Arial"/>
          <w:i/>
          <w:iCs/>
        </w:rPr>
        <w:t xml:space="preserve"> the Base Listing Document</w:t>
      </w:r>
      <w:r w:rsidRPr="00E65655">
        <w:rPr>
          <w:rFonts w:ascii="Arial" w:hAnsi="Arial" w:cs="Arial"/>
          <w:i/>
          <w:iCs/>
        </w:rPr>
        <w:t>.</w:t>
      </w:r>
    </w:p>
    <w:p w14:paraId="697FF5B6" w14:textId="2C2B6F82" w:rsidR="004F6E28" w:rsidRPr="00E65655" w:rsidRDefault="004F6E28" w:rsidP="00F919B9">
      <w:pPr>
        <w:pStyle w:val="PlainText"/>
        <w:spacing w:after="140" w:line="290" w:lineRule="auto"/>
        <w:ind w:firstLine="720"/>
        <w:jc w:val="both"/>
        <w:rPr>
          <w:rFonts w:ascii="Arial" w:hAnsi="Arial" w:cs="Arial"/>
        </w:rPr>
      </w:pPr>
      <w:r w:rsidRPr="00E65655">
        <w:rPr>
          <w:rFonts w:ascii="Arial" w:hAnsi="Arial" w:cs="Arial"/>
        </w:rPr>
        <w:t xml:space="preserve">The Conditions are set out in the section headed </w:t>
      </w:r>
      <w:r w:rsidR="003A710D" w:rsidRPr="00E65655">
        <w:rPr>
          <w:rFonts w:ascii="Arial" w:hAnsi="Arial" w:cs="Arial"/>
        </w:rPr>
        <w:t>“</w:t>
      </w:r>
      <w:r w:rsidRPr="00E65655">
        <w:rPr>
          <w:rFonts w:ascii="Arial" w:hAnsi="Arial" w:cs="Arial"/>
        </w:rPr>
        <w:t xml:space="preserve">Terms and Conditions of the European Style </w:t>
      </w:r>
      <w:r w:rsidR="00871D3A" w:rsidRPr="00E65655">
        <w:rPr>
          <w:rFonts w:ascii="Arial" w:hAnsi="Arial" w:cs="Arial"/>
        </w:rPr>
        <w:t xml:space="preserve">Cash Settled </w:t>
      </w:r>
      <w:r w:rsidR="003C7A6D" w:rsidRPr="00E65655">
        <w:rPr>
          <w:rFonts w:ascii="Arial" w:hAnsi="Arial" w:cs="Arial"/>
        </w:rPr>
        <w:t xml:space="preserve">Long/Short </w:t>
      </w:r>
      <w:r w:rsidR="00871D3A" w:rsidRPr="00E65655">
        <w:rPr>
          <w:rFonts w:ascii="Arial" w:hAnsi="Arial" w:cs="Arial"/>
        </w:rPr>
        <w:t>Certificat</w:t>
      </w:r>
      <w:r w:rsidR="00940456" w:rsidRPr="00E65655">
        <w:rPr>
          <w:rFonts w:ascii="Arial" w:hAnsi="Arial" w:cs="Arial"/>
        </w:rPr>
        <w:t>es</w:t>
      </w:r>
      <w:r w:rsidR="00B27B67" w:rsidRPr="00E65655">
        <w:rPr>
          <w:rFonts w:ascii="Arial" w:hAnsi="Arial" w:cs="Arial" w:hint="eastAsia"/>
          <w:lang w:eastAsia="zh-CN"/>
        </w:rPr>
        <w:t xml:space="preserve"> </w:t>
      </w:r>
      <w:r w:rsidR="005D3C0A" w:rsidRPr="00E65655">
        <w:rPr>
          <w:rFonts w:ascii="Arial" w:hAnsi="Arial"/>
        </w:rPr>
        <w:t>on Single Equities</w:t>
      </w:r>
      <w:r w:rsidR="003A710D" w:rsidRPr="00E65655">
        <w:rPr>
          <w:rFonts w:ascii="Arial" w:hAnsi="Arial" w:cs="Arial"/>
        </w:rPr>
        <w:t>”</w:t>
      </w:r>
      <w:r w:rsidRPr="00E65655">
        <w:rPr>
          <w:rFonts w:ascii="Arial" w:hAnsi="Arial" w:cs="Arial"/>
        </w:rPr>
        <w:t xml:space="preserve"> in </w:t>
      </w:r>
      <w:r w:rsidR="003B11EA" w:rsidRPr="00E65655">
        <w:rPr>
          <w:rFonts w:ascii="Arial" w:hAnsi="Arial" w:cs="Arial"/>
        </w:rPr>
        <w:t xml:space="preserve">the </w:t>
      </w:r>
      <w:r w:rsidR="00D36A0C" w:rsidRPr="00E65655">
        <w:rPr>
          <w:rFonts w:ascii="Arial" w:hAnsi="Arial" w:cs="Arial"/>
        </w:rPr>
        <w:t>Base Listing Document</w:t>
      </w:r>
      <w:r w:rsidRPr="00E65655">
        <w:rPr>
          <w:rFonts w:ascii="Arial" w:hAnsi="Arial" w:cs="Arial"/>
        </w:rPr>
        <w:t>. For the purposes of the Conditions, the following terms shall have the following meanings:</w:t>
      </w:r>
    </w:p>
    <w:tbl>
      <w:tblPr>
        <w:tblW w:w="9378" w:type="dxa"/>
        <w:tblLayout w:type="fixed"/>
        <w:tblLook w:val="0000" w:firstRow="0" w:lastRow="0" w:firstColumn="0" w:lastColumn="0" w:noHBand="0" w:noVBand="0"/>
      </w:tblPr>
      <w:tblGrid>
        <w:gridCol w:w="3072"/>
        <w:gridCol w:w="6306"/>
      </w:tblGrid>
      <w:tr w:rsidR="004F6E28" w:rsidRPr="00E65655" w14:paraId="0B632BD1" w14:textId="77777777" w:rsidTr="00853D4F">
        <w:tc>
          <w:tcPr>
            <w:tcW w:w="3072" w:type="dxa"/>
          </w:tcPr>
          <w:p w14:paraId="6D022E24" w14:textId="77777777" w:rsidR="004F6E28" w:rsidRPr="00E65655" w:rsidRDefault="00C112F4" w:rsidP="00853D4F">
            <w:pPr>
              <w:pStyle w:val="PlainText"/>
              <w:spacing w:before="120" w:after="120" w:line="290" w:lineRule="auto"/>
              <w:jc w:val="both"/>
              <w:rPr>
                <w:rFonts w:ascii="Arial" w:hAnsi="Arial" w:cs="Arial"/>
              </w:rPr>
            </w:pPr>
            <w:r w:rsidRPr="00E65655">
              <w:rPr>
                <w:rFonts w:ascii="Arial" w:hAnsi="Arial" w:cs="Arial"/>
              </w:rPr>
              <w:t>Certificates</w:t>
            </w:r>
            <w:r w:rsidR="004F6E28" w:rsidRPr="00E65655">
              <w:rPr>
                <w:rFonts w:ascii="Arial" w:hAnsi="Arial" w:cs="Arial"/>
              </w:rPr>
              <w:t>:</w:t>
            </w:r>
          </w:p>
        </w:tc>
        <w:tc>
          <w:tcPr>
            <w:tcW w:w="6306" w:type="dxa"/>
          </w:tcPr>
          <w:p w14:paraId="2F091B25" w14:textId="6B9DB800" w:rsidR="004F6E28" w:rsidRPr="00E65655" w:rsidRDefault="00BC16C3" w:rsidP="00853D4F">
            <w:pPr>
              <w:pStyle w:val="PlainText"/>
              <w:spacing w:before="120" w:after="120" w:line="290" w:lineRule="auto"/>
              <w:jc w:val="both"/>
              <w:rPr>
                <w:rFonts w:ascii="Arial" w:hAnsi="Arial" w:cs="Arial"/>
              </w:rPr>
            </w:pPr>
            <w:r>
              <w:rPr>
                <w:rFonts w:ascii="Arial" w:hAnsi="Arial" w:cs="Arial" w:hint="eastAsia"/>
                <w:lang w:eastAsia="zh-CN"/>
              </w:rPr>
              <w:t>6</w:t>
            </w:r>
            <w:r w:rsidR="00E356B6" w:rsidRPr="00E65655">
              <w:rPr>
                <w:rFonts w:ascii="Arial" w:hAnsi="Arial" w:cs="Arial"/>
              </w:rPr>
              <w:t>,</w:t>
            </w:r>
            <w:r>
              <w:rPr>
                <w:rFonts w:ascii="Arial" w:hAnsi="Arial" w:cs="Arial" w:hint="eastAsia"/>
                <w:lang w:eastAsia="zh-CN"/>
              </w:rPr>
              <w:t>3</w:t>
            </w:r>
            <w:r w:rsidR="00E356B6" w:rsidRPr="00E65655">
              <w:rPr>
                <w:rFonts w:ascii="Arial" w:hAnsi="Arial" w:cs="Arial"/>
              </w:rPr>
              <w:t>00,000</w:t>
            </w:r>
            <w:r w:rsidR="002C269D" w:rsidRPr="00E65655">
              <w:rPr>
                <w:rFonts w:ascii="Arial" w:hAnsi="Arial" w:cs="Arial"/>
              </w:rPr>
              <w:t xml:space="preserve"> </w:t>
            </w:r>
            <w:r w:rsidR="004F6E28" w:rsidRPr="00E65655">
              <w:rPr>
                <w:rFonts w:ascii="Arial" w:hAnsi="Arial" w:cs="Arial"/>
                <w:lang w:eastAsia="zh-CN"/>
              </w:rPr>
              <w:t xml:space="preserve">European Style </w:t>
            </w:r>
            <w:r w:rsidR="00871D3A" w:rsidRPr="00E65655">
              <w:rPr>
                <w:rFonts w:ascii="Arial" w:hAnsi="Arial" w:cs="Arial"/>
                <w:lang w:eastAsia="zh-CN"/>
              </w:rPr>
              <w:t xml:space="preserve">Cash Settled </w:t>
            </w:r>
            <w:r w:rsidR="0077199D" w:rsidRPr="00E65655">
              <w:rPr>
                <w:rFonts w:ascii="Arial" w:hAnsi="Arial" w:cs="Arial"/>
                <w:lang w:eastAsia="zh-CN"/>
              </w:rPr>
              <w:t>Short</w:t>
            </w:r>
            <w:r w:rsidR="003C7A6D" w:rsidRPr="00E65655">
              <w:rPr>
                <w:rFonts w:ascii="Arial" w:hAnsi="Arial" w:cs="Arial"/>
                <w:lang w:eastAsia="zh-CN"/>
              </w:rPr>
              <w:t xml:space="preserve"> </w:t>
            </w:r>
            <w:r w:rsidR="00871D3A" w:rsidRPr="00E65655">
              <w:rPr>
                <w:rFonts w:ascii="Arial" w:hAnsi="Arial" w:cs="Arial"/>
                <w:lang w:eastAsia="zh-CN"/>
              </w:rPr>
              <w:t xml:space="preserve">Certificates </w:t>
            </w:r>
            <w:r w:rsidR="004F737D" w:rsidRPr="00E65655">
              <w:rPr>
                <w:rFonts w:ascii="Arial" w:hAnsi="Arial" w:cs="Arial"/>
                <w:lang w:eastAsia="zh-CN"/>
              </w:rPr>
              <w:t xml:space="preserve">relating to </w:t>
            </w:r>
            <w:r w:rsidR="006271C2" w:rsidRPr="00E65655">
              <w:rPr>
                <w:rFonts w:ascii="Arial" w:hAnsi="Arial" w:cs="Arial"/>
                <w:lang w:eastAsia="zh-CN"/>
              </w:rPr>
              <w:t xml:space="preserve">the ordinary shares of </w:t>
            </w:r>
            <w:r w:rsidR="00160E62" w:rsidRPr="00160E62">
              <w:rPr>
                <w:rFonts w:ascii="Arial" w:hAnsi="Arial" w:cs="Arial"/>
                <w:lang w:eastAsia="zh-CN"/>
              </w:rPr>
              <w:t xml:space="preserve">Yangzijiang Shipbuilding (Holdings) Ltd. </w:t>
            </w:r>
            <w:r w:rsidR="00B27B67" w:rsidRPr="00E65655">
              <w:rPr>
                <w:rFonts w:ascii="Arial" w:hAnsi="Arial" w:cs="Arial" w:hint="eastAsia"/>
                <w:lang w:eastAsia="zh-CN"/>
              </w:rPr>
              <w:t>(the</w:t>
            </w:r>
            <w:r w:rsidR="00B27B67" w:rsidRPr="00E65655">
              <w:rPr>
                <w:rFonts w:ascii="Arial" w:hAnsi="Arial" w:cs="Arial" w:hint="eastAsia"/>
                <w:b/>
                <w:lang w:eastAsia="zh-CN"/>
              </w:rPr>
              <w:t xml:space="preserve"> </w:t>
            </w:r>
            <w:r w:rsidR="00B27B67" w:rsidRPr="00E65655">
              <w:rPr>
                <w:rFonts w:ascii="Arial" w:hAnsi="Arial" w:cs="Arial"/>
                <w:b/>
                <w:lang w:eastAsia="zh-CN"/>
              </w:rPr>
              <w:t>“</w:t>
            </w:r>
            <w:r w:rsidR="003F66C9" w:rsidRPr="00E65655">
              <w:rPr>
                <w:rFonts w:ascii="Arial" w:hAnsi="Arial" w:cs="Arial" w:hint="eastAsia"/>
                <w:b/>
                <w:lang w:eastAsia="zh-CN"/>
              </w:rPr>
              <w:t>Underlying Stock</w:t>
            </w:r>
            <w:r w:rsidR="00B27B67" w:rsidRPr="00E65655">
              <w:rPr>
                <w:rFonts w:ascii="Arial" w:hAnsi="Arial" w:cs="Arial"/>
                <w:lang w:eastAsia="zh-CN"/>
              </w:rPr>
              <w:t>”</w:t>
            </w:r>
            <w:r w:rsidR="00B27B67" w:rsidRPr="00E65655">
              <w:rPr>
                <w:rFonts w:ascii="Arial" w:hAnsi="Arial" w:cs="Arial" w:hint="eastAsia"/>
                <w:lang w:eastAsia="zh-CN"/>
              </w:rPr>
              <w:t>)</w:t>
            </w:r>
          </w:p>
        </w:tc>
      </w:tr>
      <w:tr w:rsidR="004F6E28" w:rsidRPr="00E65655" w14:paraId="565BE4C8" w14:textId="77777777" w:rsidTr="00853D4F">
        <w:tc>
          <w:tcPr>
            <w:tcW w:w="3072" w:type="dxa"/>
          </w:tcPr>
          <w:p w14:paraId="7694AE70" w14:textId="4F4CA4B0" w:rsidR="004F6E28" w:rsidRPr="00E65655" w:rsidRDefault="00F8387B" w:rsidP="00853D4F">
            <w:pPr>
              <w:pStyle w:val="PlainText"/>
              <w:spacing w:before="120" w:after="120" w:line="290" w:lineRule="auto"/>
              <w:jc w:val="both"/>
              <w:rPr>
                <w:rFonts w:ascii="Arial" w:hAnsi="Arial" w:cs="Arial"/>
              </w:rPr>
            </w:pPr>
            <w:r w:rsidRPr="00E65655">
              <w:rPr>
                <w:rFonts w:ascii="Arial" w:hAnsi="Arial" w:cs="Arial"/>
              </w:rPr>
              <w:t>ISIN:</w:t>
            </w:r>
          </w:p>
        </w:tc>
        <w:tc>
          <w:tcPr>
            <w:tcW w:w="6306" w:type="dxa"/>
          </w:tcPr>
          <w:p w14:paraId="129E1A19" w14:textId="53060373" w:rsidR="00A26E11" w:rsidRPr="00E65655" w:rsidRDefault="00A121EF" w:rsidP="00853D4F">
            <w:pPr>
              <w:pStyle w:val="PlainText"/>
              <w:spacing w:before="120" w:after="120" w:line="290" w:lineRule="auto"/>
              <w:jc w:val="both"/>
              <w:rPr>
                <w:rFonts w:ascii="Arial" w:hAnsi="Arial" w:cs="Arial"/>
                <w:bCs/>
              </w:rPr>
            </w:pPr>
            <w:r w:rsidRPr="00A121EF">
              <w:rPr>
                <w:rFonts w:ascii="Arial" w:hAnsi="Arial" w:cs="Arial"/>
                <w:bCs/>
              </w:rPr>
              <w:t>LU2079541285</w:t>
            </w:r>
          </w:p>
        </w:tc>
      </w:tr>
      <w:tr w:rsidR="00B50D7F" w:rsidRPr="00E65655" w14:paraId="7D06401D" w14:textId="77777777" w:rsidTr="00853D4F">
        <w:tc>
          <w:tcPr>
            <w:tcW w:w="3072" w:type="dxa"/>
          </w:tcPr>
          <w:p w14:paraId="19B1742A" w14:textId="4A56DDF6" w:rsidR="00B50D7F" w:rsidRPr="00E65655" w:rsidRDefault="00F8387B" w:rsidP="00853D4F">
            <w:pPr>
              <w:pStyle w:val="PlainText"/>
              <w:spacing w:before="120" w:after="120" w:line="290" w:lineRule="auto"/>
              <w:jc w:val="both"/>
              <w:rPr>
                <w:rFonts w:ascii="Arial" w:hAnsi="Arial" w:cs="Arial"/>
              </w:rPr>
            </w:pPr>
            <w:r w:rsidRPr="00E65655">
              <w:rPr>
                <w:rFonts w:ascii="Arial" w:hAnsi="Arial" w:cs="Arial"/>
              </w:rPr>
              <w:t>Company:</w:t>
            </w:r>
          </w:p>
        </w:tc>
        <w:tc>
          <w:tcPr>
            <w:tcW w:w="6306" w:type="dxa"/>
          </w:tcPr>
          <w:p w14:paraId="47C21E03" w14:textId="26D23A18" w:rsidR="00B50D7F" w:rsidRPr="00E65655" w:rsidRDefault="006A7430" w:rsidP="00853D4F">
            <w:pPr>
              <w:pStyle w:val="PlainText"/>
              <w:spacing w:before="120" w:after="120" w:line="290" w:lineRule="auto"/>
              <w:jc w:val="both"/>
              <w:rPr>
                <w:rFonts w:ascii="Arial" w:hAnsi="Arial" w:cs="Arial"/>
                <w:lang w:eastAsia="zh-CN"/>
              </w:rPr>
            </w:pPr>
            <w:r w:rsidRPr="006A7430">
              <w:rPr>
                <w:rFonts w:ascii="Arial" w:hAnsi="Arial" w:cs="Arial"/>
                <w:lang w:eastAsia="zh-CN"/>
              </w:rPr>
              <w:t>Yangzijiang Shipbuilding (Holdings) Ltd.</w:t>
            </w:r>
            <w:r w:rsidR="002737F6" w:rsidRPr="00D52561">
              <w:rPr>
                <w:rFonts w:ascii="Arial" w:hAnsi="Arial" w:cs="Arial"/>
                <w:lang w:eastAsia="zh-CN"/>
              </w:rPr>
              <w:t xml:space="preserve"> </w:t>
            </w:r>
            <w:r w:rsidR="002737F6" w:rsidRPr="00D52561">
              <w:rPr>
                <w:rFonts w:ascii="Arial" w:hAnsi="Arial" w:cs="Arial"/>
                <w:lang w:eastAsia="zh-CN"/>
              </w:rPr>
              <w:t>(</w:t>
            </w:r>
            <w:r w:rsidR="002737F6" w:rsidRPr="00B13E55">
              <w:rPr>
                <w:rFonts w:ascii="Arial" w:hAnsi="Arial" w:cs="Arial"/>
                <w:lang w:eastAsia="zh-CN"/>
              </w:rPr>
              <w:t xml:space="preserve">RIC: </w:t>
            </w:r>
            <w:r w:rsidR="002737F6">
              <w:rPr>
                <w:rFonts w:ascii="Arial" w:hAnsi="Arial" w:cs="Arial"/>
                <w:lang w:eastAsia="zh-CN"/>
              </w:rPr>
              <w:t>YAZG</w:t>
            </w:r>
            <w:r w:rsidR="002737F6" w:rsidRPr="008C2C5F">
              <w:rPr>
                <w:rFonts w:ascii="Arial" w:hAnsi="Arial" w:cs="Arial"/>
                <w:lang w:eastAsia="zh-CN"/>
              </w:rPr>
              <w:t>.SI</w:t>
            </w:r>
            <w:r w:rsidR="002737F6" w:rsidRPr="00B13E55">
              <w:rPr>
                <w:rFonts w:ascii="Arial" w:hAnsi="Arial" w:cs="Arial"/>
                <w:lang w:eastAsia="zh-CN"/>
              </w:rPr>
              <w:t>)</w:t>
            </w:r>
          </w:p>
        </w:tc>
      </w:tr>
      <w:tr w:rsidR="00F85599" w:rsidRPr="00E65655" w14:paraId="6F91F68C" w14:textId="77777777" w:rsidTr="00853D4F">
        <w:tc>
          <w:tcPr>
            <w:tcW w:w="3072" w:type="dxa"/>
          </w:tcPr>
          <w:p w14:paraId="1E64B33C" w14:textId="77777777" w:rsidR="00F85599" w:rsidRPr="00E65655" w:rsidRDefault="00F85599" w:rsidP="00853D4F">
            <w:pPr>
              <w:pStyle w:val="PlainText"/>
              <w:spacing w:before="120" w:after="120" w:line="290" w:lineRule="auto"/>
              <w:jc w:val="both"/>
              <w:rPr>
                <w:rFonts w:ascii="Arial" w:hAnsi="Arial" w:cs="Arial"/>
              </w:rPr>
            </w:pPr>
            <w:r w:rsidRPr="00E65655">
              <w:rPr>
                <w:rFonts w:ascii="Arial" w:hAnsi="Arial" w:cs="Arial" w:hint="eastAsia"/>
                <w:lang w:eastAsia="zh-CN"/>
              </w:rPr>
              <w:t>Underlying Price</w:t>
            </w:r>
            <w:r w:rsidRPr="00E65655">
              <w:rPr>
                <w:rStyle w:val="FootnoteReference"/>
                <w:rFonts w:ascii="Arial" w:hAnsi="Arial" w:cs="Arial"/>
              </w:rPr>
              <w:footnoteReference w:id="3"/>
            </w:r>
            <w:r w:rsidRPr="00E65655">
              <w:rPr>
                <w:rFonts w:ascii="Arial" w:hAnsi="Arial" w:cs="Arial" w:hint="eastAsia"/>
                <w:lang w:eastAsia="zh-CN"/>
              </w:rPr>
              <w:t xml:space="preserve"> and Source</w:t>
            </w:r>
            <w:r w:rsidRPr="00E65655">
              <w:rPr>
                <w:rFonts w:ascii="Arial" w:hAnsi="Arial" w:cs="Arial"/>
              </w:rPr>
              <w:t>:</w:t>
            </w:r>
          </w:p>
        </w:tc>
        <w:tc>
          <w:tcPr>
            <w:tcW w:w="6306" w:type="dxa"/>
          </w:tcPr>
          <w:p w14:paraId="704A5B00" w14:textId="5736AC81" w:rsidR="00F85599" w:rsidRPr="00E65655" w:rsidRDefault="00AD2E29" w:rsidP="00343B39">
            <w:pPr>
              <w:pStyle w:val="PlainText"/>
              <w:spacing w:before="120" w:after="120" w:line="290" w:lineRule="auto"/>
              <w:jc w:val="both"/>
              <w:rPr>
                <w:rFonts w:ascii="Arial" w:hAnsi="Arial" w:cs="Arial"/>
              </w:rPr>
            </w:pPr>
            <w:r w:rsidRPr="00E65655">
              <w:rPr>
                <w:rFonts w:ascii="Arial" w:hAnsi="Arial" w:cs="Arial"/>
              </w:rPr>
              <w:t>S$</w:t>
            </w:r>
            <w:r w:rsidR="006A7430" w:rsidRPr="006A7430">
              <w:rPr>
                <w:rFonts w:ascii="Arial" w:hAnsi="Arial" w:cs="Arial"/>
                <w:b/>
                <w:lang w:eastAsia="zh-CN"/>
              </w:rPr>
              <w:t>[</w:t>
            </w:r>
            <w:r w:rsidR="006A7430" w:rsidRPr="006A7430">
              <w:rPr>
                <w:rFonts w:ascii="Arial" w:hAnsi="Arial" w:cs="Arial"/>
                <w:b/>
                <w:lang w:eastAsia="zh-CN"/>
              </w:rPr>
              <w:sym w:font="Symbol" w:char="F0B7"/>
            </w:r>
            <w:r w:rsidR="006A7430" w:rsidRPr="006A7430">
              <w:rPr>
                <w:rFonts w:ascii="Arial" w:hAnsi="Arial" w:cs="Arial"/>
                <w:b/>
                <w:lang w:eastAsia="zh-CN"/>
              </w:rPr>
              <w:t>]</w:t>
            </w:r>
            <w:r w:rsidR="00706B93" w:rsidRPr="00E65655">
              <w:rPr>
                <w:rFonts w:ascii="Arial" w:hAnsi="Arial" w:cs="Arial" w:hint="eastAsia"/>
                <w:lang w:eastAsia="zh-CN"/>
              </w:rPr>
              <w:t xml:space="preserve"> </w:t>
            </w:r>
            <w:r w:rsidR="0051777C" w:rsidRPr="00E65655">
              <w:rPr>
                <w:rFonts w:ascii="Arial" w:hAnsi="Arial" w:cs="Arial" w:hint="eastAsia"/>
                <w:lang w:eastAsia="zh-CN"/>
              </w:rPr>
              <w:t>(Reuters</w:t>
            </w:r>
            <w:r w:rsidR="00F85599" w:rsidRPr="00E65655">
              <w:rPr>
                <w:rFonts w:ascii="Arial" w:hAnsi="Arial" w:cs="Arial" w:hint="eastAsia"/>
                <w:lang w:eastAsia="zh-CN"/>
              </w:rPr>
              <w:t>)</w:t>
            </w:r>
          </w:p>
        </w:tc>
      </w:tr>
      <w:tr w:rsidR="006D4D8D" w:rsidRPr="00E65655" w14:paraId="79383ADD" w14:textId="77777777" w:rsidTr="00853D4F">
        <w:tc>
          <w:tcPr>
            <w:tcW w:w="3072" w:type="dxa"/>
          </w:tcPr>
          <w:p w14:paraId="680F8A7D" w14:textId="1A132255" w:rsidR="006D4D8D" w:rsidRPr="00E65655" w:rsidRDefault="006D4D8D" w:rsidP="00853D4F">
            <w:pPr>
              <w:pStyle w:val="PlainText"/>
              <w:spacing w:before="120" w:after="120" w:line="290" w:lineRule="auto"/>
              <w:jc w:val="both"/>
              <w:rPr>
                <w:rFonts w:ascii="Arial" w:hAnsi="Arial" w:cs="Arial"/>
              </w:rPr>
            </w:pPr>
            <w:r w:rsidRPr="00E65655">
              <w:rPr>
                <w:rFonts w:ascii="Arial" w:hAnsi="Arial" w:cs="Arial"/>
              </w:rPr>
              <w:t>Calculation Agent:</w:t>
            </w:r>
          </w:p>
        </w:tc>
        <w:tc>
          <w:tcPr>
            <w:tcW w:w="6306" w:type="dxa"/>
          </w:tcPr>
          <w:p w14:paraId="4B5AE60C" w14:textId="22DBAC1A" w:rsidR="006D4D8D" w:rsidRPr="00E65655" w:rsidRDefault="007F6676" w:rsidP="00853D4F">
            <w:pPr>
              <w:keepLines/>
              <w:spacing w:before="120" w:after="120" w:line="290" w:lineRule="auto"/>
              <w:rPr>
                <w:rFonts w:cs="Arial"/>
              </w:rPr>
            </w:pPr>
            <w:r w:rsidRPr="00E65655">
              <w:rPr>
                <w:rFonts w:cs="Arial"/>
                <w:szCs w:val="20"/>
              </w:rPr>
              <w:t>Societe Generale</w:t>
            </w:r>
          </w:p>
        </w:tc>
      </w:tr>
      <w:tr w:rsidR="004F6E28" w:rsidRPr="00E65655" w14:paraId="584B9AEF" w14:textId="77777777" w:rsidTr="00853D4F">
        <w:tc>
          <w:tcPr>
            <w:tcW w:w="3072" w:type="dxa"/>
          </w:tcPr>
          <w:p w14:paraId="7D372EB0"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Strike Level:</w:t>
            </w:r>
          </w:p>
        </w:tc>
        <w:tc>
          <w:tcPr>
            <w:tcW w:w="6306" w:type="dxa"/>
          </w:tcPr>
          <w:p w14:paraId="2CA1DA97" w14:textId="6B18DA3D" w:rsidR="004F6E28" w:rsidRPr="00E65655" w:rsidRDefault="001E11BF" w:rsidP="00853D4F">
            <w:pPr>
              <w:pStyle w:val="PlainText"/>
              <w:spacing w:before="120" w:after="120" w:line="290" w:lineRule="auto"/>
              <w:jc w:val="both"/>
              <w:rPr>
                <w:rFonts w:ascii="Arial" w:hAnsi="Arial" w:cs="Arial"/>
              </w:rPr>
            </w:pPr>
            <w:r w:rsidRPr="00E65655">
              <w:rPr>
                <w:rFonts w:ascii="Arial" w:hAnsi="Arial" w:cs="Arial"/>
              </w:rPr>
              <w:t>Zero</w:t>
            </w:r>
          </w:p>
        </w:tc>
      </w:tr>
      <w:tr w:rsidR="00840DF2" w:rsidRPr="00E65655" w14:paraId="24F08791" w14:textId="77777777" w:rsidTr="00853D4F">
        <w:tc>
          <w:tcPr>
            <w:tcW w:w="3072" w:type="dxa"/>
          </w:tcPr>
          <w:p w14:paraId="6783B8FC" w14:textId="77777777" w:rsidR="00840DF2" w:rsidRPr="00E65655" w:rsidRDefault="005F59F5" w:rsidP="00853D4F">
            <w:pPr>
              <w:pStyle w:val="PlainText"/>
              <w:spacing w:before="120" w:after="120" w:line="290" w:lineRule="auto"/>
              <w:jc w:val="both"/>
              <w:rPr>
                <w:rFonts w:ascii="Arial" w:hAnsi="Arial" w:cs="Arial"/>
              </w:rPr>
            </w:pPr>
            <w:r w:rsidRPr="00E65655">
              <w:rPr>
                <w:rFonts w:ascii="Arial" w:hAnsi="Arial" w:cs="Arial"/>
              </w:rPr>
              <w:t>Daily Leverage</w:t>
            </w:r>
            <w:r w:rsidR="00AE1A6F" w:rsidRPr="00E65655">
              <w:rPr>
                <w:rFonts w:ascii="Arial" w:hAnsi="Arial" w:cs="Arial"/>
              </w:rPr>
              <w:t>:</w:t>
            </w:r>
          </w:p>
        </w:tc>
        <w:tc>
          <w:tcPr>
            <w:tcW w:w="6306" w:type="dxa"/>
          </w:tcPr>
          <w:p w14:paraId="4FA26B05" w14:textId="33793B51" w:rsidR="003A041D" w:rsidRPr="00E65655" w:rsidRDefault="00352D5D" w:rsidP="00853D4F">
            <w:pPr>
              <w:pStyle w:val="PlainText"/>
              <w:spacing w:before="120" w:after="120" w:line="290" w:lineRule="auto"/>
              <w:jc w:val="both"/>
              <w:rPr>
                <w:rFonts w:ascii="Arial" w:hAnsi="Arial" w:cs="Arial"/>
              </w:rPr>
            </w:pPr>
            <w:r w:rsidRPr="00E65655">
              <w:rPr>
                <w:rFonts w:ascii="Arial" w:hAnsi="Arial" w:cs="Arial"/>
              </w:rPr>
              <w:t>-</w:t>
            </w:r>
            <w:r w:rsidR="003A041D" w:rsidRPr="00E65655">
              <w:rPr>
                <w:rFonts w:ascii="Arial" w:hAnsi="Arial" w:cs="Arial"/>
              </w:rPr>
              <w:t>5x</w:t>
            </w:r>
            <w:r w:rsidR="005F59F5" w:rsidRPr="00E65655">
              <w:rPr>
                <w:rFonts w:ascii="Arial" w:hAnsi="Arial" w:cs="Arial"/>
              </w:rPr>
              <w:t xml:space="preserve"> (within the Leverage </w:t>
            </w:r>
            <w:r w:rsidRPr="00E65655">
              <w:rPr>
                <w:rFonts w:ascii="Arial" w:hAnsi="Arial" w:cs="Arial"/>
              </w:rPr>
              <w:t xml:space="preserve">Inverse </w:t>
            </w:r>
            <w:r w:rsidR="005F59F5" w:rsidRPr="00E65655">
              <w:rPr>
                <w:rFonts w:ascii="Arial" w:hAnsi="Arial" w:cs="Arial"/>
              </w:rPr>
              <w:t xml:space="preserve">Strategy as described </w:t>
            </w:r>
            <w:r w:rsidR="0056531F" w:rsidRPr="00E65655">
              <w:rPr>
                <w:rFonts w:ascii="Arial" w:hAnsi="Arial" w:cs="Arial"/>
              </w:rPr>
              <w:t>below</w:t>
            </w:r>
            <w:r w:rsidR="005F59F5" w:rsidRPr="00E65655">
              <w:rPr>
                <w:rFonts w:ascii="Arial" w:hAnsi="Arial" w:cs="Arial"/>
              </w:rPr>
              <w:t>)</w:t>
            </w:r>
          </w:p>
        </w:tc>
      </w:tr>
      <w:tr w:rsidR="003A041D" w:rsidRPr="00E65655" w14:paraId="5939D248" w14:textId="77777777" w:rsidTr="00853D4F">
        <w:tc>
          <w:tcPr>
            <w:tcW w:w="3072" w:type="dxa"/>
          </w:tcPr>
          <w:p w14:paraId="3A8D9CF8" w14:textId="77777777" w:rsidR="003A041D" w:rsidRPr="00E65655" w:rsidRDefault="003A041D" w:rsidP="00853D4F">
            <w:pPr>
              <w:pStyle w:val="PlainText"/>
              <w:spacing w:before="120" w:after="120" w:line="290" w:lineRule="auto"/>
              <w:jc w:val="both"/>
              <w:rPr>
                <w:rFonts w:ascii="Arial" w:hAnsi="Arial" w:cs="Arial"/>
              </w:rPr>
            </w:pPr>
            <w:r w:rsidRPr="00E65655">
              <w:rPr>
                <w:rFonts w:ascii="Arial" w:hAnsi="Arial" w:cs="Arial"/>
              </w:rPr>
              <w:t>Notional Amount per Certificate</w:t>
            </w:r>
            <w:r w:rsidR="00AE1A6F" w:rsidRPr="00E65655">
              <w:rPr>
                <w:rFonts w:ascii="Arial" w:hAnsi="Arial" w:cs="Arial"/>
              </w:rPr>
              <w:t>:</w:t>
            </w:r>
          </w:p>
        </w:tc>
        <w:tc>
          <w:tcPr>
            <w:tcW w:w="6306" w:type="dxa"/>
          </w:tcPr>
          <w:p w14:paraId="4FED2F3B" w14:textId="00762EB5" w:rsidR="000D146E" w:rsidRPr="00E65655" w:rsidRDefault="005F59F5" w:rsidP="00853D4F">
            <w:pPr>
              <w:pStyle w:val="PlainText"/>
              <w:spacing w:before="120" w:after="120" w:line="290" w:lineRule="auto"/>
              <w:jc w:val="both"/>
              <w:rPr>
                <w:rFonts w:ascii="Arial" w:hAnsi="Arial" w:cs="Arial"/>
              </w:rPr>
            </w:pPr>
            <w:r w:rsidRPr="00E65655">
              <w:rPr>
                <w:rFonts w:ascii="Arial" w:hAnsi="Arial" w:cs="Arial"/>
              </w:rPr>
              <w:t xml:space="preserve">SGD </w:t>
            </w:r>
            <w:r w:rsidR="006A7430">
              <w:rPr>
                <w:rFonts w:ascii="Arial" w:hAnsi="Arial" w:cs="Arial" w:hint="eastAsia"/>
                <w:lang w:eastAsia="zh-CN"/>
              </w:rPr>
              <w:t>0</w:t>
            </w:r>
            <w:r w:rsidR="00E356B6" w:rsidRPr="00E65655">
              <w:rPr>
                <w:rFonts w:ascii="Arial" w:hAnsi="Arial" w:cs="Arial"/>
              </w:rPr>
              <w:t>.</w:t>
            </w:r>
            <w:r w:rsidR="006A7430">
              <w:rPr>
                <w:rFonts w:ascii="Arial" w:hAnsi="Arial" w:cs="Arial" w:hint="eastAsia"/>
                <w:lang w:eastAsia="zh-CN"/>
              </w:rPr>
              <w:t>8</w:t>
            </w:r>
            <w:r w:rsidR="006271C2" w:rsidRPr="00E65655">
              <w:rPr>
                <w:rFonts w:ascii="Arial" w:hAnsi="Arial" w:cs="Arial"/>
              </w:rPr>
              <w:t>0</w:t>
            </w:r>
          </w:p>
        </w:tc>
      </w:tr>
      <w:tr w:rsidR="003A041D" w:rsidRPr="00E65655" w14:paraId="49B307D9" w14:textId="77777777" w:rsidTr="00853D4F">
        <w:tc>
          <w:tcPr>
            <w:tcW w:w="3072" w:type="dxa"/>
          </w:tcPr>
          <w:p w14:paraId="1A450AEC" w14:textId="77777777" w:rsidR="003A041D" w:rsidRPr="00E65655" w:rsidRDefault="003A041D" w:rsidP="00853D4F">
            <w:pPr>
              <w:pStyle w:val="PlainText"/>
              <w:spacing w:before="120" w:after="120" w:line="290" w:lineRule="auto"/>
              <w:jc w:val="both"/>
              <w:rPr>
                <w:rFonts w:ascii="Arial" w:hAnsi="Arial" w:cs="Arial"/>
              </w:rPr>
            </w:pPr>
            <w:r w:rsidRPr="00E65655">
              <w:rPr>
                <w:rFonts w:ascii="Arial" w:hAnsi="Arial" w:cs="Arial"/>
              </w:rPr>
              <w:t>Management Fee</w:t>
            </w:r>
            <w:r w:rsidR="00AE1A6F" w:rsidRPr="00E65655">
              <w:rPr>
                <w:rFonts w:ascii="Arial" w:hAnsi="Arial" w:cs="Arial"/>
              </w:rPr>
              <w:t xml:space="preserve"> (p.a.)</w:t>
            </w:r>
            <w:r w:rsidR="003770F5" w:rsidRPr="00E65655">
              <w:rPr>
                <w:rStyle w:val="FootnoteReference"/>
                <w:rFonts w:ascii="Arial" w:hAnsi="Arial" w:cs="Arial"/>
              </w:rPr>
              <w:footnoteReference w:id="4"/>
            </w:r>
            <w:r w:rsidR="00AE1A6F" w:rsidRPr="00E65655">
              <w:rPr>
                <w:rFonts w:ascii="Arial" w:hAnsi="Arial" w:cs="Arial"/>
              </w:rPr>
              <w:t>:</w:t>
            </w:r>
          </w:p>
        </w:tc>
        <w:tc>
          <w:tcPr>
            <w:tcW w:w="6306" w:type="dxa"/>
          </w:tcPr>
          <w:p w14:paraId="2C1556E3" w14:textId="13F9721C" w:rsidR="00AE1A6F" w:rsidRPr="00E65655" w:rsidRDefault="005F59F5" w:rsidP="00853D4F">
            <w:pPr>
              <w:pStyle w:val="PlainText"/>
              <w:spacing w:before="120" w:after="120" w:line="290" w:lineRule="auto"/>
              <w:jc w:val="both"/>
              <w:rPr>
                <w:rFonts w:ascii="Arial" w:hAnsi="Arial" w:cs="Arial"/>
              </w:rPr>
            </w:pPr>
            <w:r w:rsidRPr="00E65655">
              <w:rPr>
                <w:rFonts w:ascii="Arial" w:hAnsi="Arial" w:cs="Arial"/>
              </w:rPr>
              <w:t>0.40</w:t>
            </w:r>
            <w:r w:rsidR="00AE1A6F" w:rsidRPr="00E65655">
              <w:rPr>
                <w:rFonts w:ascii="Arial" w:hAnsi="Arial" w:cs="Arial"/>
              </w:rPr>
              <w:t>%</w:t>
            </w:r>
          </w:p>
        </w:tc>
      </w:tr>
      <w:tr w:rsidR="00EB1126" w:rsidRPr="00E65655" w14:paraId="2CB231C5" w14:textId="77777777" w:rsidTr="00853D4F">
        <w:tc>
          <w:tcPr>
            <w:tcW w:w="3072" w:type="dxa"/>
          </w:tcPr>
          <w:p w14:paraId="7440F150" w14:textId="77777777" w:rsidR="00EB1126" w:rsidRPr="00E65655" w:rsidRDefault="00EB1126" w:rsidP="00853D4F">
            <w:pPr>
              <w:pStyle w:val="PlainText"/>
              <w:spacing w:before="120" w:after="120" w:line="290" w:lineRule="auto"/>
              <w:jc w:val="both"/>
              <w:rPr>
                <w:rFonts w:ascii="Arial" w:hAnsi="Arial" w:cs="Arial"/>
              </w:rPr>
            </w:pPr>
            <w:r w:rsidRPr="00E65655">
              <w:rPr>
                <w:rFonts w:ascii="Arial" w:hAnsi="Arial" w:cs="Arial"/>
              </w:rPr>
              <w:t>Gap Premium</w:t>
            </w:r>
            <w:r w:rsidR="00EC2C42" w:rsidRPr="00E65655">
              <w:rPr>
                <w:rFonts w:ascii="Arial" w:hAnsi="Arial" w:cs="Arial"/>
              </w:rPr>
              <w:t xml:space="preserve"> (p.a.)</w:t>
            </w:r>
            <w:r w:rsidR="008C3B44" w:rsidRPr="00E65655">
              <w:rPr>
                <w:rStyle w:val="FootnoteReference"/>
                <w:rFonts w:ascii="Arial" w:hAnsi="Arial" w:cs="Arial"/>
              </w:rPr>
              <w:footnoteReference w:id="5"/>
            </w:r>
            <w:r w:rsidR="00EC2C42" w:rsidRPr="00E65655">
              <w:rPr>
                <w:rFonts w:ascii="Arial" w:hAnsi="Arial" w:cs="Arial"/>
              </w:rPr>
              <w:t>:</w:t>
            </w:r>
          </w:p>
        </w:tc>
        <w:tc>
          <w:tcPr>
            <w:tcW w:w="6306" w:type="dxa"/>
          </w:tcPr>
          <w:p w14:paraId="7A766FF6" w14:textId="4B1F0171" w:rsidR="00EB1126" w:rsidRPr="00E65655" w:rsidRDefault="00E356B6" w:rsidP="00853D4F">
            <w:pPr>
              <w:pStyle w:val="PlainText"/>
              <w:spacing w:before="120" w:after="120" w:line="290" w:lineRule="auto"/>
              <w:jc w:val="both"/>
              <w:rPr>
                <w:rFonts w:ascii="Arial" w:hAnsi="Arial" w:cs="Arial"/>
              </w:rPr>
            </w:pPr>
            <w:r w:rsidRPr="00E65655">
              <w:rPr>
                <w:rFonts w:ascii="Arial" w:hAnsi="Arial" w:cs="Arial"/>
              </w:rPr>
              <w:t>1</w:t>
            </w:r>
            <w:r w:rsidR="006A7430">
              <w:rPr>
                <w:rFonts w:ascii="Arial" w:hAnsi="Arial" w:cs="Arial" w:hint="eastAsia"/>
                <w:lang w:eastAsia="zh-CN"/>
              </w:rPr>
              <w:t>7</w:t>
            </w:r>
            <w:r w:rsidRPr="00E65655">
              <w:rPr>
                <w:rFonts w:ascii="Arial" w:hAnsi="Arial" w:cs="Arial"/>
              </w:rPr>
              <w:t>.</w:t>
            </w:r>
            <w:r w:rsidR="006A7430">
              <w:rPr>
                <w:rFonts w:ascii="Arial" w:hAnsi="Arial" w:cs="Arial" w:hint="eastAsia"/>
                <w:lang w:eastAsia="zh-CN"/>
              </w:rPr>
              <w:t>00</w:t>
            </w:r>
            <w:r w:rsidRPr="00E65655">
              <w:rPr>
                <w:rFonts w:ascii="Arial" w:hAnsi="Arial" w:cs="Arial"/>
              </w:rPr>
              <w:t>%</w:t>
            </w:r>
            <w:r w:rsidR="000D146E" w:rsidRPr="00E65655">
              <w:rPr>
                <w:rFonts w:ascii="Arial" w:hAnsi="Arial" w:cs="Arial"/>
              </w:rPr>
              <w:t>,</w:t>
            </w:r>
            <w:r w:rsidR="00320290" w:rsidRPr="00E65655">
              <w:rPr>
                <w:rFonts w:ascii="Arial" w:hAnsi="Arial" w:cs="Arial"/>
              </w:rPr>
              <w:t xml:space="preserve"> </w:t>
            </w:r>
            <w:r w:rsidR="00320290" w:rsidRPr="00E65655">
              <w:rPr>
                <w:rFonts w:ascii="Arial" w:hAnsi="Arial"/>
                <w:color w:val="000000"/>
                <w:szCs w:val="24"/>
              </w:rPr>
              <w:t xml:space="preserve">is a hedging cost </w:t>
            </w:r>
            <w:r w:rsidR="00A16A2C" w:rsidRPr="00E65655">
              <w:rPr>
                <w:rFonts w:ascii="Arial" w:hAnsi="Arial"/>
                <w:color w:val="000000"/>
                <w:szCs w:val="24"/>
              </w:rPr>
              <w:t>against</w:t>
            </w:r>
            <w:r w:rsidR="00320290" w:rsidRPr="00E65655">
              <w:rPr>
                <w:rFonts w:ascii="Arial" w:hAnsi="Arial"/>
                <w:color w:val="000000"/>
                <w:szCs w:val="24"/>
              </w:rPr>
              <w:t xml:space="preserve"> extreme market movements overnight. </w:t>
            </w:r>
          </w:p>
        </w:tc>
      </w:tr>
      <w:tr w:rsidR="00CB2D7C" w:rsidRPr="00E65655" w14:paraId="4A2D8066" w14:textId="77777777" w:rsidTr="00853D4F">
        <w:tc>
          <w:tcPr>
            <w:tcW w:w="3072" w:type="dxa"/>
          </w:tcPr>
          <w:p w14:paraId="47F27A13" w14:textId="77777777" w:rsidR="00CB2D7C" w:rsidRPr="00E65655" w:rsidRDefault="008F1BFC" w:rsidP="00853D4F">
            <w:pPr>
              <w:pStyle w:val="PlainText"/>
              <w:spacing w:before="120" w:after="120" w:line="290" w:lineRule="auto"/>
              <w:jc w:val="both"/>
              <w:rPr>
                <w:rFonts w:ascii="Arial" w:hAnsi="Arial" w:cs="Arial"/>
              </w:rPr>
            </w:pPr>
            <w:r w:rsidRPr="00E65655">
              <w:rPr>
                <w:rFonts w:ascii="Arial" w:hAnsi="Arial" w:cs="Arial"/>
              </w:rPr>
              <w:t>Stock Borrowing</w:t>
            </w:r>
            <w:r w:rsidR="00CB2D7C" w:rsidRPr="00E65655">
              <w:rPr>
                <w:rFonts w:ascii="Arial" w:hAnsi="Arial" w:cs="Arial"/>
              </w:rPr>
              <w:t xml:space="preserve"> Cost</w:t>
            </w:r>
            <w:r w:rsidR="00271255" w:rsidRPr="00E65655">
              <w:rPr>
                <w:rStyle w:val="FootnoteReference"/>
                <w:rFonts w:ascii="Arial" w:hAnsi="Arial" w:cs="Arial"/>
              </w:rPr>
              <w:footnoteReference w:id="6"/>
            </w:r>
            <w:r w:rsidR="00F45738" w:rsidRPr="00E65655">
              <w:rPr>
                <w:rFonts w:ascii="Arial" w:hAnsi="Arial" w:cs="Arial"/>
              </w:rPr>
              <w:t>:</w:t>
            </w:r>
          </w:p>
        </w:tc>
        <w:tc>
          <w:tcPr>
            <w:tcW w:w="6306" w:type="dxa"/>
          </w:tcPr>
          <w:p w14:paraId="4C85F5A4" w14:textId="639B4DFF" w:rsidR="00BE1E97" w:rsidRPr="00E65655" w:rsidRDefault="00BE1E97" w:rsidP="00853D4F">
            <w:pPr>
              <w:pStyle w:val="PlainText"/>
              <w:spacing w:before="120" w:after="120" w:line="290" w:lineRule="auto"/>
              <w:jc w:val="both"/>
              <w:rPr>
                <w:rFonts w:ascii="Arial" w:hAnsi="Arial" w:cs="Arial"/>
              </w:rPr>
            </w:pPr>
            <w:r w:rsidRPr="00E65655">
              <w:rPr>
                <w:rFonts w:ascii="Arial" w:hAnsi="Arial" w:cs="Arial"/>
                <w:lang w:val="en-CA"/>
              </w:rPr>
              <w:t xml:space="preserve">The annualised costs for borrowing stocks </w:t>
            </w:r>
            <w:proofErr w:type="gramStart"/>
            <w:r w:rsidRPr="00E65655">
              <w:rPr>
                <w:rFonts w:ascii="Arial" w:hAnsi="Arial" w:cs="Arial"/>
                <w:lang w:val="en-CA"/>
              </w:rPr>
              <w:t>in order to</w:t>
            </w:r>
            <w:proofErr w:type="gramEnd"/>
            <w:r w:rsidRPr="00E65655">
              <w:rPr>
                <w:rFonts w:ascii="Arial" w:hAnsi="Arial" w:cs="Arial"/>
                <w:lang w:val="en-CA"/>
              </w:rPr>
              <w:t xml:space="preserve"> take an inverse exposure on the</w:t>
            </w:r>
            <w:r w:rsidRPr="00E65655">
              <w:rPr>
                <w:rFonts w:ascii="Arial" w:hAnsi="Arial" w:cs="Arial"/>
                <w:b/>
                <w:lang w:val="en-CA"/>
              </w:rPr>
              <w:t xml:space="preserve"> </w:t>
            </w:r>
            <w:r w:rsidRPr="00E65655">
              <w:rPr>
                <w:rFonts w:ascii="Arial" w:hAnsi="Arial" w:cs="Arial"/>
                <w:lang w:val="en-CA"/>
              </w:rPr>
              <w:t>Underlying Stock.</w:t>
            </w:r>
          </w:p>
        </w:tc>
      </w:tr>
      <w:tr w:rsidR="00CB2D7C" w:rsidRPr="00E65655" w14:paraId="65102C5A" w14:textId="77777777" w:rsidTr="00853D4F">
        <w:tc>
          <w:tcPr>
            <w:tcW w:w="3072" w:type="dxa"/>
          </w:tcPr>
          <w:p w14:paraId="4EA3B181" w14:textId="381C25FE" w:rsidR="00CB2D7C" w:rsidRPr="00E65655" w:rsidRDefault="00CB2D7C" w:rsidP="00853D4F">
            <w:pPr>
              <w:pStyle w:val="PlainText"/>
              <w:spacing w:before="120" w:after="120" w:line="290" w:lineRule="auto"/>
              <w:jc w:val="both"/>
              <w:rPr>
                <w:rFonts w:ascii="Arial" w:hAnsi="Arial" w:cs="Arial"/>
              </w:rPr>
            </w:pPr>
            <w:r w:rsidRPr="00E65655">
              <w:rPr>
                <w:rFonts w:ascii="Arial" w:hAnsi="Arial" w:cs="Arial"/>
              </w:rPr>
              <w:t>Rebalancing Cost</w:t>
            </w:r>
            <w:r w:rsidR="007110F6" w:rsidRPr="00E65655">
              <w:rPr>
                <w:rFonts w:ascii="Arial" w:hAnsi="Arial" w:cs="Arial"/>
                <w:vertAlign w:val="superscript"/>
              </w:rPr>
              <w:t>6</w:t>
            </w:r>
            <w:r w:rsidR="00F45738" w:rsidRPr="00E65655">
              <w:rPr>
                <w:rFonts w:ascii="Arial" w:hAnsi="Arial" w:cs="Arial"/>
              </w:rPr>
              <w:t>:</w:t>
            </w:r>
          </w:p>
        </w:tc>
        <w:tc>
          <w:tcPr>
            <w:tcW w:w="6306" w:type="dxa"/>
          </w:tcPr>
          <w:p w14:paraId="78DD83A4" w14:textId="77777777" w:rsidR="00CB2D7C" w:rsidRPr="00E65655" w:rsidRDefault="00267BB2" w:rsidP="00853D4F">
            <w:pPr>
              <w:pStyle w:val="PlainText"/>
              <w:spacing w:before="120" w:after="120" w:line="290" w:lineRule="auto"/>
              <w:jc w:val="both"/>
              <w:rPr>
                <w:rFonts w:ascii="Arial" w:hAnsi="Arial" w:cs="Arial"/>
              </w:rPr>
            </w:pPr>
            <w:r w:rsidRPr="00E65655">
              <w:rPr>
                <w:rFonts w:ascii="Arial" w:hAnsi="Arial" w:cs="Arial"/>
              </w:rPr>
              <w:t>The</w:t>
            </w:r>
            <w:r w:rsidR="00CB2D7C" w:rsidRPr="00E65655">
              <w:rPr>
                <w:rFonts w:ascii="Arial" w:hAnsi="Arial" w:cs="Arial"/>
              </w:rPr>
              <w:t xml:space="preserve"> transaction costs (if applicable),</w:t>
            </w:r>
            <w:r w:rsidRPr="00E65655">
              <w:rPr>
                <w:rFonts w:ascii="Arial" w:hAnsi="Arial" w:cs="Arial"/>
              </w:rPr>
              <w:t xml:space="preserve"> computed</w:t>
            </w:r>
            <w:r w:rsidR="00CB2D7C" w:rsidRPr="00E65655">
              <w:rPr>
                <w:rFonts w:ascii="Arial" w:hAnsi="Arial" w:cs="Arial"/>
              </w:rPr>
              <w:t xml:space="preserve"> as a function of leverage and da</w:t>
            </w:r>
            <w:r w:rsidR="00271255" w:rsidRPr="00E65655">
              <w:rPr>
                <w:rFonts w:ascii="Arial" w:hAnsi="Arial" w:cs="Arial"/>
              </w:rPr>
              <w:t xml:space="preserve">ily </w:t>
            </w:r>
            <w:r w:rsidR="00352D5D" w:rsidRPr="00E65655">
              <w:rPr>
                <w:rFonts w:ascii="Arial" w:hAnsi="Arial" w:cs="Arial"/>
              </w:rPr>
              <w:t xml:space="preserve">inverse </w:t>
            </w:r>
            <w:r w:rsidR="00271255" w:rsidRPr="00E65655">
              <w:rPr>
                <w:rFonts w:ascii="Arial" w:hAnsi="Arial" w:cs="Arial"/>
              </w:rPr>
              <w:t xml:space="preserve">performance of the </w:t>
            </w:r>
            <w:r w:rsidR="003F66C9" w:rsidRPr="00E65655">
              <w:rPr>
                <w:rFonts w:ascii="Arial" w:hAnsi="Arial" w:cs="Arial"/>
              </w:rPr>
              <w:t>Underlying Stock</w:t>
            </w:r>
            <w:r w:rsidR="00CB2D7C" w:rsidRPr="00E65655">
              <w:rPr>
                <w:rFonts w:ascii="Arial" w:hAnsi="Arial" w:cs="Arial"/>
              </w:rPr>
              <w:t>.</w:t>
            </w:r>
          </w:p>
        </w:tc>
      </w:tr>
      <w:tr w:rsidR="002D6FDB" w:rsidRPr="00E65655" w14:paraId="390CE767" w14:textId="77777777" w:rsidTr="00853D4F">
        <w:tc>
          <w:tcPr>
            <w:tcW w:w="3072" w:type="dxa"/>
          </w:tcPr>
          <w:p w14:paraId="2BEF5ECE" w14:textId="77777777" w:rsidR="002D6FDB" w:rsidRPr="00E65655" w:rsidRDefault="002D6FDB" w:rsidP="002D6FDB">
            <w:pPr>
              <w:pStyle w:val="PlainText"/>
              <w:spacing w:before="120" w:after="120" w:line="290" w:lineRule="auto"/>
              <w:jc w:val="both"/>
              <w:rPr>
                <w:rFonts w:ascii="Arial" w:hAnsi="Arial" w:cs="Arial"/>
              </w:rPr>
            </w:pPr>
            <w:r w:rsidRPr="00E65655">
              <w:rPr>
                <w:rFonts w:ascii="Arial" w:hAnsi="Arial" w:cs="Arial"/>
              </w:rPr>
              <w:t>Launch Date:</w:t>
            </w:r>
          </w:p>
        </w:tc>
        <w:tc>
          <w:tcPr>
            <w:tcW w:w="6306" w:type="dxa"/>
          </w:tcPr>
          <w:p w14:paraId="4E0BE2E9" w14:textId="54D4D1D8" w:rsidR="002D6FDB" w:rsidRPr="00E65655" w:rsidRDefault="002D6FDB" w:rsidP="002D6FDB">
            <w:pPr>
              <w:pStyle w:val="PlainText"/>
              <w:spacing w:before="120" w:after="120" w:line="290" w:lineRule="auto"/>
              <w:jc w:val="both"/>
              <w:rPr>
                <w:rFonts w:ascii="Arial" w:hAnsi="Arial" w:cs="Arial"/>
              </w:rPr>
            </w:pPr>
            <w:r w:rsidRPr="002D6FDB">
              <w:rPr>
                <w:rFonts w:ascii="Arial" w:hAnsi="Arial" w:cs="Arial"/>
              </w:rPr>
              <w:t xml:space="preserve">23 </w:t>
            </w:r>
            <w:r w:rsidR="0028528E">
              <w:rPr>
                <w:rFonts w:ascii="Arial" w:hAnsi="Arial" w:cs="Arial" w:hint="eastAsia"/>
                <w:lang w:eastAsia="zh-CN"/>
              </w:rPr>
              <w:t xml:space="preserve">April </w:t>
            </w:r>
            <w:r w:rsidRPr="002D6FDB">
              <w:rPr>
                <w:rFonts w:ascii="Arial" w:hAnsi="Arial" w:cs="Arial"/>
              </w:rPr>
              <w:t>2026</w:t>
            </w:r>
          </w:p>
        </w:tc>
      </w:tr>
      <w:tr w:rsidR="002D6FDB" w:rsidRPr="00E65655" w14:paraId="239DF2D8" w14:textId="77777777" w:rsidTr="00853D4F">
        <w:tc>
          <w:tcPr>
            <w:tcW w:w="3072" w:type="dxa"/>
          </w:tcPr>
          <w:p w14:paraId="3F161D54" w14:textId="77777777" w:rsidR="002D6FDB" w:rsidRPr="00E65655" w:rsidRDefault="002D6FDB" w:rsidP="002D6FDB">
            <w:pPr>
              <w:pStyle w:val="PlainText"/>
              <w:spacing w:before="120" w:after="120" w:line="290" w:lineRule="auto"/>
              <w:jc w:val="both"/>
              <w:rPr>
                <w:rFonts w:ascii="Arial" w:hAnsi="Arial" w:cs="Arial"/>
              </w:rPr>
            </w:pPr>
            <w:r w:rsidRPr="00E65655">
              <w:rPr>
                <w:rFonts w:ascii="Arial" w:hAnsi="Arial" w:cs="Arial"/>
              </w:rPr>
              <w:t>Closing Date:</w:t>
            </w:r>
          </w:p>
        </w:tc>
        <w:tc>
          <w:tcPr>
            <w:tcW w:w="6306" w:type="dxa"/>
          </w:tcPr>
          <w:p w14:paraId="39EBBC27" w14:textId="7517B076" w:rsidR="002D6FDB" w:rsidRPr="00E65655" w:rsidRDefault="002D6FDB" w:rsidP="002D6FDB">
            <w:pPr>
              <w:pStyle w:val="PlainText"/>
              <w:spacing w:before="120" w:after="120" w:line="290" w:lineRule="auto"/>
              <w:jc w:val="both"/>
              <w:rPr>
                <w:rFonts w:ascii="Arial" w:hAnsi="Arial" w:cs="Arial"/>
              </w:rPr>
            </w:pPr>
            <w:r w:rsidRPr="002D6FDB">
              <w:rPr>
                <w:rFonts w:ascii="Arial" w:hAnsi="Arial" w:cs="Arial"/>
              </w:rPr>
              <w:t xml:space="preserve">29 </w:t>
            </w:r>
            <w:r w:rsidR="0028528E">
              <w:rPr>
                <w:rFonts w:ascii="Arial" w:hAnsi="Arial" w:cs="Arial" w:hint="eastAsia"/>
                <w:lang w:eastAsia="zh-CN"/>
              </w:rPr>
              <w:t>April</w:t>
            </w:r>
            <w:r w:rsidRPr="002D6FDB">
              <w:rPr>
                <w:rFonts w:ascii="Arial" w:hAnsi="Arial" w:cs="Arial"/>
              </w:rPr>
              <w:t xml:space="preserve"> 2026</w:t>
            </w:r>
          </w:p>
        </w:tc>
      </w:tr>
      <w:tr w:rsidR="004F6E28" w:rsidRPr="00E65655" w14:paraId="5B262259" w14:textId="77777777" w:rsidTr="00853D4F">
        <w:tc>
          <w:tcPr>
            <w:tcW w:w="3072" w:type="dxa"/>
          </w:tcPr>
          <w:p w14:paraId="7D7A17AA" w14:textId="77777777" w:rsidR="004F6E28" w:rsidRPr="00E65655" w:rsidRDefault="005E29E0" w:rsidP="00853D4F">
            <w:pPr>
              <w:pStyle w:val="PlainText"/>
              <w:spacing w:before="120" w:after="120" w:line="290" w:lineRule="auto"/>
              <w:jc w:val="both"/>
              <w:rPr>
                <w:rFonts w:ascii="Arial" w:hAnsi="Arial" w:cs="Arial"/>
              </w:rPr>
            </w:pPr>
            <w:r w:rsidRPr="00E65655">
              <w:rPr>
                <w:rFonts w:ascii="Arial" w:hAnsi="Arial" w:cs="Arial"/>
              </w:rPr>
              <w:lastRenderedPageBreak/>
              <w:t>Expected Listing</w:t>
            </w:r>
            <w:r w:rsidR="004F6E28" w:rsidRPr="00E65655">
              <w:rPr>
                <w:rFonts w:ascii="Arial" w:hAnsi="Arial" w:cs="Arial"/>
              </w:rPr>
              <w:t xml:space="preserve"> Date:</w:t>
            </w:r>
          </w:p>
        </w:tc>
        <w:tc>
          <w:tcPr>
            <w:tcW w:w="6306" w:type="dxa"/>
          </w:tcPr>
          <w:p w14:paraId="7EF0136C" w14:textId="53231694" w:rsidR="00B50D7F" w:rsidRPr="00E65655" w:rsidRDefault="00D03676" w:rsidP="00853D4F">
            <w:pPr>
              <w:pStyle w:val="PlainText"/>
              <w:spacing w:before="120" w:after="120" w:line="290" w:lineRule="auto"/>
              <w:jc w:val="both"/>
              <w:rPr>
                <w:rFonts w:ascii="Arial" w:hAnsi="Arial" w:cs="Arial"/>
              </w:rPr>
            </w:pPr>
            <w:r w:rsidRPr="00D03676">
              <w:rPr>
                <w:rFonts w:ascii="Arial" w:hAnsi="Arial" w:cs="Arial"/>
                <w:lang w:eastAsia="zh-CN"/>
              </w:rPr>
              <w:t xml:space="preserve">30 </w:t>
            </w:r>
            <w:r w:rsidR="0028528E">
              <w:rPr>
                <w:rFonts w:ascii="Arial" w:hAnsi="Arial" w:cs="Arial" w:hint="eastAsia"/>
                <w:lang w:eastAsia="zh-CN"/>
              </w:rPr>
              <w:t>April</w:t>
            </w:r>
            <w:r w:rsidRPr="00D03676">
              <w:rPr>
                <w:rFonts w:ascii="Arial" w:hAnsi="Arial" w:cs="Arial"/>
                <w:lang w:eastAsia="zh-CN"/>
              </w:rPr>
              <w:t xml:space="preserve"> 2026</w:t>
            </w:r>
          </w:p>
        </w:tc>
      </w:tr>
      <w:tr w:rsidR="00AE1A6F" w:rsidRPr="00E65655" w14:paraId="07F2144A" w14:textId="77777777" w:rsidTr="00853D4F">
        <w:tc>
          <w:tcPr>
            <w:tcW w:w="3072" w:type="dxa"/>
          </w:tcPr>
          <w:p w14:paraId="6100A3F2" w14:textId="77777777" w:rsidR="00AE1A6F" w:rsidRPr="00E65655" w:rsidRDefault="00AE1A6F" w:rsidP="00853D4F">
            <w:pPr>
              <w:pStyle w:val="PlainText"/>
              <w:spacing w:before="120" w:after="120" w:line="290" w:lineRule="auto"/>
              <w:jc w:val="both"/>
              <w:rPr>
                <w:rFonts w:ascii="Arial" w:hAnsi="Arial" w:cs="Arial"/>
              </w:rPr>
            </w:pPr>
            <w:r w:rsidRPr="00E65655">
              <w:rPr>
                <w:rFonts w:ascii="Arial" w:hAnsi="Arial" w:cs="Arial"/>
              </w:rPr>
              <w:t>Last Trading Date:</w:t>
            </w:r>
          </w:p>
        </w:tc>
        <w:tc>
          <w:tcPr>
            <w:tcW w:w="6306" w:type="dxa"/>
          </w:tcPr>
          <w:p w14:paraId="06B5CFD0" w14:textId="073BCC93" w:rsidR="00EF2B64" w:rsidRPr="00E65655" w:rsidRDefault="00AE1A6F" w:rsidP="004211B2">
            <w:pPr>
              <w:pStyle w:val="PlainText"/>
              <w:spacing w:before="120" w:after="120" w:line="290" w:lineRule="auto"/>
              <w:jc w:val="both"/>
              <w:rPr>
                <w:rFonts w:ascii="Arial" w:hAnsi="Arial" w:cs="Arial"/>
                <w:lang w:eastAsia="zh-CN"/>
              </w:rPr>
            </w:pPr>
            <w:r w:rsidRPr="00E65655">
              <w:rPr>
                <w:rFonts w:ascii="Arial" w:hAnsi="Arial" w:cs="Arial"/>
              </w:rPr>
              <w:t>The date falling 5 Business Days immediately preceding the Expiry Date, currently being</w:t>
            </w:r>
            <w:r w:rsidR="000D146E" w:rsidRPr="00E65655">
              <w:rPr>
                <w:rFonts w:ascii="Arial" w:hAnsi="Arial" w:cs="Arial"/>
              </w:rPr>
              <w:t xml:space="preserve"> </w:t>
            </w:r>
            <w:r w:rsidR="00BD2E66">
              <w:rPr>
                <w:rFonts w:ascii="Arial" w:hAnsi="Arial" w:cs="Arial" w:hint="eastAsia"/>
                <w:lang w:eastAsia="zh-CN"/>
              </w:rPr>
              <w:t>6 April</w:t>
            </w:r>
            <w:r w:rsidR="00F411BF" w:rsidRPr="00F411BF">
              <w:rPr>
                <w:rFonts w:ascii="Arial" w:hAnsi="Arial" w:cs="Arial"/>
                <w:lang w:eastAsia="zh-CN"/>
              </w:rPr>
              <w:t xml:space="preserve"> 2028</w:t>
            </w:r>
          </w:p>
        </w:tc>
      </w:tr>
      <w:tr w:rsidR="004F6E28" w:rsidRPr="00E65655" w14:paraId="7F532BCD" w14:textId="77777777" w:rsidTr="00853D4F">
        <w:tc>
          <w:tcPr>
            <w:tcW w:w="3072" w:type="dxa"/>
          </w:tcPr>
          <w:p w14:paraId="6D01176C"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Expiry Date:</w:t>
            </w:r>
          </w:p>
        </w:tc>
        <w:tc>
          <w:tcPr>
            <w:tcW w:w="6306" w:type="dxa"/>
          </w:tcPr>
          <w:p w14:paraId="552ECBF4" w14:textId="0CAFF892" w:rsidR="004F6E28" w:rsidRPr="00E65655" w:rsidRDefault="00BD2E66" w:rsidP="00853D4F">
            <w:pPr>
              <w:pStyle w:val="PlainText"/>
              <w:spacing w:before="120" w:after="120" w:line="290" w:lineRule="auto"/>
              <w:jc w:val="both"/>
              <w:rPr>
                <w:rFonts w:ascii="Arial" w:hAnsi="Arial" w:cs="Arial"/>
              </w:rPr>
            </w:pPr>
            <w:r>
              <w:rPr>
                <w:rFonts w:ascii="Arial" w:hAnsi="Arial" w:cs="Arial" w:hint="eastAsia"/>
                <w:lang w:eastAsia="zh-CN"/>
              </w:rPr>
              <w:t>13 April</w:t>
            </w:r>
            <w:r w:rsidR="00D0799A" w:rsidRPr="00D0799A">
              <w:rPr>
                <w:rFonts w:ascii="Arial" w:hAnsi="Arial" w:cs="Arial"/>
              </w:rPr>
              <w:t xml:space="preserve"> 2028 </w:t>
            </w:r>
            <w:r w:rsidR="004F6E28" w:rsidRPr="00E65655">
              <w:rPr>
                <w:rFonts w:ascii="Arial" w:hAnsi="Arial" w:cs="Arial"/>
              </w:rPr>
              <w:t>(</w:t>
            </w:r>
            <w:r w:rsidR="004F6E28" w:rsidRPr="00E65655">
              <w:rPr>
                <w:rFonts w:ascii="Arial" w:hAnsi="Arial" w:cs="Arial"/>
                <w:lang w:val="en-US"/>
              </w:rPr>
              <w:t xml:space="preserve">if the Expiry Date is not a Business Day, then the Expiry Date shall fall on the preceding Business Day and </w:t>
            </w:r>
            <w:r w:rsidR="004F6E28" w:rsidRPr="00E65655">
              <w:rPr>
                <w:rFonts w:ascii="Arial" w:hAnsi="Arial" w:cs="Arial"/>
              </w:rPr>
              <w:t xml:space="preserve">subject to adjustment of the Valuation Date upon the occurrence of Market Disruption Events as set out in the Conditions of the </w:t>
            </w:r>
            <w:r w:rsidR="001E11BF" w:rsidRPr="00E65655">
              <w:rPr>
                <w:rFonts w:ascii="Arial" w:hAnsi="Arial" w:cs="Arial"/>
              </w:rPr>
              <w:t>Certificates</w:t>
            </w:r>
            <w:r w:rsidR="004F6E28" w:rsidRPr="00E65655">
              <w:rPr>
                <w:rFonts w:ascii="Arial" w:hAnsi="Arial" w:cs="Arial"/>
              </w:rPr>
              <w:t>)</w:t>
            </w:r>
          </w:p>
        </w:tc>
      </w:tr>
      <w:tr w:rsidR="004F6E28" w:rsidRPr="00E65655" w14:paraId="398A2772" w14:textId="77777777" w:rsidTr="00853D4F">
        <w:tc>
          <w:tcPr>
            <w:tcW w:w="3072" w:type="dxa"/>
          </w:tcPr>
          <w:p w14:paraId="34C44159"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Board Lot:</w:t>
            </w:r>
          </w:p>
        </w:tc>
        <w:tc>
          <w:tcPr>
            <w:tcW w:w="6306" w:type="dxa"/>
          </w:tcPr>
          <w:p w14:paraId="25D6B929" w14:textId="2C2A2C0F" w:rsidR="004F6E28" w:rsidRPr="00E65655" w:rsidRDefault="001E11BF" w:rsidP="00853D4F">
            <w:pPr>
              <w:pStyle w:val="PlainText"/>
              <w:spacing w:before="120" w:after="120" w:line="290" w:lineRule="auto"/>
              <w:jc w:val="both"/>
              <w:rPr>
                <w:rFonts w:ascii="Arial" w:hAnsi="Arial" w:cs="Arial"/>
              </w:rPr>
            </w:pPr>
            <w:r w:rsidRPr="00E65655">
              <w:rPr>
                <w:rFonts w:ascii="Arial" w:hAnsi="Arial" w:cs="Arial"/>
              </w:rPr>
              <w:t>100</w:t>
            </w:r>
            <w:r w:rsidR="004F6E28" w:rsidRPr="00E65655">
              <w:rPr>
                <w:rFonts w:ascii="Arial" w:hAnsi="Arial" w:cs="Arial"/>
              </w:rPr>
              <w:t xml:space="preserve"> </w:t>
            </w:r>
            <w:r w:rsidRPr="00E65655">
              <w:rPr>
                <w:rFonts w:ascii="Arial" w:hAnsi="Arial" w:cs="Arial"/>
              </w:rPr>
              <w:t>Certificates</w:t>
            </w:r>
          </w:p>
        </w:tc>
      </w:tr>
      <w:tr w:rsidR="00AE1A6F" w:rsidRPr="00E65655" w14:paraId="6B6F36AA" w14:textId="77777777" w:rsidTr="00853D4F">
        <w:tc>
          <w:tcPr>
            <w:tcW w:w="3072" w:type="dxa"/>
          </w:tcPr>
          <w:p w14:paraId="04181A2F" w14:textId="77777777" w:rsidR="00AE1A6F" w:rsidRPr="00E65655" w:rsidRDefault="00AE1A6F" w:rsidP="00853D4F">
            <w:pPr>
              <w:pStyle w:val="PlainText"/>
              <w:spacing w:before="120" w:after="120" w:line="290" w:lineRule="auto"/>
              <w:jc w:val="both"/>
              <w:rPr>
                <w:rFonts w:ascii="Arial" w:hAnsi="Arial" w:cs="Arial"/>
              </w:rPr>
            </w:pPr>
            <w:r w:rsidRPr="00E65655">
              <w:rPr>
                <w:rFonts w:ascii="Arial" w:hAnsi="Arial" w:cs="Arial"/>
              </w:rPr>
              <w:t>Valuation Date:</w:t>
            </w:r>
          </w:p>
        </w:tc>
        <w:tc>
          <w:tcPr>
            <w:tcW w:w="6306" w:type="dxa"/>
          </w:tcPr>
          <w:p w14:paraId="455BBD05" w14:textId="2CBDFA34" w:rsidR="005339D3" w:rsidRPr="00E65655" w:rsidRDefault="00BD2E66" w:rsidP="00853D4F">
            <w:pPr>
              <w:pStyle w:val="PlainText"/>
              <w:spacing w:before="120" w:after="120" w:line="290" w:lineRule="auto"/>
              <w:jc w:val="both"/>
              <w:rPr>
                <w:rFonts w:ascii="Arial" w:hAnsi="Arial" w:cs="Arial"/>
              </w:rPr>
            </w:pPr>
            <w:r>
              <w:rPr>
                <w:rFonts w:ascii="Arial" w:hAnsi="Arial" w:cs="Arial" w:hint="eastAsia"/>
                <w:lang w:eastAsia="zh-CN"/>
              </w:rPr>
              <w:t>12 April</w:t>
            </w:r>
            <w:r w:rsidR="00D220F3" w:rsidRPr="00D220F3">
              <w:rPr>
                <w:rFonts w:ascii="Arial" w:hAnsi="Arial" w:cs="Arial"/>
                <w:lang w:eastAsia="zh-CN"/>
              </w:rPr>
              <w:t xml:space="preserve"> 2028 </w:t>
            </w:r>
            <w:r w:rsidR="005339D3" w:rsidRPr="00E65655">
              <w:rPr>
                <w:rFonts w:ascii="Arial" w:hAnsi="Arial" w:cs="Arial"/>
                <w:lang w:val="en-CA"/>
              </w:rPr>
              <w:t xml:space="preserve">or if such day is not an </w:t>
            </w:r>
            <w:r w:rsidR="00893330" w:rsidRPr="00E65655">
              <w:rPr>
                <w:rFonts w:ascii="Arial" w:hAnsi="Arial" w:cs="Arial"/>
                <w:lang w:val="en-CA"/>
              </w:rPr>
              <w:t>Exchange</w:t>
            </w:r>
            <w:r w:rsidR="005339D3" w:rsidRPr="00E65655">
              <w:rPr>
                <w:rFonts w:ascii="Arial" w:hAnsi="Arial" w:cs="Arial"/>
                <w:lang w:val="en-CA"/>
              </w:rPr>
              <w:t xml:space="preserve"> Business Day, the immediately preceding</w:t>
            </w:r>
            <w:r w:rsidR="005339D3" w:rsidRPr="00E65655">
              <w:rPr>
                <w:rFonts w:ascii="Arial" w:hAnsi="Arial" w:cs="Arial"/>
              </w:rPr>
              <w:t xml:space="preserve"> </w:t>
            </w:r>
            <w:r w:rsidR="00893330" w:rsidRPr="00E65655">
              <w:rPr>
                <w:rFonts w:ascii="Arial" w:hAnsi="Arial" w:cs="Arial"/>
              </w:rPr>
              <w:t>Exchange</w:t>
            </w:r>
            <w:r w:rsidR="005339D3" w:rsidRPr="00E65655">
              <w:rPr>
                <w:rFonts w:ascii="Arial" w:hAnsi="Arial" w:cs="Arial"/>
              </w:rPr>
              <w:t xml:space="preserve"> Business Day.</w:t>
            </w:r>
          </w:p>
        </w:tc>
      </w:tr>
      <w:tr w:rsidR="004F6E28" w:rsidRPr="00E65655" w14:paraId="3B018ABF" w14:textId="77777777" w:rsidTr="00853D4F">
        <w:tc>
          <w:tcPr>
            <w:tcW w:w="3072" w:type="dxa"/>
          </w:tcPr>
          <w:p w14:paraId="24910D66"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Exercise:</w:t>
            </w:r>
          </w:p>
        </w:tc>
        <w:tc>
          <w:tcPr>
            <w:tcW w:w="6306" w:type="dxa"/>
          </w:tcPr>
          <w:p w14:paraId="1C38682F" w14:textId="50A62C45"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 xml:space="preserve">The </w:t>
            </w:r>
            <w:r w:rsidR="001E11BF" w:rsidRPr="00E65655">
              <w:rPr>
                <w:rFonts w:ascii="Arial" w:hAnsi="Arial" w:cs="Arial"/>
              </w:rPr>
              <w:t>Certificates</w:t>
            </w:r>
            <w:r w:rsidRPr="00E65655">
              <w:rPr>
                <w:rFonts w:ascii="Arial" w:hAnsi="Arial" w:cs="Arial"/>
              </w:rPr>
              <w:t xml:space="preserve"> may only be exercised on the Expiry Date </w:t>
            </w:r>
            <w:r w:rsidR="00A5297E" w:rsidRPr="00E65655">
              <w:rPr>
                <w:rFonts w:ascii="Arial" w:hAnsi="Arial" w:cs="Arial"/>
              </w:rPr>
              <w:t xml:space="preserve">or if the Expiry Date is not a Business Day, the immediately preceding Business Day, </w:t>
            </w:r>
            <w:r w:rsidRPr="00E65655">
              <w:rPr>
                <w:rFonts w:ascii="Arial" w:hAnsi="Arial" w:cs="Arial"/>
              </w:rPr>
              <w:t xml:space="preserve">in a Board Lot or integral multiples thereof. </w:t>
            </w:r>
            <w:r w:rsidR="001E11BF" w:rsidRPr="00E65655">
              <w:rPr>
                <w:rFonts w:ascii="Arial" w:hAnsi="Arial" w:cs="Arial"/>
              </w:rPr>
              <w:t xml:space="preserve">Certificate Holders </w:t>
            </w:r>
            <w:r w:rsidRPr="00E65655">
              <w:rPr>
                <w:rFonts w:ascii="Arial" w:hAnsi="Arial" w:cs="Arial"/>
              </w:rPr>
              <w:t xml:space="preserve">shall not be required to deliver an exercise notice. Exercise of </w:t>
            </w:r>
            <w:r w:rsidR="001E11BF" w:rsidRPr="00E65655">
              <w:rPr>
                <w:rFonts w:ascii="Arial" w:hAnsi="Arial" w:cs="Arial"/>
              </w:rPr>
              <w:t>Certificates</w:t>
            </w:r>
            <w:r w:rsidRPr="00E65655">
              <w:rPr>
                <w:rFonts w:ascii="Arial" w:hAnsi="Arial" w:cs="Arial"/>
              </w:rPr>
              <w:t xml:space="preserve"> shall be determined by whether the Cash Settlement Amount </w:t>
            </w:r>
            <w:r w:rsidR="00FD7A6E" w:rsidRPr="00E65655">
              <w:rPr>
                <w:rFonts w:ascii="Arial" w:hAnsi="Arial" w:cs="Arial"/>
              </w:rPr>
              <w:t xml:space="preserve">(less any Exercise Expenses) </w:t>
            </w:r>
            <w:r w:rsidRPr="00E65655">
              <w:rPr>
                <w:rFonts w:ascii="Arial" w:hAnsi="Arial" w:cs="Arial"/>
              </w:rPr>
              <w:t>is positive. If the Cash Settlement Amount</w:t>
            </w:r>
            <w:r w:rsidR="00115418" w:rsidRPr="00E65655">
              <w:rPr>
                <w:rFonts w:ascii="Arial" w:hAnsi="Arial" w:cs="Arial"/>
              </w:rPr>
              <w:t xml:space="preserve"> (less any Exercise Expenses)</w:t>
            </w:r>
            <w:r w:rsidRPr="00E65655">
              <w:rPr>
                <w:rFonts w:ascii="Arial" w:hAnsi="Arial" w:cs="Arial"/>
              </w:rPr>
              <w:t xml:space="preserve"> is positive, all </w:t>
            </w:r>
            <w:r w:rsidR="001E11BF" w:rsidRPr="00E65655">
              <w:rPr>
                <w:rFonts w:ascii="Arial" w:hAnsi="Arial" w:cs="Arial"/>
              </w:rPr>
              <w:t>Certificates</w:t>
            </w:r>
            <w:r w:rsidRPr="00E65655">
              <w:rPr>
                <w:rFonts w:ascii="Arial" w:hAnsi="Arial" w:cs="Arial"/>
              </w:rPr>
              <w:t xml:space="preserve"> shall be deemed to have been automatically exercised at 10:00 a.m. (Singapore time) on the Expiry Date</w:t>
            </w:r>
            <w:r w:rsidR="00ED42B2" w:rsidRPr="00E65655">
              <w:rPr>
                <w:rFonts w:ascii="Arial" w:hAnsi="Arial" w:cs="Arial"/>
              </w:rPr>
              <w:t xml:space="preserve"> or if the Expiry Date is not a Business Day, the immediately preceding Business Day</w:t>
            </w:r>
            <w:r w:rsidRPr="00E65655">
              <w:rPr>
                <w:rFonts w:ascii="Arial" w:hAnsi="Arial" w:cs="Arial"/>
              </w:rPr>
              <w:t xml:space="preserve">. The Cash Settlement Amount less the Exercise Expenses in respect of the </w:t>
            </w:r>
            <w:r w:rsidR="00584EBD" w:rsidRPr="00E65655">
              <w:rPr>
                <w:rFonts w:ascii="Arial" w:hAnsi="Arial" w:cs="Arial"/>
              </w:rPr>
              <w:t>Certificates</w:t>
            </w:r>
            <w:r w:rsidRPr="00E65655">
              <w:rPr>
                <w:rFonts w:ascii="Arial" w:hAnsi="Arial" w:cs="Arial"/>
              </w:rPr>
              <w:t xml:space="preserve"> shall be paid in the manner set out in Condition 4(c) of the Conditions. In the event the Cash Settlement Amount</w:t>
            </w:r>
            <w:r w:rsidR="003D0A0F" w:rsidRPr="00E65655">
              <w:rPr>
                <w:rFonts w:ascii="Arial" w:hAnsi="Arial" w:cs="Arial"/>
              </w:rPr>
              <w:t xml:space="preserve"> (less any Exercise Expenses)</w:t>
            </w:r>
            <w:r w:rsidRPr="00E65655">
              <w:rPr>
                <w:rFonts w:ascii="Arial" w:hAnsi="Arial" w:cs="Arial"/>
              </w:rPr>
              <w:t xml:space="preserve"> is zero, all </w:t>
            </w:r>
            <w:r w:rsidR="00584EBD" w:rsidRPr="00E65655">
              <w:rPr>
                <w:rFonts w:ascii="Arial" w:hAnsi="Arial" w:cs="Arial"/>
              </w:rPr>
              <w:t>Certificates</w:t>
            </w:r>
            <w:r w:rsidRPr="00E65655">
              <w:rPr>
                <w:rFonts w:ascii="Arial" w:hAnsi="Arial" w:cs="Arial"/>
              </w:rPr>
              <w:t xml:space="preserve"> shall be deemed to have expired at 10:00 a.m. (Singapore time) on the Expiry Date</w:t>
            </w:r>
            <w:r w:rsidR="00C26031" w:rsidRPr="00E65655">
              <w:rPr>
                <w:rFonts w:ascii="Arial" w:hAnsi="Arial" w:cs="Arial"/>
              </w:rPr>
              <w:t xml:space="preserve"> or if the Expiry Date is not a Business Day, the immediately preceding Business Day,</w:t>
            </w:r>
            <w:r w:rsidRPr="00E65655">
              <w:rPr>
                <w:rFonts w:ascii="Arial" w:hAnsi="Arial" w:cs="Arial"/>
              </w:rPr>
              <w:t xml:space="preserve"> and </w:t>
            </w:r>
            <w:r w:rsidR="00584EBD" w:rsidRPr="00E65655">
              <w:rPr>
                <w:rFonts w:ascii="Arial" w:hAnsi="Arial" w:cs="Arial"/>
              </w:rPr>
              <w:t>Certificate Holders</w:t>
            </w:r>
            <w:r w:rsidRPr="00E65655">
              <w:rPr>
                <w:rFonts w:ascii="Arial" w:hAnsi="Arial" w:cs="Arial"/>
              </w:rPr>
              <w:t xml:space="preserve"> shall not be entitled to receive any payment from the Issuer in respect of the </w:t>
            </w:r>
            <w:r w:rsidR="00584EBD" w:rsidRPr="00E65655">
              <w:rPr>
                <w:rFonts w:ascii="Arial" w:hAnsi="Arial" w:cs="Arial"/>
              </w:rPr>
              <w:t>Certificates</w:t>
            </w:r>
            <w:r w:rsidRPr="00E65655">
              <w:rPr>
                <w:rFonts w:ascii="Arial" w:hAnsi="Arial" w:cs="Arial"/>
              </w:rPr>
              <w:t>.</w:t>
            </w:r>
          </w:p>
        </w:tc>
      </w:tr>
      <w:tr w:rsidR="004F6E28" w:rsidRPr="00E65655" w14:paraId="01DE9FC8" w14:textId="77777777" w:rsidTr="00853D4F">
        <w:tc>
          <w:tcPr>
            <w:tcW w:w="3072" w:type="dxa"/>
          </w:tcPr>
          <w:p w14:paraId="453499A7"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Cash Settlement Amount:</w:t>
            </w:r>
          </w:p>
        </w:tc>
        <w:tc>
          <w:tcPr>
            <w:tcW w:w="6306" w:type="dxa"/>
          </w:tcPr>
          <w:p w14:paraId="0DF77476"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 xml:space="preserve">In respect of each </w:t>
            </w:r>
            <w:r w:rsidR="00584EBD" w:rsidRPr="00E65655">
              <w:rPr>
                <w:rFonts w:ascii="Arial" w:hAnsi="Arial" w:cs="Arial"/>
              </w:rPr>
              <w:t>Certificate</w:t>
            </w:r>
            <w:r w:rsidRPr="00E65655">
              <w:rPr>
                <w:rFonts w:ascii="Arial" w:hAnsi="Arial" w:cs="Arial"/>
              </w:rPr>
              <w:t xml:space="preserve">, </w:t>
            </w:r>
            <w:r w:rsidR="00AE1972" w:rsidRPr="00E65655">
              <w:rPr>
                <w:rFonts w:ascii="Arial" w:hAnsi="Arial" w:cs="Arial"/>
              </w:rPr>
              <w:t>shall be an amount payable in the Settlement Currency</w:t>
            </w:r>
            <w:r w:rsidRPr="00E65655">
              <w:rPr>
                <w:rFonts w:ascii="Arial" w:hAnsi="Arial" w:cs="Arial"/>
              </w:rPr>
              <w:t xml:space="preserve"> equal to:</w:t>
            </w:r>
          </w:p>
          <w:p w14:paraId="2D04FF7A" w14:textId="77777777" w:rsidR="004F6E28" w:rsidRPr="00E65655" w:rsidRDefault="005E29E0" w:rsidP="00853D4F">
            <w:pPr>
              <w:spacing w:before="120" w:after="120" w:line="290" w:lineRule="auto"/>
              <w:ind w:right="-18"/>
              <w:jc w:val="both"/>
              <w:rPr>
                <w:rFonts w:cs="Arial"/>
                <w:szCs w:val="20"/>
              </w:rPr>
            </w:pPr>
            <w:r w:rsidRPr="00E65655">
              <w:rPr>
                <w:rFonts w:cs="Arial"/>
                <w:szCs w:val="20"/>
              </w:rPr>
              <w:t>Closing Level multiplied by the Notional Amount per Certificate</w:t>
            </w:r>
          </w:p>
          <w:p w14:paraId="70838DAA" w14:textId="25E15A14" w:rsidR="004F6E28" w:rsidRPr="00E65655" w:rsidRDefault="00864FDC" w:rsidP="00853D4F">
            <w:pPr>
              <w:spacing w:before="120" w:after="120" w:line="290" w:lineRule="auto"/>
              <w:ind w:right="-18"/>
              <w:jc w:val="both"/>
              <w:rPr>
                <w:rFonts w:cs="Arial"/>
              </w:rPr>
            </w:pPr>
            <w:r w:rsidRPr="00E65655">
              <w:rPr>
                <w:rFonts w:cs="Arial"/>
                <w:szCs w:val="20"/>
              </w:rPr>
              <w:t xml:space="preserve">Please refer to the “Information relating to the European Style Cash Settled </w:t>
            </w:r>
            <w:r w:rsidR="0077199D" w:rsidRPr="00E65655">
              <w:rPr>
                <w:rFonts w:cs="Arial"/>
                <w:szCs w:val="20"/>
              </w:rPr>
              <w:t>Short</w:t>
            </w:r>
            <w:r w:rsidR="003C7A6D" w:rsidRPr="00E65655">
              <w:rPr>
                <w:rFonts w:cs="Arial"/>
                <w:szCs w:val="20"/>
              </w:rPr>
              <w:t xml:space="preserve"> </w:t>
            </w:r>
            <w:r w:rsidRPr="00E65655">
              <w:rPr>
                <w:rFonts w:cs="Arial"/>
                <w:szCs w:val="20"/>
              </w:rPr>
              <w:t>Certificates</w:t>
            </w:r>
            <w:r w:rsidR="00D8572B" w:rsidRPr="00E65655">
              <w:rPr>
                <w:rFonts w:cs="Arial"/>
                <w:szCs w:val="20"/>
              </w:rPr>
              <w:t xml:space="preserve"> on Single Equities</w:t>
            </w:r>
            <w:r w:rsidR="009942B4" w:rsidRPr="00E65655">
              <w:rPr>
                <w:rFonts w:cs="Arial"/>
                <w:szCs w:val="20"/>
              </w:rPr>
              <w:t>” section on</w:t>
            </w:r>
            <w:r w:rsidR="00E77963" w:rsidRPr="00E65655">
              <w:rPr>
                <w:rFonts w:cs="Arial"/>
                <w:szCs w:val="20"/>
              </w:rPr>
              <w:t xml:space="preserve"> pages </w:t>
            </w:r>
            <w:r w:rsidR="00EA3EE8" w:rsidRPr="00E65655">
              <w:rPr>
                <w:rFonts w:cs="Arial"/>
                <w:szCs w:val="20"/>
              </w:rPr>
              <w:t>4</w:t>
            </w:r>
            <w:r w:rsidR="00912B20" w:rsidRPr="00E65655">
              <w:rPr>
                <w:rFonts w:cs="Arial"/>
                <w:szCs w:val="20"/>
              </w:rPr>
              <w:t>5</w:t>
            </w:r>
            <w:r w:rsidR="00E77963" w:rsidRPr="00E65655">
              <w:rPr>
                <w:rFonts w:cs="Arial"/>
                <w:szCs w:val="20"/>
              </w:rPr>
              <w:t xml:space="preserve"> to </w:t>
            </w:r>
            <w:r w:rsidR="002636CF" w:rsidRPr="00E65655">
              <w:rPr>
                <w:rFonts w:cs="Arial"/>
                <w:szCs w:val="20"/>
              </w:rPr>
              <w:t>5</w:t>
            </w:r>
            <w:r w:rsidR="00912B20" w:rsidRPr="00E65655">
              <w:rPr>
                <w:rFonts w:cs="Arial"/>
                <w:szCs w:val="20"/>
              </w:rPr>
              <w:t>9</w:t>
            </w:r>
            <w:r w:rsidR="005D6A97" w:rsidRPr="00E65655">
              <w:rPr>
                <w:rFonts w:cs="Arial"/>
                <w:szCs w:val="20"/>
              </w:rPr>
              <w:t xml:space="preserve"> </w:t>
            </w:r>
            <w:r w:rsidRPr="00E65655">
              <w:rPr>
                <w:rFonts w:cs="Arial"/>
                <w:szCs w:val="20"/>
              </w:rPr>
              <w:t>of this document for examples and illustrations of the calculation of the Cash Settlement Amount</w:t>
            </w:r>
            <w:r w:rsidR="00AE1972" w:rsidRPr="00E65655">
              <w:rPr>
                <w:rFonts w:cs="Arial"/>
                <w:szCs w:val="20"/>
              </w:rPr>
              <w:t>.</w:t>
            </w:r>
          </w:p>
        </w:tc>
      </w:tr>
      <w:tr w:rsidR="00C01FB5" w:rsidRPr="00E65655" w14:paraId="57A2A261" w14:textId="77777777" w:rsidTr="00853D4F">
        <w:tc>
          <w:tcPr>
            <w:tcW w:w="3072" w:type="dxa"/>
          </w:tcPr>
          <w:p w14:paraId="54A47A38" w14:textId="77777777" w:rsidR="00C01FB5" w:rsidRPr="00E65655" w:rsidRDefault="00C01FB5" w:rsidP="00853D4F">
            <w:pPr>
              <w:pStyle w:val="PlainText"/>
              <w:spacing w:before="120" w:after="120" w:line="290" w:lineRule="auto"/>
              <w:jc w:val="both"/>
              <w:rPr>
                <w:rFonts w:ascii="Arial" w:hAnsi="Arial" w:cs="Arial"/>
              </w:rPr>
            </w:pPr>
            <w:r w:rsidRPr="00E65655">
              <w:rPr>
                <w:rFonts w:ascii="Arial" w:hAnsi="Arial" w:cs="Arial"/>
              </w:rPr>
              <w:t>Hedging Fee Factor:</w:t>
            </w:r>
          </w:p>
        </w:tc>
        <w:tc>
          <w:tcPr>
            <w:tcW w:w="6306" w:type="dxa"/>
          </w:tcPr>
          <w:p w14:paraId="23FA2B4D" w14:textId="77777777" w:rsidR="00720D94" w:rsidRPr="00E65655" w:rsidRDefault="00720D94" w:rsidP="00853D4F">
            <w:pPr>
              <w:keepLines/>
              <w:spacing w:before="120" w:after="120" w:line="290" w:lineRule="auto"/>
              <w:jc w:val="both"/>
              <w:rPr>
                <w:rFonts w:cs="Arial"/>
                <w:szCs w:val="20"/>
              </w:rPr>
            </w:pPr>
            <w:r w:rsidRPr="00E65655">
              <w:rPr>
                <w:rFonts w:cs="Arial"/>
                <w:szCs w:val="20"/>
              </w:rPr>
              <w:t>In respect of each Certificate, shall be an amount calculated as: Product (for t from 2 to Valuation Date) of (1 – Management Fee x (ACT (t-</w:t>
            </w:r>
            <w:proofErr w:type="gramStart"/>
            <w:r w:rsidRPr="00E65655">
              <w:rPr>
                <w:rFonts w:cs="Arial"/>
                <w:szCs w:val="20"/>
              </w:rPr>
              <w:t>1;t</w:t>
            </w:r>
            <w:proofErr w:type="gramEnd"/>
            <w:r w:rsidRPr="00E65655">
              <w:rPr>
                <w:rFonts w:cs="Arial"/>
                <w:szCs w:val="20"/>
              </w:rPr>
              <w:t>) ÷ 360)) x (1 – Gap Premium (t-1) x (ACT (t-</w:t>
            </w:r>
            <w:proofErr w:type="gramStart"/>
            <w:r w:rsidRPr="00E65655">
              <w:rPr>
                <w:rFonts w:cs="Arial"/>
                <w:szCs w:val="20"/>
              </w:rPr>
              <w:t>1;t</w:t>
            </w:r>
            <w:proofErr w:type="gramEnd"/>
            <w:r w:rsidRPr="00E65655">
              <w:rPr>
                <w:rFonts w:cs="Arial"/>
                <w:szCs w:val="20"/>
              </w:rPr>
              <w:t>) ÷ 360)), where:</w:t>
            </w:r>
          </w:p>
          <w:p w14:paraId="4F5BF1CD" w14:textId="77777777" w:rsidR="00720D94" w:rsidRPr="00E65655" w:rsidRDefault="00720D94" w:rsidP="00853D4F">
            <w:pPr>
              <w:keepLines/>
              <w:spacing w:before="120" w:after="120" w:line="290" w:lineRule="auto"/>
              <w:jc w:val="both"/>
              <w:rPr>
                <w:rFonts w:cs="Arial"/>
                <w:szCs w:val="20"/>
              </w:rPr>
            </w:pPr>
            <w:r w:rsidRPr="00E65655">
              <w:rPr>
                <w:rFonts w:cs="Arial"/>
                <w:szCs w:val="20"/>
              </w:rPr>
              <w:lastRenderedPageBreak/>
              <w:t>“</w:t>
            </w:r>
            <w:r w:rsidRPr="00E65655">
              <w:rPr>
                <w:rFonts w:cs="Arial"/>
                <w:b/>
                <w:szCs w:val="20"/>
              </w:rPr>
              <w:t>t</w:t>
            </w:r>
            <w:r w:rsidRPr="00E65655">
              <w:rPr>
                <w:rFonts w:cs="Arial"/>
                <w:szCs w:val="20"/>
              </w:rPr>
              <w:t>” refers to “</w:t>
            </w:r>
            <w:r w:rsidRPr="00E65655">
              <w:rPr>
                <w:rFonts w:cs="Arial"/>
                <w:b/>
                <w:szCs w:val="20"/>
              </w:rPr>
              <w:t>Observation Date</w:t>
            </w:r>
            <w:r w:rsidRPr="00E65655">
              <w:rPr>
                <w:rFonts w:cs="Arial"/>
                <w:szCs w:val="20"/>
              </w:rPr>
              <w:t xml:space="preserve">” which means each </w:t>
            </w:r>
            <w:r w:rsidRPr="00E65655">
              <w:rPr>
                <w:rFonts w:cs="Arial"/>
                <w:szCs w:val="20"/>
                <w:lang w:eastAsia="zh-CN"/>
              </w:rPr>
              <w:t>Exchange</w:t>
            </w:r>
            <w:r w:rsidRPr="00E65655">
              <w:rPr>
                <w:rFonts w:cs="Arial" w:hint="eastAsia"/>
                <w:szCs w:val="20"/>
                <w:lang w:eastAsia="zh-CN"/>
              </w:rPr>
              <w:t xml:space="preserve"> Business D</w:t>
            </w:r>
            <w:r w:rsidRPr="00E65655">
              <w:rPr>
                <w:rFonts w:cs="Arial" w:hint="eastAsia"/>
                <w:szCs w:val="20"/>
              </w:rPr>
              <w:t xml:space="preserve">ay </w:t>
            </w:r>
            <w:r w:rsidRPr="00E65655">
              <w:rPr>
                <w:rFonts w:cs="Arial"/>
                <w:szCs w:val="20"/>
              </w:rPr>
              <w:t>(subject to Market Disruption Event) from (and including) the Exchange</w:t>
            </w:r>
            <w:r w:rsidRPr="00E65655">
              <w:rPr>
                <w:rFonts w:cs="Arial" w:hint="eastAsia"/>
                <w:szCs w:val="20"/>
              </w:rPr>
              <w:t xml:space="preserve"> Business Day immediately </w:t>
            </w:r>
            <w:r w:rsidRPr="00E65655">
              <w:rPr>
                <w:rFonts w:cs="Arial"/>
                <w:szCs w:val="20"/>
              </w:rPr>
              <w:t>preceding the Expected Listing Date to the Valuation Date; and</w:t>
            </w:r>
          </w:p>
          <w:p w14:paraId="15583498" w14:textId="77777777" w:rsidR="00720D94" w:rsidRPr="00E65655" w:rsidRDefault="00720D94" w:rsidP="00853D4F">
            <w:pPr>
              <w:pStyle w:val="PlainText"/>
              <w:spacing w:before="120" w:after="120" w:line="290" w:lineRule="auto"/>
              <w:jc w:val="both"/>
              <w:rPr>
                <w:rFonts w:ascii="Arial" w:hAnsi="Arial" w:cs="Arial"/>
              </w:rPr>
            </w:pPr>
            <w:r w:rsidRPr="00E65655">
              <w:rPr>
                <w:rFonts w:ascii="Arial" w:hAnsi="Arial" w:cs="Arial"/>
              </w:rPr>
              <w:t>ACT (t-</w:t>
            </w:r>
            <w:proofErr w:type="gramStart"/>
            <w:r w:rsidRPr="00E65655">
              <w:rPr>
                <w:rFonts w:ascii="Arial" w:hAnsi="Arial" w:cs="Arial"/>
              </w:rPr>
              <w:t>1;t</w:t>
            </w:r>
            <w:proofErr w:type="gramEnd"/>
            <w:r w:rsidRPr="00E65655">
              <w:rPr>
                <w:rFonts w:ascii="Arial" w:hAnsi="Arial" w:cs="Arial"/>
              </w:rPr>
              <w:t>) means the number of calendar days between</w:t>
            </w:r>
            <w:r w:rsidRPr="00E65655">
              <w:rPr>
                <w:rFonts w:ascii="Arial" w:hAnsi="Arial" w:cs="Arial" w:hint="eastAsia"/>
                <w:lang w:eastAsia="zh-CN"/>
              </w:rPr>
              <w:t xml:space="preserve"> the </w:t>
            </w:r>
            <w:r w:rsidRPr="00E65655">
              <w:rPr>
                <w:rFonts w:ascii="Arial" w:hAnsi="Arial" w:cs="Arial"/>
                <w:lang w:eastAsia="zh-CN"/>
              </w:rPr>
              <w:t>Exchange</w:t>
            </w:r>
            <w:r w:rsidRPr="00E65655">
              <w:rPr>
                <w:rFonts w:ascii="Arial" w:hAnsi="Arial" w:cs="Arial" w:hint="eastAsia"/>
                <w:lang w:eastAsia="zh-CN"/>
              </w:rPr>
              <w:t xml:space="preserve"> Business Day i</w:t>
            </w:r>
            <w:r w:rsidRPr="00E65655">
              <w:rPr>
                <w:rFonts w:ascii="Arial" w:hAnsi="Arial" w:cs="Arial" w:hint="eastAsia"/>
              </w:rPr>
              <w:t>mmediately preceding the</w:t>
            </w:r>
            <w:r w:rsidRPr="00E65655">
              <w:rPr>
                <w:rFonts w:ascii="Arial" w:hAnsi="Arial" w:cs="Arial"/>
              </w:rPr>
              <w:t xml:space="preserve"> Observation Date (which is “t-1”) (included) and </w:t>
            </w:r>
            <w:r w:rsidRPr="00E65655">
              <w:rPr>
                <w:rFonts w:ascii="Arial" w:hAnsi="Arial" w:cs="Arial" w:hint="eastAsia"/>
              </w:rPr>
              <w:t xml:space="preserve">the </w:t>
            </w:r>
            <w:r w:rsidRPr="00E65655">
              <w:rPr>
                <w:rFonts w:ascii="Arial" w:hAnsi="Arial" w:cs="Arial"/>
              </w:rPr>
              <w:t>Observation Date (which is “t”) (excluded).</w:t>
            </w:r>
          </w:p>
          <w:p w14:paraId="73E66D01" w14:textId="77777777" w:rsidR="00720D94" w:rsidRPr="00E65655" w:rsidRDefault="00720D94" w:rsidP="00853D4F">
            <w:pPr>
              <w:pStyle w:val="PlainText"/>
              <w:spacing w:before="120" w:after="120" w:line="290" w:lineRule="auto"/>
              <w:jc w:val="both"/>
              <w:rPr>
                <w:rFonts w:ascii="Arial" w:hAnsi="Arial" w:cs="Arial"/>
              </w:rPr>
            </w:pPr>
            <w:r w:rsidRPr="00E65655">
              <w:rPr>
                <w:rFonts w:ascii="Arial" w:hAnsi="Arial" w:cs="Arial"/>
              </w:rPr>
              <w:t xml:space="preserve">If the Issuer determines, in its sole discretion, that on any Observation Date a Market Disruption Event has occurred, then that Observation Date shall be postponed until the first succeeding Exchange Business Day on which there is no Market Disruption Event, unless there is a Market Disruption Event on each of the five Exchange Business Days immediately following the original date that, but for the Market Disruption Event, would have been an Observation Date. In that case, that fifth Exchange Business Day shall be deemed to be the Observation Date notwithstanding the Market Disruption Event and the Issuer shall determine, its good faith estimate of the level of the Leverage Inverse Strategy and the value of the Certificate on that fifth Exchange Business Day in accordance with the formula for and method of calculation last in effect prior to the occurrence of the first Market Disruption Event taking into account, inter alia, the exchange traded or quoted price of the Underlying Stock and the potential increased cost of hedging by the Issuer as a result of the occurrence of the Market Disruption Event. </w:t>
            </w:r>
          </w:p>
          <w:p w14:paraId="446AFE17" w14:textId="73D506FA" w:rsidR="00864FDC" w:rsidRPr="00E65655" w:rsidDel="005339D3" w:rsidRDefault="00864FDC" w:rsidP="00853D4F">
            <w:pPr>
              <w:spacing w:before="120" w:after="120" w:line="290" w:lineRule="auto"/>
              <w:ind w:right="-18"/>
              <w:jc w:val="both"/>
              <w:rPr>
                <w:rFonts w:cs="Arial"/>
              </w:rPr>
            </w:pPr>
            <w:r w:rsidRPr="00E65655">
              <w:rPr>
                <w:rFonts w:cs="Arial"/>
                <w:szCs w:val="20"/>
              </w:rPr>
              <w:t xml:space="preserve">Please refer to the “Information relating to the European Style Cash Settled </w:t>
            </w:r>
            <w:r w:rsidR="0077199D" w:rsidRPr="00E65655">
              <w:rPr>
                <w:rFonts w:cs="Arial"/>
                <w:szCs w:val="20"/>
              </w:rPr>
              <w:t>Short</w:t>
            </w:r>
            <w:r w:rsidR="003C7A6D" w:rsidRPr="00E65655">
              <w:rPr>
                <w:rFonts w:cs="Arial"/>
                <w:szCs w:val="20"/>
              </w:rPr>
              <w:t xml:space="preserve"> </w:t>
            </w:r>
            <w:r w:rsidRPr="00E65655">
              <w:rPr>
                <w:rFonts w:cs="Arial"/>
                <w:szCs w:val="20"/>
              </w:rPr>
              <w:t>Certificates</w:t>
            </w:r>
            <w:r w:rsidR="00D8572B" w:rsidRPr="00E65655">
              <w:rPr>
                <w:rFonts w:cs="Arial"/>
                <w:szCs w:val="20"/>
              </w:rPr>
              <w:t xml:space="preserve"> on Single Equities</w:t>
            </w:r>
            <w:r w:rsidR="009942B4" w:rsidRPr="00E65655">
              <w:rPr>
                <w:rFonts w:cs="Arial"/>
                <w:szCs w:val="20"/>
              </w:rPr>
              <w:t>” section on</w:t>
            </w:r>
            <w:r w:rsidR="00E77963" w:rsidRPr="00E65655">
              <w:rPr>
                <w:rFonts w:cs="Arial"/>
                <w:szCs w:val="20"/>
              </w:rPr>
              <w:t xml:space="preserve"> pages </w:t>
            </w:r>
            <w:r w:rsidR="00EA3EE8" w:rsidRPr="00E65655">
              <w:rPr>
                <w:rFonts w:cs="Arial"/>
                <w:szCs w:val="20"/>
              </w:rPr>
              <w:t>4</w:t>
            </w:r>
            <w:r w:rsidR="00912B20" w:rsidRPr="00E65655">
              <w:rPr>
                <w:rFonts w:cs="Arial"/>
                <w:szCs w:val="20"/>
              </w:rPr>
              <w:t>5</w:t>
            </w:r>
            <w:r w:rsidR="00E77963" w:rsidRPr="00E65655">
              <w:rPr>
                <w:rFonts w:cs="Arial"/>
                <w:szCs w:val="20"/>
              </w:rPr>
              <w:t xml:space="preserve"> to </w:t>
            </w:r>
            <w:r w:rsidR="002636CF" w:rsidRPr="00E65655">
              <w:rPr>
                <w:rFonts w:cs="Arial"/>
                <w:szCs w:val="20"/>
              </w:rPr>
              <w:t>5</w:t>
            </w:r>
            <w:r w:rsidR="00912B20" w:rsidRPr="00E65655">
              <w:rPr>
                <w:rFonts w:cs="Arial"/>
                <w:szCs w:val="20"/>
              </w:rPr>
              <w:t>9</w:t>
            </w:r>
            <w:r w:rsidR="00DC3823" w:rsidRPr="00E65655">
              <w:rPr>
                <w:rFonts w:cs="Arial"/>
                <w:szCs w:val="20"/>
              </w:rPr>
              <w:t xml:space="preserve"> </w:t>
            </w:r>
            <w:r w:rsidRPr="00E65655">
              <w:rPr>
                <w:rFonts w:cs="Arial"/>
                <w:szCs w:val="20"/>
              </w:rPr>
              <w:t>of this document for examples and illustrations of the calculation of the Hedging Fee Factor</w:t>
            </w:r>
            <w:r w:rsidR="00AE1972" w:rsidRPr="00E65655">
              <w:rPr>
                <w:rFonts w:cs="Arial"/>
                <w:szCs w:val="20"/>
              </w:rPr>
              <w:t>.</w:t>
            </w:r>
          </w:p>
        </w:tc>
      </w:tr>
      <w:tr w:rsidR="004F6E28" w:rsidRPr="00E65655" w14:paraId="76F8107D" w14:textId="77777777" w:rsidTr="00853D4F">
        <w:tc>
          <w:tcPr>
            <w:tcW w:w="3072" w:type="dxa"/>
          </w:tcPr>
          <w:p w14:paraId="153C3DE8"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lastRenderedPageBreak/>
              <w:t>Closing Level:</w:t>
            </w:r>
          </w:p>
        </w:tc>
        <w:tc>
          <w:tcPr>
            <w:tcW w:w="6306" w:type="dxa"/>
          </w:tcPr>
          <w:p w14:paraId="431F9884" w14:textId="77777777" w:rsidR="00C01FB5" w:rsidRPr="00E65655" w:rsidRDefault="00C01FB5" w:rsidP="00853D4F">
            <w:pPr>
              <w:pStyle w:val="PlainText"/>
              <w:spacing w:before="120" w:after="120" w:line="290" w:lineRule="auto"/>
              <w:jc w:val="both"/>
              <w:rPr>
                <w:rFonts w:ascii="Arial" w:hAnsi="Arial" w:cs="Arial"/>
              </w:rPr>
            </w:pPr>
            <w:r w:rsidRPr="00E65655">
              <w:rPr>
                <w:rFonts w:ascii="Arial" w:hAnsi="Arial" w:cs="Arial"/>
              </w:rPr>
              <w:t>In respect of each Certificate, shall be an amount payable in the Settlement Currency equal to:</w:t>
            </w:r>
          </w:p>
          <w:p w14:paraId="087E7917" w14:textId="413DCB5D" w:rsidR="004F6E28" w:rsidRPr="00E65655" w:rsidRDefault="00187794" w:rsidP="00853D4F">
            <w:pPr>
              <w:pStyle w:val="PlainText"/>
              <w:spacing w:before="120" w:after="120" w:line="290" w:lineRule="auto"/>
              <w:jc w:val="both"/>
              <w:rPr>
                <w:rFonts w:ascii="Arial" w:hAnsi="Arial" w:cs="Arial"/>
              </w:rPr>
            </w:pPr>
            <m:oMath>
              <m:d>
                <m:dPr>
                  <m:ctrlPr>
                    <w:rPr>
                      <w:rFonts w:ascii="Cambria Math" w:hAnsi="Cambria Math"/>
                    </w:rPr>
                  </m:ctrlPr>
                </m:dPr>
                <m:e>
                  <m:f>
                    <m:fPr>
                      <m:ctrlPr>
                        <w:rPr>
                          <w:rFonts w:ascii="Cambria Math" w:hAnsi="Cambria Math"/>
                          <w:i/>
                        </w:rPr>
                      </m:ctrlPr>
                    </m:fPr>
                    <m:num>
                      <m:r>
                        <m:rPr>
                          <m:nor/>
                        </m:rPr>
                        <w:rPr>
                          <w:rFonts w:ascii="Cambria Math" w:hAnsi="Cambria Math" w:hint="eastAsia"/>
                        </w:rPr>
                        <m:t xml:space="preserve">Final Reference Level </m:t>
                      </m:r>
                      <m:r>
                        <m:rPr>
                          <m:nor/>
                        </m:rPr>
                        <w:rPr>
                          <w:rFonts w:ascii="Cambria Math" w:hAnsi="Cambria Math" w:hint="eastAsia"/>
                        </w:rPr>
                        <m:t>×</m:t>
                      </m:r>
                      <m:r>
                        <m:rPr>
                          <m:nor/>
                        </m:rPr>
                        <w:rPr>
                          <w:rFonts w:ascii="Cambria Math" w:hAnsi="Cambria Math" w:hint="eastAsia"/>
                        </w:rPr>
                        <m:t>Final Exchange Rate</m:t>
                      </m:r>
                    </m:num>
                    <m:den>
                      <m:r>
                        <m:rPr>
                          <m:nor/>
                        </m:rPr>
                        <w:rPr>
                          <w:rFonts w:ascii="Cambria Math" w:hAnsi="Cambria Math" w:hint="eastAsia"/>
                        </w:rPr>
                        <m:t xml:space="preserve">Initial Reference Level </m:t>
                      </m:r>
                      <m:r>
                        <m:rPr>
                          <m:nor/>
                        </m:rPr>
                        <w:rPr>
                          <w:rFonts w:ascii="Cambria Math" w:hAnsi="Cambria Math" w:hint="eastAsia"/>
                        </w:rPr>
                        <m:t>×</m:t>
                      </m:r>
                      <m:r>
                        <m:rPr>
                          <m:nor/>
                        </m:rPr>
                        <w:rPr>
                          <w:rFonts w:ascii="Cambria Math" w:hAnsi="Cambria Math" w:hint="eastAsia"/>
                        </w:rPr>
                        <m:t>Initial Exchange Rate</m:t>
                      </m:r>
                    </m:den>
                  </m:f>
                  <m:r>
                    <m:rPr>
                      <m:nor/>
                    </m:rPr>
                    <w:rPr>
                      <w:rFonts w:ascii="Cambria Math" w:hAnsi="Cambria Math"/>
                    </w:rPr>
                    <m:t xml:space="preserve"> – </m:t>
                  </m:r>
                  <m:r>
                    <m:rPr>
                      <m:nor/>
                    </m:rPr>
                    <w:rPr>
                      <w:rFonts w:ascii="Cambria Math" w:hAnsi="Cambria Math" w:hint="eastAsia"/>
                    </w:rPr>
                    <m:t>Strike Level</m:t>
                  </m:r>
                </m:e>
              </m:d>
              <m:r>
                <m:rPr>
                  <m:nor/>
                </m:rPr>
                <w:rPr>
                  <w:rFonts w:ascii="Cambria Math" w:hAnsi="Cambria Math" w:hint="eastAsia"/>
                </w:rPr>
                <m:t>×</m:t>
              </m:r>
              <m:r>
                <m:rPr>
                  <m:nor/>
                </m:rPr>
                <w:rPr>
                  <w:rFonts w:ascii="Cambria Math" w:hAnsi="Cambria Math" w:hint="eastAsia"/>
                </w:rPr>
                <m:t>Hedging Fee Factor</m:t>
              </m:r>
            </m:oMath>
            <w:r w:rsidR="001D205B" w:rsidRPr="00E65655" w:rsidDel="001D205B">
              <w:rPr>
                <w:rFonts w:ascii="Arial" w:hAnsi="Arial" w:cs="Arial"/>
              </w:rPr>
              <w:t xml:space="preserve"> </w:t>
            </w:r>
          </w:p>
        </w:tc>
      </w:tr>
      <w:tr w:rsidR="005339D3" w:rsidRPr="00E65655" w14:paraId="3E19D0AC" w14:textId="77777777" w:rsidTr="00853D4F">
        <w:tc>
          <w:tcPr>
            <w:tcW w:w="3072" w:type="dxa"/>
          </w:tcPr>
          <w:p w14:paraId="259D80E6" w14:textId="77777777" w:rsidR="005339D3" w:rsidRPr="00E65655" w:rsidRDefault="005339D3" w:rsidP="00853D4F">
            <w:pPr>
              <w:pStyle w:val="PlainText"/>
              <w:spacing w:before="120" w:after="120" w:line="290" w:lineRule="auto"/>
              <w:jc w:val="both"/>
              <w:rPr>
                <w:rFonts w:ascii="Arial" w:hAnsi="Arial" w:cs="Arial"/>
              </w:rPr>
            </w:pPr>
            <w:r w:rsidRPr="00E65655">
              <w:rPr>
                <w:rFonts w:ascii="Arial" w:hAnsi="Arial" w:cs="Arial"/>
              </w:rPr>
              <w:t>Initial Reference Level:</w:t>
            </w:r>
          </w:p>
        </w:tc>
        <w:tc>
          <w:tcPr>
            <w:tcW w:w="6306" w:type="dxa"/>
          </w:tcPr>
          <w:p w14:paraId="5067EDC7" w14:textId="7AAF8579" w:rsidR="00017C09" w:rsidRPr="00E65655" w:rsidDel="005339D3" w:rsidRDefault="000422A8" w:rsidP="00853D4F">
            <w:pPr>
              <w:pStyle w:val="PlainText"/>
              <w:spacing w:before="120" w:after="120" w:line="290" w:lineRule="auto"/>
              <w:jc w:val="both"/>
              <w:rPr>
                <w:rFonts w:ascii="Arial" w:hAnsi="Arial" w:cs="Arial"/>
                <w:lang w:eastAsia="zh-CN"/>
              </w:rPr>
            </w:pPr>
            <w:r w:rsidRPr="00E65655">
              <w:rPr>
                <w:rFonts w:ascii="Arial" w:hAnsi="Arial" w:cs="Arial"/>
              </w:rPr>
              <w:t>1</w:t>
            </w:r>
            <w:r w:rsidR="009F5A3F" w:rsidRPr="00E65655">
              <w:rPr>
                <w:rFonts w:ascii="Arial" w:hAnsi="Arial" w:cs="Arial"/>
              </w:rPr>
              <w:t>,</w:t>
            </w:r>
            <w:r w:rsidRPr="00E65655">
              <w:rPr>
                <w:rFonts w:ascii="Arial" w:hAnsi="Arial" w:cs="Arial"/>
              </w:rPr>
              <w:t>000</w:t>
            </w:r>
          </w:p>
        </w:tc>
      </w:tr>
      <w:tr w:rsidR="005339D3" w:rsidRPr="00E65655" w14:paraId="3CF4D08E" w14:textId="77777777" w:rsidTr="00853D4F">
        <w:tc>
          <w:tcPr>
            <w:tcW w:w="3072" w:type="dxa"/>
          </w:tcPr>
          <w:p w14:paraId="7F67271B" w14:textId="77777777" w:rsidR="005339D3" w:rsidRPr="00E65655" w:rsidRDefault="005339D3" w:rsidP="00853D4F">
            <w:pPr>
              <w:pStyle w:val="PlainText"/>
              <w:spacing w:before="120" w:after="120" w:line="290" w:lineRule="auto"/>
              <w:jc w:val="both"/>
              <w:rPr>
                <w:rFonts w:ascii="Arial" w:hAnsi="Arial" w:cs="Arial"/>
              </w:rPr>
            </w:pPr>
            <w:r w:rsidRPr="00E65655">
              <w:rPr>
                <w:rFonts w:ascii="Arial" w:hAnsi="Arial" w:cs="Arial"/>
              </w:rPr>
              <w:t>Final Reference Level:</w:t>
            </w:r>
          </w:p>
        </w:tc>
        <w:tc>
          <w:tcPr>
            <w:tcW w:w="6306" w:type="dxa"/>
          </w:tcPr>
          <w:p w14:paraId="335421BB" w14:textId="77777777" w:rsidR="005339D3" w:rsidRPr="00E65655" w:rsidRDefault="00185B86" w:rsidP="00853D4F">
            <w:pPr>
              <w:pStyle w:val="PlainText"/>
              <w:spacing w:before="120" w:after="120" w:line="290" w:lineRule="auto"/>
              <w:jc w:val="both"/>
              <w:rPr>
                <w:rFonts w:ascii="Arial" w:hAnsi="Arial" w:cs="Arial"/>
                <w:lang w:val="en-CA" w:eastAsia="zh-CN"/>
              </w:rPr>
            </w:pPr>
            <w:r w:rsidRPr="00E65655">
              <w:rPr>
                <w:rFonts w:ascii="Arial" w:hAnsi="Arial" w:cs="Arial"/>
                <w:lang w:val="en-CA"/>
              </w:rPr>
              <w:t xml:space="preserve">The </w:t>
            </w:r>
            <w:r w:rsidR="006D6F6F" w:rsidRPr="00E65655">
              <w:rPr>
                <w:rFonts w:ascii="Arial" w:hAnsi="Arial" w:cs="Arial"/>
                <w:lang w:val="en-CA"/>
              </w:rPr>
              <w:t xml:space="preserve">closing </w:t>
            </w:r>
            <w:r w:rsidR="00662F18" w:rsidRPr="00E65655">
              <w:rPr>
                <w:rFonts w:ascii="Arial" w:hAnsi="Arial" w:cs="Arial"/>
                <w:lang w:val="en-CA"/>
              </w:rPr>
              <w:t xml:space="preserve">level </w:t>
            </w:r>
            <w:r w:rsidRPr="00E65655">
              <w:rPr>
                <w:rFonts w:ascii="Arial" w:hAnsi="Arial" w:cs="Arial"/>
                <w:lang w:val="en-CA"/>
              </w:rPr>
              <w:t xml:space="preserve">of the </w:t>
            </w:r>
            <w:r w:rsidR="00E15B52" w:rsidRPr="00E65655">
              <w:rPr>
                <w:rFonts w:ascii="Arial" w:hAnsi="Arial" w:cs="Arial"/>
                <w:lang w:val="en-CA"/>
              </w:rPr>
              <w:t xml:space="preserve">Leverage </w:t>
            </w:r>
            <w:r w:rsidR="00352D5D" w:rsidRPr="00E65655">
              <w:rPr>
                <w:rFonts w:ascii="Arial" w:hAnsi="Arial" w:cs="Arial"/>
                <w:lang w:val="en-CA"/>
              </w:rPr>
              <w:t xml:space="preserve">Inverse </w:t>
            </w:r>
            <w:r w:rsidR="00662F18" w:rsidRPr="00E65655">
              <w:rPr>
                <w:rFonts w:ascii="Arial" w:hAnsi="Arial" w:cs="Arial"/>
                <w:lang w:val="en-CA"/>
              </w:rPr>
              <w:t xml:space="preserve">Strategy (as described below) </w:t>
            </w:r>
            <w:r w:rsidR="00EF0352" w:rsidRPr="00E65655">
              <w:rPr>
                <w:rFonts w:ascii="Arial" w:hAnsi="Arial" w:cs="Arial"/>
                <w:lang w:val="en-CA"/>
              </w:rPr>
              <w:t>on the Valuation Date</w:t>
            </w:r>
          </w:p>
          <w:p w14:paraId="62E316F6" w14:textId="3259566A" w:rsidR="0067308C" w:rsidRPr="00E65655" w:rsidRDefault="00553EFC" w:rsidP="00853D4F">
            <w:pPr>
              <w:pStyle w:val="PlainText"/>
              <w:spacing w:before="120" w:after="120" w:line="290" w:lineRule="auto"/>
              <w:jc w:val="both"/>
              <w:rPr>
                <w:rFonts w:ascii="Arial" w:hAnsi="Arial" w:cs="Arial"/>
                <w:lang w:val="en-CA"/>
              </w:rPr>
            </w:pPr>
            <w:r w:rsidRPr="00E65655">
              <w:rPr>
                <w:rFonts w:ascii="Arial" w:hAnsi="Arial" w:cs="Arial"/>
                <w:lang w:val="en-CA" w:eastAsia="zh-CN"/>
              </w:rPr>
              <w:t xml:space="preserve">The calculation of the closing level of the Leverage </w:t>
            </w:r>
            <w:r w:rsidR="00352D5D" w:rsidRPr="00E65655">
              <w:rPr>
                <w:rFonts w:ascii="Arial" w:hAnsi="Arial" w:cs="Arial"/>
                <w:lang w:val="en-CA" w:eastAsia="zh-CN"/>
              </w:rPr>
              <w:t xml:space="preserve">Inverse </w:t>
            </w:r>
            <w:r w:rsidRPr="00E65655">
              <w:rPr>
                <w:rFonts w:ascii="Arial" w:hAnsi="Arial" w:cs="Arial"/>
                <w:lang w:val="en-CA" w:eastAsia="zh-CN"/>
              </w:rPr>
              <w:t xml:space="preserve">Strategy is set out in the “Specific Definitions relating to the Leverage </w:t>
            </w:r>
            <w:r w:rsidR="00352D5D" w:rsidRPr="00E65655">
              <w:rPr>
                <w:rFonts w:ascii="Arial" w:hAnsi="Arial" w:cs="Arial"/>
                <w:lang w:val="en-CA" w:eastAsia="zh-CN"/>
              </w:rPr>
              <w:t xml:space="preserve">Inverse </w:t>
            </w:r>
            <w:r w:rsidRPr="00E65655">
              <w:rPr>
                <w:rFonts w:ascii="Arial" w:hAnsi="Arial" w:cs="Arial"/>
                <w:lang w:val="en-CA" w:eastAsia="zh-CN"/>
              </w:rPr>
              <w:t>Strategy” section on page</w:t>
            </w:r>
            <w:r w:rsidR="00F0426E" w:rsidRPr="00E65655">
              <w:rPr>
                <w:rFonts w:ascii="Arial" w:hAnsi="Arial" w:cs="Arial"/>
                <w:lang w:val="en-CA" w:eastAsia="zh-CN"/>
              </w:rPr>
              <w:t>s</w:t>
            </w:r>
            <w:r w:rsidRPr="00E65655">
              <w:rPr>
                <w:rFonts w:ascii="Arial" w:hAnsi="Arial" w:cs="Arial"/>
                <w:lang w:val="en-CA" w:eastAsia="zh-CN"/>
              </w:rPr>
              <w:t xml:space="preserve"> </w:t>
            </w:r>
            <w:r w:rsidR="00912B20" w:rsidRPr="00E65655">
              <w:rPr>
                <w:rFonts w:ascii="Arial" w:hAnsi="Arial" w:cs="Arial"/>
                <w:lang w:val="en-CA" w:eastAsia="zh-CN"/>
              </w:rPr>
              <w:t>20</w:t>
            </w:r>
            <w:r w:rsidR="00F0426E" w:rsidRPr="00E65655">
              <w:rPr>
                <w:rFonts w:ascii="Arial" w:hAnsi="Arial" w:cs="Arial"/>
                <w:lang w:val="en-CA" w:eastAsia="zh-CN"/>
              </w:rPr>
              <w:t xml:space="preserve"> to</w:t>
            </w:r>
            <w:r w:rsidR="00EA3EE8" w:rsidRPr="00E65655">
              <w:rPr>
                <w:rFonts w:ascii="Arial" w:hAnsi="Arial" w:cs="Arial"/>
                <w:lang w:val="en-CA" w:eastAsia="zh-CN"/>
              </w:rPr>
              <w:t xml:space="preserve"> 2</w:t>
            </w:r>
            <w:r w:rsidR="00912B20" w:rsidRPr="00E65655">
              <w:rPr>
                <w:rFonts w:ascii="Arial" w:hAnsi="Arial" w:cs="Arial"/>
                <w:lang w:val="en-CA" w:eastAsia="zh-CN"/>
              </w:rPr>
              <w:t>6</w:t>
            </w:r>
            <w:r w:rsidRPr="00E65655">
              <w:rPr>
                <w:rFonts w:ascii="Arial" w:hAnsi="Arial" w:cs="Arial"/>
                <w:lang w:val="en-CA" w:eastAsia="zh-CN"/>
              </w:rPr>
              <w:t xml:space="preserve"> below.</w:t>
            </w:r>
          </w:p>
        </w:tc>
      </w:tr>
      <w:tr w:rsidR="00EF0352" w:rsidRPr="00E65655" w14:paraId="0577A3A8" w14:textId="77777777" w:rsidTr="00853D4F">
        <w:tc>
          <w:tcPr>
            <w:tcW w:w="3072" w:type="dxa"/>
          </w:tcPr>
          <w:p w14:paraId="16F1B4BA" w14:textId="77777777" w:rsidR="00EF0352" w:rsidRPr="00E65655" w:rsidRDefault="00EF0352" w:rsidP="00853D4F">
            <w:pPr>
              <w:pStyle w:val="PlainText"/>
              <w:spacing w:before="120" w:after="120" w:line="290" w:lineRule="auto"/>
              <w:jc w:val="both"/>
              <w:rPr>
                <w:rFonts w:ascii="Arial" w:hAnsi="Arial" w:cs="Arial"/>
              </w:rPr>
            </w:pPr>
            <w:r w:rsidRPr="00E65655">
              <w:rPr>
                <w:rFonts w:ascii="Arial" w:hAnsi="Arial" w:cs="Arial"/>
              </w:rPr>
              <w:t>Initial Exchange Rate:</w:t>
            </w:r>
          </w:p>
        </w:tc>
        <w:tc>
          <w:tcPr>
            <w:tcW w:w="6306" w:type="dxa"/>
          </w:tcPr>
          <w:p w14:paraId="3F0387A5" w14:textId="39579317" w:rsidR="000D5DD3" w:rsidRPr="00E65655" w:rsidRDefault="00E204D3" w:rsidP="00853D4F">
            <w:pPr>
              <w:pStyle w:val="PlainText"/>
              <w:spacing w:before="120" w:after="120" w:line="290" w:lineRule="auto"/>
              <w:jc w:val="both"/>
              <w:rPr>
                <w:rFonts w:ascii="Arial" w:hAnsi="Arial" w:cs="Arial"/>
                <w:lang w:val="en-CA"/>
              </w:rPr>
            </w:pPr>
            <w:r w:rsidRPr="00E65655">
              <w:rPr>
                <w:rFonts w:ascii="Arial" w:hAnsi="Arial" w:cs="Arial"/>
              </w:rPr>
              <w:t>1</w:t>
            </w:r>
          </w:p>
        </w:tc>
      </w:tr>
      <w:tr w:rsidR="00EF0352" w:rsidRPr="00E65655" w14:paraId="63B616F6" w14:textId="77777777" w:rsidTr="00853D4F">
        <w:tc>
          <w:tcPr>
            <w:tcW w:w="3072" w:type="dxa"/>
          </w:tcPr>
          <w:p w14:paraId="59CE07EC" w14:textId="77777777" w:rsidR="00EF0352" w:rsidRPr="00E65655" w:rsidRDefault="00EF0352" w:rsidP="00853D4F">
            <w:pPr>
              <w:pStyle w:val="PlainText"/>
              <w:spacing w:before="120" w:after="120" w:line="290" w:lineRule="auto"/>
              <w:jc w:val="both"/>
              <w:rPr>
                <w:rFonts w:ascii="Arial" w:hAnsi="Arial" w:cs="Arial"/>
              </w:rPr>
            </w:pPr>
            <w:r w:rsidRPr="00E65655">
              <w:rPr>
                <w:rFonts w:ascii="Arial" w:hAnsi="Arial" w:cs="Arial"/>
              </w:rPr>
              <w:t>Final Exchange Rate:</w:t>
            </w:r>
          </w:p>
        </w:tc>
        <w:tc>
          <w:tcPr>
            <w:tcW w:w="6306" w:type="dxa"/>
          </w:tcPr>
          <w:p w14:paraId="7AC7F2AF" w14:textId="6FB2BE35" w:rsidR="00927F06" w:rsidRPr="00E65655" w:rsidRDefault="00927F06" w:rsidP="00853D4F">
            <w:pPr>
              <w:pStyle w:val="PlainText"/>
              <w:spacing w:before="120" w:after="120" w:line="290" w:lineRule="auto"/>
              <w:jc w:val="both"/>
              <w:rPr>
                <w:rFonts w:ascii="Arial" w:hAnsi="Arial" w:cs="Arial"/>
              </w:rPr>
            </w:pPr>
            <w:r w:rsidRPr="00E65655">
              <w:rPr>
                <w:rFonts w:ascii="Arial" w:eastAsia="SimHei" w:hAnsi="Arial" w:cs="Arial"/>
                <w:lang w:val="en-CA" w:eastAsia="zh-CN"/>
              </w:rPr>
              <w:t>1</w:t>
            </w:r>
          </w:p>
        </w:tc>
      </w:tr>
      <w:tr w:rsidR="00C01FB5" w:rsidRPr="00E65655" w14:paraId="7CC208CF" w14:textId="77777777" w:rsidTr="00853D4F">
        <w:tc>
          <w:tcPr>
            <w:tcW w:w="3072" w:type="dxa"/>
          </w:tcPr>
          <w:p w14:paraId="5B9BD114" w14:textId="77777777" w:rsidR="00D151BF" w:rsidRPr="00E65655" w:rsidRDefault="00D151BF" w:rsidP="00853D4F">
            <w:pPr>
              <w:pStyle w:val="PlainText"/>
              <w:spacing w:before="120" w:after="120" w:line="290" w:lineRule="auto"/>
              <w:jc w:val="both"/>
              <w:rPr>
                <w:rFonts w:ascii="Arial" w:hAnsi="Arial" w:cs="Arial"/>
              </w:rPr>
            </w:pPr>
            <w:r w:rsidRPr="00E65655">
              <w:rPr>
                <w:rFonts w:ascii="Arial" w:hAnsi="Arial" w:cs="Arial"/>
              </w:rPr>
              <w:lastRenderedPageBreak/>
              <w:t>Air Bag Mechanism:</w:t>
            </w:r>
          </w:p>
        </w:tc>
        <w:tc>
          <w:tcPr>
            <w:tcW w:w="6306" w:type="dxa"/>
          </w:tcPr>
          <w:p w14:paraId="03B0D3D2" w14:textId="5EEF7589" w:rsidR="00B90B38" w:rsidRPr="00E65655" w:rsidRDefault="00D151BF" w:rsidP="00853D4F">
            <w:pPr>
              <w:keepLines/>
              <w:spacing w:before="120" w:after="120" w:line="290" w:lineRule="auto"/>
              <w:jc w:val="both"/>
              <w:rPr>
                <w:rFonts w:cs="Arial"/>
                <w:szCs w:val="20"/>
              </w:rPr>
            </w:pPr>
            <w:r w:rsidRPr="00E65655">
              <w:rPr>
                <w:rFonts w:cs="Arial"/>
                <w:szCs w:val="20"/>
              </w:rPr>
              <w:t>The “</w:t>
            </w:r>
            <w:r w:rsidRPr="00E65655">
              <w:rPr>
                <w:rFonts w:cs="Arial"/>
                <w:b/>
                <w:szCs w:val="20"/>
              </w:rPr>
              <w:t>Air Bag Mechanism</w:t>
            </w:r>
            <w:r w:rsidRPr="00E65655">
              <w:rPr>
                <w:rFonts w:cs="Arial"/>
                <w:szCs w:val="20"/>
              </w:rPr>
              <w:t xml:space="preserve">” refers to the mechanism </w:t>
            </w:r>
            <w:r w:rsidR="00BD0E4D" w:rsidRPr="00E65655">
              <w:rPr>
                <w:rFonts w:cs="Arial"/>
                <w:szCs w:val="20"/>
              </w:rPr>
              <w:t xml:space="preserve">built in the Leverage </w:t>
            </w:r>
            <w:r w:rsidR="00352D5D" w:rsidRPr="00E65655">
              <w:rPr>
                <w:rFonts w:cs="Arial"/>
                <w:szCs w:val="20"/>
              </w:rPr>
              <w:t xml:space="preserve">Inverse </w:t>
            </w:r>
            <w:proofErr w:type="gramStart"/>
            <w:r w:rsidR="00BD0E4D" w:rsidRPr="00E65655">
              <w:rPr>
                <w:rFonts w:cs="Arial"/>
                <w:szCs w:val="20"/>
              </w:rPr>
              <w:t>Strategy</w:t>
            </w:r>
            <w:proofErr w:type="gramEnd"/>
            <w:r w:rsidR="00BD0E4D" w:rsidRPr="00E65655">
              <w:rPr>
                <w:rFonts w:cs="Arial"/>
                <w:szCs w:val="20"/>
              </w:rPr>
              <w:t xml:space="preserve"> and </w:t>
            </w:r>
            <w:r w:rsidRPr="00E65655">
              <w:rPr>
                <w:rFonts w:cs="Arial"/>
                <w:szCs w:val="20"/>
              </w:rPr>
              <w:t>which is d</w:t>
            </w:r>
            <w:r w:rsidR="00185B86" w:rsidRPr="00E65655">
              <w:rPr>
                <w:rFonts w:cs="Arial"/>
                <w:szCs w:val="20"/>
              </w:rPr>
              <w:t xml:space="preserve">esigned to reduce the </w:t>
            </w:r>
            <w:r w:rsidR="005118C1" w:rsidRPr="00E65655">
              <w:rPr>
                <w:rFonts w:cs="Arial"/>
                <w:szCs w:val="20"/>
              </w:rPr>
              <w:t xml:space="preserve">Leverage </w:t>
            </w:r>
            <w:r w:rsidR="00352D5D" w:rsidRPr="00E65655">
              <w:rPr>
                <w:rFonts w:cs="Arial"/>
                <w:szCs w:val="20"/>
              </w:rPr>
              <w:t xml:space="preserve">Inverse </w:t>
            </w:r>
            <w:r w:rsidR="005533D0" w:rsidRPr="00E65655">
              <w:rPr>
                <w:rFonts w:cs="Arial"/>
                <w:szCs w:val="20"/>
              </w:rPr>
              <w:t xml:space="preserve">Strategy </w:t>
            </w:r>
            <w:r w:rsidRPr="00E65655">
              <w:rPr>
                <w:rFonts w:cs="Arial"/>
                <w:szCs w:val="20"/>
              </w:rPr>
              <w:t xml:space="preserve">exposure to the </w:t>
            </w:r>
            <w:r w:rsidR="003F66C9" w:rsidRPr="00E65655">
              <w:rPr>
                <w:rFonts w:cs="Arial"/>
                <w:szCs w:val="20"/>
              </w:rPr>
              <w:t>Underlying Stock</w:t>
            </w:r>
            <w:r w:rsidR="00062315" w:rsidRPr="00E65655">
              <w:rPr>
                <w:rFonts w:cs="Arial"/>
                <w:szCs w:val="20"/>
              </w:rPr>
              <w:t xml:space="preserve"> </w:t>
            </w:r>
            <w:r w:rsidRPr="00E65655">
              <w:rPr>
                <w:rFonts w:cs="Arial"/>
                <w:szCs w:val="20"/>
              </w:rPr>
              <w:t xml:space="preserve">during extreme market conditions. If the </w:t>
            </w:r>
            <w:r w:rsidR="003F66C9" w:rsidRPr="00E65655">
              <w:rPr>
                <w:rFonts w:cs="Arial"/>
                <w:szCs w:val="20"/>
              </w:rPr>
              <w:t>Underlying Stock</w:t>
            </w:r>
            <w:r w:rsidR="00062315" w:rsidRPr="00E65655">
              <w:rPr>
                <w:rFonts w:cs="Arial"/>
                <w:szCs w:val="20"/>
              </w:rPr>
              <w:t xml:space="preserve"> </w:t>
            </w:r>
            <w:r w:rsidR="002A6045" w:rsidRPr="00E65655">
              <w:rPr>
                <w:rFonts w:cs="Arial"/>
                <w:szCs w:val="20"/>
              </w:rPr>
              <w:t>rise</w:t>
            </w:r>
            <w:r w:rsidR="003F66C9" w:rsidRPr="00E65655">
              <w:rPr>
                <w:rFonts w:cs="Arial"/>
                <w:szCs w:val="20"/>
              </w:rPr>
              <w:t>s</w:t>
            </w:r>
            <w:r w:rsidRPr="00E65655">
              <w:rPr>
                <w:rFonts w:cs="Arial"/>
                <w:szCs w:val="20"/>
              </w:rPr>
              <w:t xml:space="preserve"> by </w:t>
            </w:r>
            <w:r w:rsidR="00893330" w:rsidRPr="00E65655">
              <w:rPr>
                <w:rFonts w:cs="Arial"/>
                <w:szCs w:val="20"/>
              </w:rPr>
              <w:t>15</w:t>
            </w:r>
            <w:r w:rsidR="00B73EF1" w:rsidRPr="00E65655">
              <w:rPr>
                <w:rFonts w:cs="Arial"/>
                <w:szCs w:val="20"/>
              </w:rPr>
              <w:t xml:space="preserve">% or </w:t>
            </w:r>
            <w:r w:rsidRPr="00E65655">
              <w:rPr>
                <w:rFonts w:cs="Arial"/>
                <w:szCs w:val="20"/>
              </w:rPr>
              <w:t xml:space="preserve">more </w:t>
            </w:r>
            <w:r w:rsidR="0061305D" w:rsidRPr="00E65655">
              <w:rPr>
                <w:rFonts w:cs="Arial"/>
                <w:szCs w:val="20"/>
              </w:rPr>
              <w:t>(“</w:t>
            </w:r>
            <w:r w:rsidR="0061305D" w:rsidRPr="00E65655">
              <w:rPr>
                <w:rFonts w:cs="Arial"/>
                <w:b/>
                <w:szCs w:val="20"/>
              </w:rPr>
              <w:t xml:space="preserve">Air Bag Trigger </w:t>
            </w:r>
            <w:r w:rsidR="003231AB" w:rsidRPr="00E65655">
              <w:rPr>
                <w:rFonts w:cs="Arial" w:hint="eastAsia"/>
                <w:b/>
                <w:szCs w:val="20"/>
                <w:lang w:eastAsia="zh-CN"/>
              </w:rPr>
              <w:t>Price</w:t>
            </w:r>
            <w:r w:rsidR="0061305D" w:rsidRPr="00E65655">
              <w:rPr>
                <w:rFonts w:cs="Arial"/>
                <w:szCs w:val="20"/>
              </w:rPr>
              <w:t xml:space="preserve">”) </w:t>
            </w:r>
            <w:r w:rsidRPr="00E65655">
              <w:rPr>
                <w:rFonts w:cs="Arial"/>
                <w:szCs w:val="20"/>
              </w:rPr>
              <w:t xml:space="preserve">during the trading day (which represents </w:t>
            </w:r>
            <w:r w:rsidR="00FD361B" w:rsidRPr="00E65655">
              <w:rPr>
                <w:rFonts w:cs="Arial"/>
                <w:szCs w:val="20"/>
              </w:rPr>
              <w:t xml:space="preserve">an </w:t>
            </w:r>
            <w:r w:rsidRPr="00E65655">
              <w:rPr>
                <w:rFonts w:cs="Arial"/>
                <w:szCs w:val="20"/>
              </w:rPr>
              <w:t xml:space="preserve">approximately </w:t>
            </w:r>
            <w:r w:rsidR="00893330" w:rsidRPr="00E65655">
              <w:rPr>
                <w:rFonts w:cs="Arial"/>
                <w:szCs w:val="20"/>
              </w:rPr>
              <w:t>75</w:t>
            </w:r>
            <w:r w:rsidRPr="00E65655">
              <w:rPr>
                <w:rFonts w:cs="Arial"/>
                <w:szCs w:val="20"/>
              </w:rPr>
              <w:t xml:space="preserve">% loss after </w:t>
            </w:r>
            <w:proofErr w:type="gramStart"/>
            <w:r w:rsidRPr="00E65655">
              <w:rPr>
                <w:rFonts w:cs="Arial"/>
                <w:szCs w:val="20"/>
              </w:rPr>
              <w:t>a 5 t</w:t>
            </w:r>
            <w:r w:rsidR="00185B86" w:rsidRPr="00E65655">
              <w:rPr>
                <w:rFonts w:cs="Arial"/>
                <w:szCs w:val="20"/>
              </w:rPr>
              <w:t>imes</w:t>
            </w:r>
            <w:proofErr w:type="gramEnd"/>
            <w:r w:rsidR="00185B86" w:rsidRPr="00E65655">
              <w:rPr>
                <w:rFonts w:cs="Arial"/>
                <w:szCs w:val="20"/>
              </w:rPr>
              <w:t xml:space="preserve"> </w:t>
            </w:r>
            <w:r w:rsidR="00352D5D" w:rsidRPr="00E65655">
              <w:rPr>
                <w:rFonts w:cs="Arial"/>
                <w:szCs w:val="20"/>
              </w:rPr>
              <w:t xml:space="preserve">inverse </w:t>
            </w:r>
            <w:r w:rsidR="00185B86" w:rsidRPr="00E65655">
              <w:rPr>
                <w:rFonts w:cs="Arial"/>
                <w:szCs w:val="20"/>
              </w:rPr>
              <w:t>leverage)</w:t>
            </w:r>
            <w:r w:rsidRPr="00E65655">
              <w:rPr>
                <w:rFonts w:cs="Arial"/>
                <w:szCs w:val="20"/>
              </w:rPr>
              <w:t xml:space="preserve">, the Air Bag Mechanism is </w:t>
            </w:r>
            <w:proofErr w:type="gramStart"/>
            <w:r w:rsidR="00BD0E4D" w:rsidRPr="00E65655">
              <w:rPr>
                <w:rFonts w:cs="Arial"/>
                <w:szCs w:val="20"/>
              </w:rPr>
              <w:t>triggered</w:t>
            </w:r>
            <w:proofErr w:type="gramEnd"/>
            <w:r w:rsidR="00BD0E4D" w:rsidRPr="00E65655">
              <w:rPr>
                <w:rFonts w:cs="Arial"/>
                <w:szCs w:val="20"/>
              </w:rPr>
              <w:t xml:space="preserve"> </w:t>
            </w:r>
            <w:r w:rsidR="00185B86" w:rsidRPr="00E65655">
              <w:rPr>
                <w:rFonts w:cs="Arial"/>
                <w:szCs w:val="20"/>
              </w:rPr>
              <w:t xml:space="preserve">and the </w:t>
            </w:r>
            <w:r w:rsidR="005118C1" w:rsidRPr="00E65655">
              <w:rPr>
                <w:rFonts w:cs="Arial"/>
                <w:szCs w:val="20"/>
              </w:rPr>
              <w:t xml:space="preserve">Leverage </w:t>
            </w:r>
            <w:r w:rsidR="00352D5D" w:rsidRPr="00E65655">
              <w:rPr>
                <w:rFonts w:cs="Arial"/>
                <w:szCs w:val="20"/>
              </w:rPr>
              <w:t xml:space="preserve">Inverse </w:t>
            </w:r>
            <w:r w:rsidR="00EE7769" w:rsidRPr="00E65655">
              <w:rPr>
                <w:rFonts w:cs="Arial"/>
                <w:szCs w:val="20"/>
              </w:rPr>
              <w:t xml:space="preserve">Strategy </w:t>
            </w:r>
            <w:r w:rsidRPr="00E65655">
              <w:rPr>
                <w:rFonts w:cs="Arial"/>
                <w:szCs w:val="20"/>
              </w:rPr>
              <w:t>is adjusted intra-da</w:t>
            </w:r>
            <w:r w:rsidR="00B90B38" w:rsidRPr="00E65655">
              <w:rPr>
                <w:rFonts w:cs="Arial"/>
                <w:szCs w:val="20"/>
              </w:rPr>
              <w:t xml:space="preserve">y. The Air Bag Mechanism reduces the impact on the </w:t>
            </w:r>
            <w:r w:rsidR="00B63FF9" w:rsidRPr="00E65655">
              <w:rPr>
                <w:rFonts w:cs="Arial"/>
                <w:szCs w:val="20"/>
              </w:rPr>
              <w:t xml:space="preserve">Leverage </w:t>
            </w:r>
            <w:r w:rsidR="00352D5D" w:rsidRPr="00E65655">
              <w:rPr>
                <w:rFonts w:cs="Arial"/>
                <w:szCs w:val="20"/>
              </w:rPr>
              <w:t xml:space="preserve">Inverse </w:t>
            </w:r>
            <w:r w:rsidR="00BD0E4D" w:rsidRPr="00E65655">
              <w:rPr>
                <w:rFonts w:cs="Arial"/>
                <w:szCs w:val="20"/>
              </w:rPr>
              <w:t xml:space="preserve">Strategy </w:t>
            </w:r>
            <w:r w:rsidR="00B90B38" w:rsidRPr="00E65655">
              <w:rPr>
                <w:rFonts w:cs="Arial"/>
                <w:szCs w:val="20"/>
              </w:rPr>
              <w:t xml:space="preserve">if the </w:t>
            </w:r>
            <w:r w:rsidR="003F66C9" w:rsidRPr="00E65655">
              <w:rPr>
                <w:rFonts w:cs="Arial"/>
                <w:szCs w:val="20"/>
              </w:rPr>
              <w:t>Underlying Stock</w:t>
            </w:r>
            <w:r w:rsidR="00062315" w:rsidRPr="00E65655">
              <w:rPr>
                <w:rFonts w:cs="Arial"/>
                <w:szCs w:val="20"/>
              </w:rPr>
              <w:t xml:space="preserve"> </w:t>
            </w:r>
            <w:r w:rsidR="00D2316E" w:rsidRPr="00E65655">
              <w:rPr>
                <w:rFonts w:cs="Arial"/>
                <w:szCs w:val="20"/>
              </w:rPr>
              <w:t>rise</w:t>
            </w:r>
            <w:r w:rsidR="003F66C9" w:rsidRPr="00E65655">
              <w:rPr>
                <w:rFonts w:cs="Arial"/>
                <w:szCs w:val="20"/>
              </w:rPr>
              <w:t>s</w:t>
            </w:r>
            <w:r w:rsidR="00B90B38" w:rsidRPr="00E65655">
              <w:rPr>
                <w:rFonts w:cs="Arial"/>
                <w:szCs w:val="20"/>
              </w:rPr>
              <w:t xml:space="preserve"> </w:t>
            </w:r>
            <w:proofErr w:type="gramStart"/>
            <w:r w:rsidR="00871277" w:rsidRPr="00E65655">
              <w:rPr>
                <w:rFonts w:cs="Arial"/>
                <w:szCs w:val="20"/>
              </w:rPr>
              <w:t>further</w:t>
            </w:r>
            <w:r w:rsidR="00B90B38" w:rsidRPr="00E65655">
              <w:rPr>
                <w:rFonts w:cs="Arial"/>
                <w:szCs w:val="20"/>
              </w:rPr>
              <w:t>, but</w:t>
            </w:r>
            <w:proofErr w:type="gramEnd"/>
            <w:r w:rsidR="00B90B38" w:rsidRPr="00E65655">
              <w:rPr>
                <w:rFonts w:cs="Arial"/>
                <w:szCs w:val="20"/>
              </w:rPr>
              <w:t xml:space="preserve"> will also maintain a reduced exposure to the </w:t>
            </w:r>
            <w:r w:rsidR="003F66C9" w:rsidRPr="00E65655">
              <w:rPr>
                <w:rFonts w:cs="Arial"/>
                <w:szCs w:val="20"/>
              </w:rPr>
              <w:t>Underlying Stock</w:t>
            </w:r>
            <w:r w:rsidR="00062315" w:rsidRPr="00E65655">
              <w:rPr>
                <w:rFonts w:cs="Arial"/>
                <w:szCs w:val="20"/>
              </w:rPr>
              <w:t xml:space="preserve"> </w:t>
            </w:r>
            <w:r w:rsidR="00B90B38" w:rsidRPr="00E65655">
              <w:rPr>
                <w:rFonts w:cs="Arial"/>
                <w:szCs w:val="20"/>
              </w:rPr>
              <w:t xml:space="preserve">in the event the </w:t>
            </w:r>
            <w:r w:rsidR="003F66C9" w:rsidRPr="00E65655">
              <w:rPr>
                <w:rFonts w:cs="Arial"/>
                <w:szCs w:val="20"/>
              </w:rPr>
              <w:t>Underlying Stock</w:t>
            </w:r>
            <w:r w:rsidR="00EA6A4E" w:rsidRPr="00E65655">
              <w:rPr>
                <w:rFonts w:cs="Arial"/>
                <w:szCs w:val="20"/>
              </w:rPr>
              <w:t xml:space="preserve"> </w:t>
            </w:r>
            <w:r w:rsidR="00EC5D48" w:rsidRPr="00E65655">
              <w:rPr>
                <w:rFonts w:cs="Arial"/>
                <w:szCs w:val="20"/>
              </w:rPr>
              <w:t>start</w:t>
            </w:r>
            <w:r w:rsidR="003F66C9" w:rsidRPr="00E65655">
              <w:rPr>
                <w:rFonts w:cs="Arial"/>
                <w:szCs w:val="20"/>
              </w:rPr>
              <w:t>s</w:t>
            </w:r>
            <w:r w:rsidR="00D2316E" w:rsidRPr="00E65655">
              <w:rPr>
                <w:rFonts w:cs="Arial"/>
                <w:szCs w:val="20"/>
              </w:rPr>
              <w:t xml:space="preserve"> to fall</w:t>
            </w:r>
            <w:r w:rsidR="00B90B38" w:rsidRPr="00E65655">
              <w:rPr>
                <w:rFonts w:cs="Arial"/>
                <w:szCs w:val="20"/>
              </w:rPr>
              <w:t xml:space="preserve"> after the Air Bag Mechanism is triggered, thereby reducing its ability to recoup losses.</w:t>
            </w:r>
          </w:p>
          <w:p w14:paraId="675CB910" w14:textId="348470C0" w:rsidR="008C3B44" w:rsidRPr="00E65655" w:rsidRDefault="008C3B44" w:rsidP="00853D4F">
            <w:pPr>
              <w:keepLines/>
              <w:spacing w:before="120" w:after="120" w:line="290" w:lineRule="auto"/>
              <w:jc w:val="both"/>
              <w:rPr>
                <w:rFonts w:cs="Arial"/>
                <w:szCs w:val="20"/>
              </w:rPr>
            </w:pPr>
            <w:r w:rsidRPr="00E65655">
              <w:rPr>
                <w:rFonts w:cs="Arial"/>
                <w:szCs w:val="20"/>
              </w:rPr>
              <w:t xml:space="preserve">Trading of Certificates is suspended for at least 30 minutes </w:t>
            </w:r>
            <w:r w:rsidR="007B6169" w:rsidRPr="00E65655">
              <w:rPr>
                <w:rFonts w:cs="Arial"/>
                <w:szCs w:val="20"/>
              </w:rPr>
              <w:t xml:space="preserve">of continuous trading </w:t>
            </w:r>
            <w:r w:rsidRPr="00E65655">
              <w:rPr>
                <w:rFonts w:cs="Arial"/>
                <w:szCs w:val="20"/>
              </w:rPr>
              <w:t>after the Air Bag is triggered.</w:t>
            </w:r>
            <w:r w:rsidR="007B6169" w:rsidRPr="00E65655">
              <w:rPr>
                <w:rFonts w:cs="Arial"/>
                <w:szCs w:val="20"/>
              </w:rPr>
              <w:t xml:space="preserve"> The resumption of trading is subject to the SGX-ST’s requirements of at least 15 minutes after the SGX-ST approves the request from the Issuer to resume trading on the Certificates, rounded to the next quarter of an hour.</w:t>
            </w:r>
          </w:p>
          <w:p w14:paraId="5934DC44" w14:textId="77777777" w:rsidR="00B90B38" w:rsidRPr="00E65655" w:rsidRDefault="00B63FF9" w:rsidP="00853D4F">
            <w:pPr>
              <w:spacing w:before="120" w:after="120" w:line="290" w:lineRule="auto"/>
              <w:jc w:val="both"/>
              <w:rPr>
                <w:rFonts w:cs="Arial"/>
                <w:szCs w:val="20"/>
              </w:rPr>
            </w:pPr>
            <w:r w:rsidRPr="00E65655">
              <w:rPr>
                <w:rFonts w:cs="Arial"/>
                <w:szCs w:val="20"/>
              </w:rPr>
              <w:t>T</w:t>
            </w:r>
            <w:r w:rsidR="00B90B38" w:rsidRPr="00E65655">
              <w:rPr>
                <w:rFonts w:cs="Arial"/>
                <w:szCs w:val="20"/>
              </w:rPr>
              <w:t>he</w:t>
            </w:r>
            <w:r w:rsidRPr="00E65655">
              <w:rPr>
                <w:rFonts w:cs="Arial"/>
                <w:szCs w:val="20"/>
              </w:rPr>
              <w:t xml:space="preserve"> Leverage</w:t>
            </w:r>
            <w:r w:rsidR="00B56104" w:rsidRPr="00E65655">
              <w:rPr>
                <w:rFonts w:cs="Arial"/>
                <w:szCs w:val="20"/>
              </w:rPr>
              <w:t xml:space="preserve"> </w:t>
            </w:r>
            <w:r w:rsidR="00352D5D" w:rsidRPr="00E65655">
              <w:rPr>
                <w:rFonts w:cs="Arial"/>
                <w:szCs w:val="20"/>
              </w:rPr>
              <w:t xml:space="preserve">Inverse </w:t>
            </w:r>
            <w:r w:rsidR="00B56104" w:rsidRPr="00E65655">
              <w:rPr>
                <w:rFonts w:cs="Arial"/>
                <w:szCs w:val="20"/>
              </w:rPr>
              <w:t>Strategy</w:t>
            </w:r>
            <w:r w:rsidR="00B90B38" w:rsidRPr="00E65655">
              <w:rPr>
                <w:rFonts w:cs="Arial"/>
                <w:szCs w:val="20"/>
              </w:rPr>
              <w:t xml:space="preserve"> is </w:t>
            </w:r>
            <w:r w:rsidRPr="00E65655">
              <w:rPr>
                <w:rFonts w:cs="Arial"/>
                <w:szCs w:val="20"/>
              </w:rPr>
              <w:t>f</w:t>
            </w:r>
            <w:r w:rsidR="00B90B38" w:rsidRPr="00E65655">
              <w:rPr>
                <w:rFonts w:cs="Arial"/>
                <w:szCs w:val="20"/>
              </w:rPr>
              <w:t>loor</w:t>
            </w:r>
            <w:r w:rsidRPr="00E65655">
              <w:rPr>
                <w:rFonts w:cs="Arial"/>
                <w:szCs w:val="20"/>
              </w:rPr>
              <w:t>ed</w:t>
            </w:r>
            <w:r w:rsidR="00B90B38" w:rsidRPr="00E65655">
              <w:rPr>
                <w:rFonts w:cs="Arial"/>
                <w:szCs w:val="20"/>
              </w:rPr>
              <w:t xml:space="preserve"> </w:t>
            </w:r>
            <w:r w:rsidRPr="00E65655">
              <w:rPr>
                <w:rFonts w:cs="Arial"/>
                <w:szCs w:val="20"/>
              </w:rPr>
              <w:t xml:space="preserve">at </w:t>
            </w:r>
            <w:r w:rsidR="00B90B38" w:rsidRPr="00E65655">
              <w:rPr>
                <w:rFonts w:cs="Arial"/>
                <w:szCs w:val="20"/>
              </w:rPr>
              <w:t>0</w:t>
            </w:r>
            <w:r w:rsidRPr="00E65655">
              <w:rPr>
                <w:rFonts w:cs="Arial"/>
                <w:szCs w:val="20"/>
              </w:rPr>
              <w:t xml:space="preserve"> and</w:t>
            </w:r>
            <w:r w:rsidR="00B90B38" w:rsidRPr="00E65655">
              <w:rPr>
                <w:rFonts w:cs="Arial"/>
                <w:szCs w:val="20"/>
              </w:rPr>
              <w:t xml:space="preserve"> </w:t>
            </w:r>
            <w:r w:rsidRPr="00E65655">
              <w:rPr>
                <w:rFonts w:cs="Arial"/>
                <w:szCs w:val="20"/>
              </w:rPr>
              <w:t>t</w:t>
            </w:r>
            <w:r w:rsidR="00B90B38" w:rsidRPr="00E65655">
              <w:rPr>
                <w:rFonts w:cs="Arial"/>
                <w:szCs w:val="20"/>
              </w:rPr>
              <w:t>he Certificates cannot be valued below zero.</w:t>
            </w:r>
          </w:p>
          <w:p w14:paraId="19D43355" w14:textId="71D33963" w:rsidR="00864FDC" w:rsidRPr="00E65655" w:rsidRDefault="00864FDC" w:rsidP="00853D4F">
            <w:pPr>
              <w:spacing w:before="120" w:after="120" w:line="290" w:lineRule="auto"/>
              <w:jc w:val="both"/>
              <w:rPr>
                <w:rFonts w:cs="Arial"/>
              </w:rPr>
            </w:pPr>
            <w:r w:rsidRPr="00E65655">
              <w:rPr>
                <w:rFonts w:cs="Arial"/>
                <w:szCs w:val="20"/>
              </w:rPr>
              <w:t xml:space="preserve">Please refer to </w:t>
            </w:r>
            <w:r w:rsidR="00553EFC" w:rsidRPr="00E65655">
              <w:rPr>
                <w:rFonts w:cs="Arial"/>
                <w:szCs w:val="20"/>
              </w:rPr>
              <w:t>the “</w:t>
            </w:r>
            <w:r w:rsidR="0041370E" w:rsidRPr="00E65655">
              <w:rPr>
                <w:rFonts w:cs="Arial"/>
                <w:szCs w:val="20"/>
              </w:rPr>
              <w:t>Extraordinary Strategy Adjustment for Performance Reasons (“Air Bag Mechanism”)</w:t>
            </w:r>
            <w:r w:rsidR="00553EFC" w:rsidRPr="00E65655">
              <w:rPr>
                <w:rFonts w:cs="Arial"/>
                <w:szCs w:val="20"/>
              </w:rPr>
              <w:t>” section on page</w:t>
            </w:r>
            <w:r w:rsidR="000D5DD3" w:rsidRPr="00E65655">
              <w:rPr>
                <w:rFonts w:cs="Arial"/>
                <w:szCs w:val="20"/>
              </w:rPr>
              <w:t>s</w:t>
            </w:r>
            <w:r w:rsidR="00553EFC" w:rsidRPr="00E65655">
              <w:rPr>
                <w:rFonts w:cs="Arial"/>
                <w:szCs w:val="20"/>
              </w:rPr>
              <w:t xml:space="preserve"> </w:t>
            </w:r>
            <w:r w:rsidR="00EA3EE8" w:rsidRPr="00E65655">
              <w:rPr>
                <w:rFonts w:cs="Arial"/>
                <w:szCs w:val="20"/>
              </w:rPr>
              <w:t>2</w:t>
            </w:r>
            <w:r w:rsidR="00912B20" w:rsidRPr="00E65655">
              <w:rPr>
                <w:rFonts w:cs="Arial"/>
                <w:szCs w:val="20"/>
              </w:rPr>
              <w:t>4</w:t>
            </w:r>
            <w:r w:rsidR="005D6A97" w:rsidRPr="00E65655">
              <w:rPr>
                <w:rFonts w:cs="Arial"/>
                <w:szCs w:val="20"/>
              </w:rPr>
              <w:t xml:space="preserve"> </w:t>
            </w:r>
            <w:r w:rsidR="000D5DD3" w:rsidRPr="00E65655">
              <w:rPr>
                <w:rFonts w:cs="Arial"/>
                <w:szCs w:val="20"/>
              </w:rPr>
              <w:t xml:space="preserve">to </w:t>
            </w:r>
            <w:r w:rsidR="00EA3EE8" w:rsidRPr="00E65655">
              <w:rPr>
                <w:rFonts w:cs="Arial"/>
                <w:szCs w:val="20"/>
              </w:rPr>
              <w:t>2</w:t>
            </w:r>
            <w:r w:rsidR="00912B20" w:rsidRPr="00E65655">
              <w:rPr>
                <w:rFonts w:cs="Arial"/>
                <w:szCs w:val="20"/>
              </w:rPr>
              <w:t>6</w:t>
            </w:r>
            <w:r w:rsidR="00553EFC" w:rsidRPr="00E65655">
              <w:rPr>
                <w:rFonts w:cs="Arial"/>
                <w:szCs w:val="20"/>
              </w:rPr>
              <w:t xml:space="preserve"> below and </w:t>
            </w:r>
            <w:r w:rsidRPr="00E65655">
              <w:rPr>
                <w:rFonts w:cs="Arial"/>
                <w:szCs w:val="20"/>
              </w:rPr>
              <w:t>the “</w:t>
            </w:r>
            <w:r w:rsidR="00553EFC" w:rsidRPr="00E65655">
              <w:rPr>
                <w:rFonts w:cs="Arial"/>
                <w:szCs w:val="20"/>
              </w:rPr>
              <w:t>Description of Air Bag Mechanism</w:t>
            </w:r>
            <w:r w:rsidR="009942B4" w:rsidRPr="00E65655">
              <w:rPr>
                <w:rFonts w:cs="Arial"/>
                <w:szCs w:val="20"/>
              </w:rPr>
              <w:t>” section on</w:t>
            </w:r>
            <w:r w:rsidR="00DF044E" w:rsidRPr="00E65655">
              <w:rPr>
                <w:rFonts w:cs="Arial"/>
                <w:szCs w:val="20"/>
              </w:rPr>
              <w:t xml:space="preserve"> page</w:t>
            </w:r>
            <w:r w:rsidR="00585F25" w:rsidRPr="00E65655">
              <w:rPr>
                <w:rFonts w:cs="Arial"/>
                <w:szCs w:val="20"/>
              </w:rPr>
              <w:t>s</w:t>
            </w:r>
            <w:r w:rsidR="00DF044E" w:rsidRPr="00E65655">
              <w:rPr>
                <w:rFonts w:cs="Arial"/>
                <w:szCs w:val="20"/>
              </w:rPr>
              <w:t xml:space="preserve"> </w:t>
            </w:r>
            <w:r w:rsidR="00252B32" w:rsidRPr="00E65655">
              <w:rPr>
                <w:rFonts w:cs="Arial"/>
                <w:szCs w:val="20"/>
              </w:rPr>
              <w:t>5</w:t>
            </w:r>
            <w:r w:rsidR="00912B20" w:rsidRPr="00E65655">
              <w:rPr>
                <w:rFonts w:cs="Arial"/>
                <w:szCs w:val="20"/>
              </w:rPr>
              <w:t>1</w:t>
            </w:r>
            <w:r w:rsidR="000D5DD3" w:rsidRPr="00E65655">
              <w:rPr>
                <w:rFonts w:cs="Arial"/>
                <w:szCs w:val="20"/>
              </w:rPr>
              <w:t xml:space="preserve"> to</w:t>
            </w:r>
            <w:r w:rsidR="00D744C3" w:rsidRPr="00E65655">
              <w:rPr>
                <w:rFonts w:cs="Arial"/>
                <w:szCs w:val="20"/>
              </w:rPr>
              <w:t xml:space="preserve"> </w:t>
            </w:r>
            <w:r w:rsidR="00872088" w:rsidRPr="00E65655">
              <w:rPr>
                <w:rFonts w:cs="Arial"/>
                <w:szCs w:val="20"/>
              </w:rPr>
              <w:t>5</w:t>
            </w:r>
            <w:r w:rsidR="00912B20" w:rsidRPr="00E65655">
              <w:rPr>
                <w:rFonts w:cs="Arial"/>
                <w:szCs w:val="20"/>
              </w:rPr>
              <w:t>2</w:t>
            </w:r>
            <w:r w:rsidR="00B56104" w:rsidRPr="00E65655">
              <w:rPr>
                <w:rFonts w:cs="Arial"/>
                <w:szCs w:val="20"/>
              </w:rPr>
              <w:t xml:space="preserve"> </w:t>
            </w:r>
            <w:r w:rsidRPr="00E65655">
              <w:rPr>
                <w:rFonts w:cs="Arial"/>
                <w:szCs w:val="20"/>
              </w:rPr>
              <w:t>of this document for further information of the Air Bag Mechanism</w:t>
            </w:r>
            <w:r w:rsidR="0061305D" w:rsidRPr="00E65655">
              <w:rPr>
                <w:rFonts w:cs="Arial"/>
                <w:szCs w:val="20"/>
              </w:rPr>
              <w:t>.</w:t>
            </w:r>
          </w:p>
        </w:tc>
      </w:tr>
      <w:tr w:rsidR="00720D94" w:rsidRPr="00E65655" w14:paraId="6DC09333" w14:textId="77777777" w:rsidTr="00853D4F">
        <w:tc>
          <w:tcPr>
            <w:tcW w:w="3072" w:type="dxa"/>
          </w:tcPr>
          <w:p w14:paraId="6E50DBAC" w14:textId="762BF722" w:rsidR="00720D94" w:rsidRPr="00E65655" w:rsidRDefault="00720D94" w:rsidP="00853D4F">
            <w:pPr>
              <w:pStyle w:val="PlainText"/>
              <w:spacing w:before="120" w:after="120" w:line="290" w:lineRule="auto"/>
              <w:jc w:val="both"/>
              <w:rPr>
                <w:rFonts w:ascii="Arial" w:hAnsi="Arial" w:cs="Arial"/>
              </w:rPr>
            </w:pPr>
            <w:r w:rsidRPr="00E65655">
              <w:rPr>
                <w:rFonts w:ascii="Arial" w:hAnsi="Arial" w:cs="Arial"/>
              </w:rPr>
              <w:t>Adjustments and Extraordinary Events:</w:t>
            </w:r>
          </w:p>
        </w:tc>
        <w:tc>
          <w:tcPr>
            <w:tcW w:w="6306" w:type="dxa"/>
          </w:tcPr>
          <w:p w14:paraId="2F085563" w14:textId="0FB4B942" w:rsidR="00720D94" w:rsidRPr="00E65655" w:rsidRDefault="00720D94" w:rsidP="00853D4F">
            <w:pPr>
              <w:pStyle w:val="PlainText"/>
              <w:spacing w:before="120" w:after="120" w:line="290" w:lineRule="auto"/>
              <w:jc w:val="both"/>
              <w:rPr>
                <w:rFonts w:ascii="Arial" w:hAnsi="Arial" w:cs="Arial"/>
              </w:rPr>
            </w:pPr>
            <w:r w:rsidRPr="00E65655">
              <w:rPr>
                <w:rFonts w:ascii="Arial" w:hAnsi="Arial" w:cs="Arial"/>
              </w:rPr>
              <w:t xml:space="preserve">The Issuer has the right to </w:t>
            </w:r>
            <w:proofErr w:type="gramStart"/>
            <w:r w:rsidRPr="00E65655">
              <w:rPr>
                <w:rFonts w:ascii="Arial" w:hAnsi="Arial" w:cs="Arial"/>
              </w:rPr>
              <w:t>make adjustments to</w:t>
            </w:r>
            <w:proofErr w:type="gramEnd"/>
            <w:r w:rsidRPr="00E65655">
              <w:rPr>
                <w:rFonts w:ascii="Arial" w:hAnsi="Arial" w:cs="Arial"/>
              </w:rPr>
              <w:t xml:space="preserve"> the terms of the Certificates if certain events, including any capitalisation issue, rights issue, extraordinary distributions, merger, delisting, insolvency (as more specifically set out in the terms and conditions of the Certificates) occur in respect of the Underlying Stock. For the avoidance of doubt, no notice will be given if the Issuer determines that adjustments will not be made.</w:t>
            </w:r>
          </w:p>
        </w:tc>
      </w:tr>
      <w:tr w:rsidR="00EF0352" w:rsidRPr="00E65655" w14:paraId="1CBF4BDC" w14:textId="77777777" w:rsidTr="00853D4F">
        <w:tc>
          <w:tcPr>
            <w:tcW w:w="3072" w:type="dxa"/>
          </w:tcPr>
          <w:p w14:paraId="3AD8F199" w14:textId="77777777" w:rsidR="00EF0352" w:rsidRPr="00E65655" w:rsidRDefault="003F66C9" w:rsidP="00853D4F">
            <w:pPr>
              <w:pStyle w:val="PlainText"/>
              <w:spacing w:before="120" w:after="120" w:line="290" w:lineRule="auto"/>
              <w:jc w:val="both"/>
              <w:rPr>
                <w:rFonts w:ascii="Arial" w:hAnsi="Arial" w:cs="Arial"/>
              </w:rPr>
            </w:pPr>
            <w:r w:rsidRPr="00E65655">
              <w:rPr>
                <w:rFonts w:ascii="Arial" w:hAnsi="Arial" w:cs="Arial"/>
              </w:rPr>
              <w:t>Underlying Stock</w:t>
            </w:r>
            <w:r w:rsidR="00EF0352" w:rsidRPr="00E65655">
              <w:rPr>
                <w:rFonts w:ascii="Arial" w:hAnsi="Arial" w:cs="Arial"/>
              </w:rPr>
              <w:t xml:space="preserve"> Currency:</w:t>
            </w:r>
          </w:p>
        </w:tc>
        <w:tc>
          <w:tcPr>
            <w:tcW w:w="6306" w:type="dxa"/>
          </w:tcPr>
          <w:p w14:paraId="73AF077D" w14:textId="2333CDA7" w:rsidR="0067308C" w:rsidRPr="00E65655" w:rsidRDefault="000932A7" w:rsidP="00853D4F">
            <w:pPr>
              <w:pStyle w:val="PlainText"/>
              <w:spacing w:before="120" w:after="120" w:line="290" w:lineRule="auto"/>
              <w:jc w:val="both"/>
              <w:rPr>
                <w:rFonts w:ascii="Arial" w:hAnsi="Arial" w:cs="Arial"/>
              </w:rPr>
            </w:pPr>
            <w:r w:rsidRPr="00E65655">
              <w:rPr>
                <w:rFonts w:ascii="Arial" w:hAnsi="Arial" w:cs="Arial"/>
              </w:rPr>
              <w:t>Singapore Dollar (“</w:t>
            </w:r>
            <w:r w:rsidRPr="00E65655">
              <w:rPr>
                <w:rFonts w:ascii="Arial" w:hAnsi="Arial" w:cs="Arial"/>
                <w:b/>
              </w:rPr>
              <w:t>SGD</w:t>
            </w:r>
            <w:r w:rsidRPr="00E65655">
              <w:rPr>
                <w:rFonts w:ascii="Arial" w:hAnsi="Arial" w:cs="Arial"/>
              </w:rPr>
              <w:t>”)</w:t>
            </w:r>
          </w:p>
        </w:tc>
      </w:tr>
      <w:tr w:rsidR="00EF0352" w:rsidRPr="00E65655" w14:paraId="3B4D53E8" w14:textId="77777777" w:rsidTr="00853D4F">
        <w:tc>
          <w:tcPr>
            <w:tcW w:w="3072" w:type="dxa"/>
          </w:tcPr>
          <w:p w14:paraId="71CDFDBA" w14:textId="77777777" w:rsidR="00EF0352" w:rsidRPr="00E65655" w:rsidRDefault="00EF0352" w:rsidP="00853D4F">
            <w:pPr>
              <w:pStyle w:val="PlainText"/>
              <w:spacing w:before="120" w:after="120" w:line="290" w:lineRule="auto"/>
              <w:jc w:val="both"/>
              <w:rPr>
                <w:rFonts w:ascii="Arial" w:hAnsi="Arial" w:cs="Arial"/>
              </w:rPr>
            </w:pPr>
            <w:r w:rsidRPr="00E65655">
              <w:rPr>
                <w:rFonts w:ascii="Arial" w:hAnsi="Arial" w:cs="Arial"/>
              </w:rPr>
              <w:t>Settlement Currency:</w:t>
            </w:r>
          </w:p>
        </w:tc>
        <w:tc>
          <w:tcPr>
            <w:tcW w:w="6306" w:type="dxa"/>
          </w:tcPr>
          <w:p w14:paraId="399F9CC0" w14:textId="15654DBF" w:rsidR="0067308C" w:rsidRPr="00E65655" w:rsidRDefault="000932A7" w:rsidP="00853D4F">
            <w:pPr>
              <w:pStyle w:val="PlainText"/>
              <w:spacing w:before="120" w:after="120" w:line="290" w:lineRule="auto"/>
              <w:jc w:val="both"/>
              <w:rPr>
                <w:rFonts w:ascii="Arial" w:hAnsi="Arial" w:cs="Arial"/>
              </w:rPr>
            </w:pPr>
            <w:r w:rsidRPr="00E65655">
              <w:rPr>
                <w:rFonts w:ascii="Arial" w:hAnsi="Arial" w:cs="Arial"/>
              </w:rPr>
              <w:t>SGD</w:t>
            </w:r>
          </w:p>
        </w:tc>
      </w:tr>
      <w:tr w:rsidR="00EF0352" w:rsidRPr="00E65655" w14:paraId="69F627EE" w14:textId="77777777" w:rsidTr="00853D4F">
        <w:tc>
          <w:tcPr>
            <w:tcW w:w="3072" w:type="dxa"/>
          </w:tcPr>
          <w:p w14:paraId="2098C32D" w14:textId="77777777" w:rsidR="00EF0352" w:rsidRPr="00E65655" w:rsidRDefault="00EF0352" w:rsidP="00853D4F">
            <w:pPr>
              <w:pStyle w:val="PlainText"/>
              <w:spacing w:before="120" w:after="120" w:line="290" w:lineRule="auto"/>
              <w:jc w:val="both"/>
              <w:rPr>
                <w:rFonts w:ascii="Arial" w:hAnsi="Arial" w:cs="Arial"/>
              </w:rPr>
            </w:pPr>
            <w:r w:rsidRPr="00E65655">
              <w:rPr>
                <w:rFonts w:ascii="Arial" w:hAnsi="Arial" w:cs="Arial"/>
              </w:rPr>
              <w:t>Exercise Expenses:</w:t>
            </w:r>
          </w:p>
        </w:tc>
        <w:tc>
          <w:tcPr>
            <w:tcW w:w="6306" w:type="dxa"/>
          </w:tcPr>
          <w:p w14:paraId="3149740F" w14:textId="6A645633" w:rsidR="00B63FF9" w:rsidRPr="00E65655" w:rsidRDefault="00EF0352" w:rsidP="00853D4F">
            <w:pPr>
              <w:pStyle w:val="PlainText"/>
              <w:spacing w:before="120" w:after="120" w:line="290" w:lineRule="auto"/>
              <w:jc w:val="both"/>
              <w:rPr>
                <w:rFonts w:ascii="Arial" w:hAnsi="Arial" w:cs="Arial"/>
              </w:rPr>
            </w:pPr>
            <w:r w:rsidRPr="00E65655">
              <w:rPr>
                <w:rFonts w:ascii="Arial" w:hAnsi="Arial" w:cs="Arial"/>
              </w:rPr>
              <w:t>Certificate</w:t>
            </w:r>
            <w:r w:rsidR="0028785E" w:rsidRPr="00E65655">
              <w:rPr>
                <w:rFonts w:ascii="Arial" w:hAnsi="Arial" w:cs="Arial"/>
              </w:rPr>
              <w:t xml:space="preserve"> Holders</w:t>
            </w:r>
            <w:r w:rsidRPr="00E65655">
              <w:rPr>
                <w:rFonts w:ascii="Arial" w:hAnsi="Arial" w:cs="Arial"/>
              </w:rPr>
              <w:t xml:space="preserve"> will be required to pay all charges which are</w:t>
            </w:r>
            <w:r w:rsidR="0028785E" w:rsidRPr="00E65655">
              <w:rPr>
                <w:rFonts w:ascii="Arial" w:hAnsi="Arial" w:cs="Arial"/>
              </w:rPr>
              <w:t xml:space="preserve"> </w:t>
            </w:r>
            <w:r w:rsidRPr="00E65655">
              <w:rPr>
                <w:rFonts w:ascii="Arial" w:hAnsi="Arial" w:cs="Arial"/>
              </w:rPr>
              <w:t>incurred in respect of the exercise of the Certificates.</w:t>
            </w:r>
          </w:p>
        </w:tc>
      </w:tr>
      <w:tr w:rsidR="00C356C0" w:rsidRPr="00E65655" w14:paraId="123559F4" w14:textId="77777777" w:rsidTr="00853D4F">
        <w:tc>
          <w:tcPr>
            <w:tcW w:w="3072" w:type="dxa"/>
          </w:tcPr>
          <w:p w14:paraId="3B3C6B23" w14:textId="264BDD1D" w:rsidR="00CA6411" w:rsidRPr="00E65655" w:rsidRDefault="00C356C0" w:rsidP="00853D4F">
            <w:pPr>
              <w:pStyle w:val="PlainText"/>
              <w:spacing w:before="120" w:after="120" w:line="290" w:lineRule="auto"/>
              <w:jc w:val="both"/>
              <w:rPr>
                <w:rFonts w:ascii="Arial" w:hAnsi="Arial" w:cs="Arial"/>
              </w:rPr>
            </w:pPr>
            <w:r w:rsidRPr="00E65655">
              <w:rPr>
                <w:rFonts w:ascii="Arial" w:hAnsi="Arial" w:cs="Arial"/>
              </w:rPr>
              <w:t>Relevant Stock Exchange for the Certificates</w:t>
            </w:r>
            <w:r w:rsidR="00844194" w:rsidRPr="00E65655">
              <w:rPr>
                <w:rFonts w:ascii="Arial" w:hAnsi="Arial" w:cs="Arial"/>
              </w:rPr>
              <w:t>:</w:t>
            </w:r>
          </w:p>
        </w:tc>
        <w:tc>
          <w:tcPr>
            <w:tcW w:w="6306" w:type="dxa"/>
          </w:tcPr>
          <w:p w14:paraId="17E6F443" w14:textId="00E941AF" w:rsidR="00C356C0" w:rsidRPr="00E65655" w:rsidRDefault="00AE1972" w:rsidP="00853D4F">
            <w:pPr>
              <w:pStyle w:val="PlainText"/>
              <w:spacing w:before="120" w:after="120" w:line="290" w:lineRule="auto"/>
              <w:jc w:val="both"/>
              <w:rPr>
                <w:rFonts w:ascii="Arial" w:hAnsi="Arial" w:cs="Arial"/>
              </w:rPr>
            </w:pPr>
            <w:r w:rsidRPr="00E65655">
              <w:rPr>
                <w:rFonts w:ascii="Arial" w:hAnsi="Arial" w:cs="Arial"/>
              </w:rPr>
              <w:t xml:space="preserve">The </w:t>
            </w:r>
            <w:r w:rsidR="00844194" w:rsidRPr="00E65655">
              <w:rPr>
                <w:rFonts w:ascii="Arial" w:hAnsi="Arial" w:cs="Arial"/>
              </w:rPr>
              <w:t>Singapore Exchange Securities Trading Limited (</w:t>
            </w:r>
            <w:r w:rsidR="005465E8" w:rsidRPr="00E65655">
              <w:rPr>
                <w:rFonts w:ascii="Arial" w:hAnsi="Arial" w:cs="Arial"/>
              </w:rPr>
              <w:t xml:space="preserve">the </w:t>
            </w:r>
            <w:r w:rsidR="00844194" w:rsidRPr="00E65655">
              <w:rPr>
                <w:rFonts w:ascii="Arial" w:hAnsi="Arial" w:cs="Arial"/>
              </w:rPr>
              <w:t>“</w:t>
            </w:r>
            <w:r w:rsidR="00844194" w:rsidRPr="00E65655">
              <w:rPr>
                <w:rFonts w:ascii="Arial" w:hAnsi="Arial" w:cs="Arial"/>
                <w:b/>
              </w:rPr>
              <w:t>SGX-ST</w:t>
            </w:r>
            <w:r w:rsidR="00844194" w:rsidRPr="00E65655">
              <w:rPr>
                <w:rFonts w:ascii="Arial" w:hAnsi="Arial" w:cs="Arial"/>
              </w:rPr>
              <w:t>”)</w:t>
            </w:r>
          </w:p>
        </w:tc>
      </w:tr>
      <w:tr w:rsidR="004F6E28" w:rsidRPr="00E65655" w14:paraId="47B98E77" w14:textId="77777777" w:rsidTr="00853D4F">
        <w:tc>
          <w:tcPr>
            <w:tcW w:w="3072" w:type="dxa"/>
          </w:tcPr>
          <w:p w14:paraId="60033873" w14:textId="476E5B4E" w:rsidR="00CA6411" w:rsidRPr="00E65655" w:rsidRDefault="001B08DE" w:rsidP="00853D4F">
            <w:pPr>
              <w:pStyle w:val="PlainText"/>
              <w:spacing w:before="120" w:after="120" w:line="290" w:lineRule="auto"/>
              <w:jc w:val="both"/>
              <w:rPr>
                <w:rFonts w:ascii="Arial" w:hAnsi="Arial" w:cs="Arial"/>
              </w:rPr>
            </w:pPr>
            <w:r w:rsidRPr="00E65655">
              <w:rPr>
                <w:rFonts w:ascii="Arial" w:hAnsi="Arial" w:cs="Arial"/>
              </w:rPr>
              <w:t>Relevant Stock Exchange</w:t>
            </w:r>
            <w:r w:rsidR="00C356C0" w:rsidRPr="00E65655">
              <w:rPr>
                <w:rFonts w:ascii="Arial" w:hAnsi="Arial" w:cs="Arial"/>
              </w:rPr>
              <w:t xml:space="preserve"> for the </w:t>
            </w:r>
            <w:r w:rsidR="003F66C9" w:rsidRPr="00E65655">
              <w:rPr>
                <w:rFonts w:ascii="Arial" w:hAnsi="Arial" w:cs="Arial"/>
              </w:rPr>
              <w:t>Underlying Stock</w:t>
            </w:r>
            <w:r w:rsidRPr="00E65655">
              <w:rPr>
                <w:rFonts w:ascii="Arial" w:hAnsi="Arial" w:cs="Arial"/>
              </w:rPr>
              <w:t>:</w:t>
            </w:r>
          </w:p>
        </w:tc>
        <w:tc>
          <w:tcPr>
            <w:tcW w:w="6306" w:type="dxa"/>
          </w:tcPr>
          <w:p w14:paraId="7AEBEB94" w14:textId="6FB19AE5" w:rsidR="0067308C" w:rsidRPr="00E65655" w:rsidRDefault="00844194" w:rsidP="00853D4F">
            <w:pPr>
              <w:pStyle w:val="PlainText"/>
              <w:spacing w:before="120" w:after="120" w:line="290" w:lineRule="auto"/>
              <w:jc w:val="both"/>
              <w:rPr>
                <w:rFonts w:ascii="Arial" w:hAnsi="Arial" w:cs="Arial"/>
              </w:rPr>
            </w:pPr>
            <w:r w:rsidRPr="00E65655">
              <w:rPr>
                <w:rFonts w:ascii="Arial" w:hAnsi="Arial" w:cs="Arial"/>
              </w:rPr>
              <w:t xml:space="preserve">The </w:t>
            </w:r>
            <w:r w:rsidR="00F322BD" w:rsidRPr="00E65655">
              <w:rPr>
                <w:rFonts w:ascii="Arial" w:hAnsi="Arial" w:cs="Arial"/>
              </w:rPr>
              <w:t>SGX-ST</w:t>
            </w:r>
          </w:p>
        </w:tc>
      </w:tr>
      <w:tr w:rsidR="00203C0C" w:rsidRPr="00E65655" w14:paraId="396550C0" w14:textId="77777777" w:rsidTr="00853D4F">
        <w:tc>
          <w:tcPr>
            <w:tcW w:w="3072" w:type="dxa"/>
          </w:tcPr>
          <w:p w14:paraId="349B5541" w14:textId="60585ABC" w:rsidR="00203C0C" w:rsidRPr="00E65655" w:rsidRDefault="004E43BF" w:rsidP="00853D4F">
            <w:pPr>
              <w:pStyle w:val="PlainText"/>
              <w:spacing w:before="120" w:after="120" w:line="290" w:lineRule="auto"/>
              <w:jc w:val="both"/>
              <w:rPr>
                <w:rFonts w:ascii="Arial" w:hAnsi="Arial" w:cs="Arial"/>
              </w:rPr>
            </w:pPr>
            <w:r w:rsidRPr="00E65655">
              <w:rPr>
                <w:rFonts w:ascii="Arial" w:hAnsi="Arial" w:cs="Arial"/>
              </w:rPr>
              <w:lastRenderedPageBreak/>
              <w:t xml:space="preserve">Business Day, Settlement </w:t>
            </w:r>
            <w:r w:rsidR="00CA6411" w:rsidRPr="00E65655">
              <w:rPr>
                <w:rFonts w:ascii="Arial" w:hAnsi="Arial" w:cs="Arial"/>
              </w:rPr>
              <w:t xml:space="preserve">Business Day and </w:t>
            </w:r>
            <w:r w:rsidR="001B08DE" w:rsidRPr="00E65655">
              <w:rPr>
                <w:rFonts w:ascii="Arial" w:hAnsi="Arial" w:cs="Arial"/>
              </w:rPr>
              <w:t>Exchange Business Day:</w:t>
            </w:r>
          </w:p>
        </w:tc>
        <w:tc>
          <w:tcPr>
            <w:tcW w:w="6306" w:type="dxa"/>
          </w:tcPr>
          <w:p w14:paraId="33936A64" w14:textId="28B9AB5F" w:rsidR="00203C0C" w:rsidRPr="00E65655" w:rsidRDefault="00CA6411" w:rsidP="00853D4F">
            <w:pPr>
              <w:spacing w:before="120" w:after="120" w:line="290" w:lineRule="auto"/>
              <w:jc w:val="both"/>
              <w:rPr>
                <w:rFonts w:cs="Arial"/>
                <w:szCs w:val="20"/>
                <w:lang w:eastAsia="zh-CN"/>
              </w:rPr>
            </w:pPr>
            <w:r w:rsidRPr="00E65655">
              <w:rPr>
                <w:rFonts w:cs="Arial"/>
                <w:szCs w:val="20"/>
              </w:rPr>
              <w:t>A “</w:t>
            </w:r>
            <w:r w:rsidRPr="00E65655">
              <w:rPr>
                <w:rFonts w:cs="Arial"/>
                <w:b/>
                <w:szCs w:val="20"/>
              </w:rPr>
              <w:t>Business Day</w:t>
            </w:r>
            <w:r w:rsidRPr="00E65655">
              <w:rPr>
                <w:rFonts w:cs="Arial"/>
                <w:szCs w:val="20"/>
              </w:rPr>
              <w:t>”</w:t>
            </w:r>
            <w:r w:rsidR="004E43BF" w:rsidRPr="00E65655">
              <w:rPr>
                <w:rFonts w:cs="Arial"/>
                <w:szCs w:val="20"/>
              </w:rPr>
              <w:t>, a “</w:t>
            </w:r>
            <w:r w:rsidR="004E43BF" w:rsidRPr="00E65655">
              <w:rPr>
                <w:rFonts w:cs="Arial"/>
                <w:b/>
                <w:bCs/>
                <w:szCs w:val="20"/>
              </w:rPr>
              <w:t>Settlement Business Day</w:t>
            </w:r>
            <w:r w:rsidR="004E43BF" w:rsidRPr="00E65655">
              <w:rPr>
                <w:rFonts w:cs="Arial"/>
                <w:szCs w:val="20"/>
              </w:rPr>
              <w:t>”</w:t>
            </w:r>
            <w:r w:rsidRPr="00E65655">
              <w:rPr>
                <w:rFonts w:cs="Arial"/>
                <w:szCs w:val="20"/>
              </w:rPr>
              <w:t xml:space="preserve"> </w:t>
            </w:r>
            <w:r w:rsidR="00E204D3" w:rsidRPr="00E65655">
              <w:rPr>
                <w:rFonts w:cs="Arial"/>
                <w:szCs w:val="20"/>
              </w:rPr>
              <w:t>or an “</w:t>
            </w:r>
            <w:r w:rsidR="00E204D3" w:rsidRPr="00E65655">
              <w:rPr>
                <w:rFonts w:cs="Arial"/>
                <w:b/>
                <w:szCs w:val="20"/>
              </w:rPr>
              <w:t>Exchange Business Day</w:t>
            </w:r>
            <w:r w:rsidR="00E204D3" w:rsidRPr="00E65655">
              <w:rPr>
                <w:rFonts w:cs="Arial"/>
                <w:szCs w:val="20"/>
              </w:rPr>
              <w:t xml:space="preserve">” </w:t>
            </w:r>
            <w:r w:rsidRPr="00E65655">
              <w:rPr>
                <w:rFonts w:cs="Arial"/>
                <w:szCs w:val="20"/>
              </w:rPr>
              <w:t>is a day on which the SGX-ST is open for dealings in Singapore during its normal trading hours and banks are open for business in Singapore.</w:t>
            </w:r>
          </w:p>
        </w:tc>
      </w:tr>
      <w:tr w:rsidR="004F6E28" w:rsidRPr="00E65655" w14:paraId="553D0D03" w14:textId="77777777" w:rsidTr="00853D4F">
        <w:tc>
          <w:tcPr>
            <w:tcW w:w="3072" w:type="dxa"/>
          </w:tcPr>
          <w:p w14:paraId="7ED7A818" w14:textId="77777777" w:rsidR="004F6E28" w:rsidRPr="00E65655" w:rsidRDefault="004F6E28" w:rsidP="00853D4F">
            <w:pPr>
              <w:pStyle w:val="PlainText"/>
              <w:spacing w:before="120" w:after="120" w:line="290" w:lineRule="auto"/>
              <w:jc w:val="both"/>
              <w:rPr>
                <w:rFonts w:ascii="Arial" w:hAnsi="Arial" w:cs="Arial"/>
              </w:rPr>
            </w:pPr>
            <w:r w:rsidRPr="00E65655">
              <w:rPr>
                <w:rFonts w:ascii="Arial" w:hAnsi="Arial" w:cs="Arial"/>
              </w:rPr>
              <w:t>Warrant Agent:</w:t>
            </w:r>
          </w:p>
        </w:tc>
        <w:tc>
          <w:tcPr>
            <w:tcW w:w="6306" w:type="dxa"/>
          </w:tcPr>
          <w:p w14:paraId="0AF78885" w14:textId="38428DC4" w:rsidR="0067308C" w:rsidRPr="00E65655" w:rsidRDefault="00203C0C" w:rsidP="00853D4F">
            <w:pPr>
              <w:pStyle w:val="PlainText"/>
              <w:spacing w:before="120" w:after="120" w:line="290" w:lineRule="auto"/>
              <w:jc w:val="both"/>
              <w:rPr>
                <w:rFonts w:ascii="Arial" w:hAnsi="Arial" w:cs="Arial"/>
              </w:rPr>
            </w:pPr>
            <w:r w:rsidRPr="00E65655">
              <w:rPr>
                <w:rFonts w:ascii="Arial" w:hAnsi="Arial" w:cs="Arial"/>
              </w:rPr>
              <w:t>The Central Depository (Pte) Limited (“</w:t>
            </w:r>
            <w:r w:rsidRPr="00E65655">
              <w:rPr>
                <w:rFonts w:ascii="Arial" w:hAnsi="Arial" w:cs="Arial"/>
                <w:b/>
              </w:rPr>
              <w:t>CDP</w:t>
            </w:r>
            <w:r w:rsidRPr="00E65655">
              <w:rPr>
                <w:rFonts w:ascii="Arial" w:hAnsi="Arial" w:cs="Arial"/>
              </w:rPr>
              <w:t>”)</w:t>
            </w:r>
          </w:p>
        </w:tc>
      </w:tr>
      <w:tr w:rsidR="00203C0C" w:rsidRPr="00E65655" w14:paraId="09FE274C" w14:textId="77777777" w:rsidTr="00853D4F">
        <w:tc>
          <w:tcPr>
            <w:tcW w:w="3072" w:type="dxa"/>
          </w:tcPr>
          <w:p w14:paraId="22291CDC" w14:textId="77777777" w:rsidR="00203C0C" w:rsidRPr="00E65655" w:rsidRDefault="00203C0C" w:rsidP="00380DB3">
            <w:pPr>
              <w:pStyle w:val="PlainText"/>
              <w:spacing w:before="120" w:after="120" w:line="286" w:lineRule="auto"/>
              <w:jc w:val="both"/>
              <w:rPr>
                <w:rFonts w:ascii="Arial" w:hAnsi="Arial" w:cs="Arial"/>
              </w:rPr>
            </w:pPr>
            <w:r w:rsidRPr="00E65655">
              <w:rPr>
                <w:rFonts w:ascii="Arial" w:hAnsi="Arial" w:cs="Arial"/>
              </w:rPr>
              <w:t>Clearing System:</w:t>
            </w:r>
          </w:p>
        </w:tc>
        <w:tc>
          <w:tcPr>
            <w:tcW w:w="6306" w:type="dxa"/>
          </w:tcPr>
          <w:p w14:paraId="54277D48" w14:textId="6C457603" w:rsidR="0067308C" w:rsidRPr="00E65655" w:rsidRDefault="00203C0C" w:rsidP="00380DB3">
            <w:pPr>
              <w:pStyle w:val="PlainText"/>
              <w:spacing w:before="120" w:after="120" w:line="286" w:lineRule="auto"/>
              <w:jc w:val="both"/>
              <w:rPr>
                <w:rFonts w:ascii="Arial" w:hAnsi="Arial" w:cs="Arial"/>
              </w:rPr>
            </w:pPr>
            <w:r w:rsidRPr="00E65655">
              <w:rPr>
                <w:rFonts w:ascii="Arial" w:hAnsi="Arial" w:cs="Arial"/>
              </w:rPr>
              <w:t>CDP</w:t>
            </w:r>
          </w:p>
        </w:tc>
      </w:tr>
      <w:tr w:rsidR="00203C0C" w:rsidRPr="00E65655" w14:paraId="461FF35D" w14:textId="77777777" w:rsidTr="00853D4F">
        <w:tc>
          <w:tcPr>
            <w:tcW w:w="3072" w:type="dxa"/>
          </w:tcPr>
          <w:p w14:paraId="763656EA" w14:textId="77777777" w:rsidR="00203C0C" w:rsidRPr="00E65655" w:rsidRDefault="00203C0C" w:rsidP="00380DB3">
            <w:pPr>
              <w:pStyle w:val="PlainText"/>
              <w:spacing w:before="120" w:after="120" w:line="286" w:lineRule="auto"/>
              <w:jc w:val="both"/>
              <w:rPr>
                <w:rFonts w:ascii="Arial" w:hAnsi="Arial" w:cs="Arial"/>
              </w:rPr>
            </w:pPr>
            <w:r w:rsidRPr="00E65655">
              <w:rPr>
                <w:rFonts w:ascii="Arial" w:hAnsi="Arial" w:cs="Arial"/>
              </w:rPr>
              <w:t>Fees and Charges:</w:t>
            </w:r>
          </w:p>
        </w:tc>
        <w:tc>
          <w:tcPr>
            <w:tcW w:w="6306" w:type="dxa"/>
          </w:tcPr>
          <w:p w14:paraId="1DB133B7" w14:textId="77777777" w:rsidR="00203C0C" w:rsidRPr="00E65655" w:rsidRDefault="00203C0C" w:rsidP="00380DB3">
            <w:pPr>
              <w:pStyle w:val="PlainText"/>
              <w:spacing w:before="120" w:after="120" w:line="286" w:lineRule="auto"/>
              <w:jc w:val="both"/>
              <w:rPr>
                <w:rFonts w:ascii="Arial" w:hAnsi="Arial" w:cs="Arial"/>
              </w:rPr>
            </w:pPr>
            <w:r w:rsidRPr="00E65655">
              <w:rPr>
                <w:rFonts w:ascii="Arial" w:hAnsi="Arial" w:cs="Arial"/>
              </w:rPr>
              <w:t xml:space="preserve">Normal transaction and brokerage fees shall apply to the trading of </w:t>
            </w:r>
            <w:r w:rsidR="00C01FB5" w:rsidRPr="00E65655">
              <w:rPr>
                <w:rFonts w:ascii="Arial" w:hAnsi="Arial" w:cs="Arial"/>
              </w:rPr>
              <w:t>the Certificates</w:t>
            </w:r>
            <w:r w:rsidRPr="00E65655">
              <w:rPr>
                <w:rFonts w:ascii="Arial" w:hAnsi="Arial" w:cs="Arial"/>
              </w:rPr>
              <w:t xml:space="preserve"> on the SGX-ST. Investors should note that they may be required to pay stamp taxes or other documentary charges in</w:t>
            </w:r>
            <w:r w:rsidR="00C01FB5" w:rsidRPr="00E65655">
              <w:rPr>
                <w:rFonts w:ascii="Arial" w:hAnsi="Arial" w:cs="Arial"/>
              </w:rPr>
              <w:t xml:space="preserve"> </w:t>
            </w:r>
            <w:r w:rsidRPr="00E65655">
              <w:rPr>
                <w:rFonts w:ascii="Arial" w:hAnsi="Arial" w:cs="Arial"/>
              </w:rPr>
              <w:t>accordance with the laws and practices of the country where the</w:t>
            </w:r>
            <w:r w:rsidR="00C01FB5" w:rsidRPr="00E65655">
              <w:rPr>
                <w:rFonts w:ascii="Arial" w:hAnsi="Arial" w:cs="Arial"/>
              </w:rPr>
              <w:t xml:space="preserve"> Certificate</w:t>
            </w:r>
            <w:r w:rsidRPr="00E65655">
              <w:rPr>
                <w:rFonts w:ascii="Arial" w:hAnsi="Arial" w:cs="Arial"/>
              </w:rPr>
              <w:t>s are transferred. Investors who are in any doubt as to their</w:t>
            </w:r>
            <w:r w:rsidR="00C01FB5" w:rsidRPr="00E65655">
              <w:rPr>
                <w:rFonts w:ascii="Arial" w:hAnsi="Arial" w:cs="Arial"/>
              </w:rPr>
              <w:t xml:space="preserve"> </w:t>
            </w:r>
            <w:r w:rsidRPr="00E65655">
              <w:rPr>
                <w:rFonts w:ascii="Arial" w:hAnsi="Arial" w:cs="Arial"/>
              </w:rPr>
              <w:t>tax position should consult their own independent tax advisers. In</w:t>
            </w:r>
            <w:r w:rsidR="00C01FB5" w:rsidRPr="00E65655">
              <w:rPr>
                <w:rFonts w:ascii="Arial" w:hAnsi="Arial" w:cs="Arial"/>
              </w:rPr>
              <w:t xml:space="preserve"> </w:t>
            </w:r>
            <w:r w:rsidRPr="00E65655">
              <w:rPr>
                <w:rFonts w:ascii="Arial" w:hAnsi="Arial" w:cs="Arial"/>
              </w:rPr>
              <w:t>addition, investors should be aware that tax regulations and their</w:t>
            </w:r>
            <w:r w:rsidR="00C01FB5" w:rsidRPr="00E65655">
              <w:rPr>
                <w:rFonts w:ascii="Arial" w:hAnsi="Arial" w:cs="Arial"/>
              </w:rPr>
              <w:t xml:space="preserve"> </w:t>
            </w:r>
            <w:r w:rsidRPr="00E65655">
              <w:rPr>
                <w:rFonts w:ascii="Arial" w:hAnsi="Arial" w:cs="Arial"/>
              </w:rPr>
              <w:t>application by the relevant taxation authorities change from time to</w:t>
            </w:r>
            <w:r w:rsidR="00C01FB5" w:rsidRPr="00E65655">
              <w:rPr>
                <w:rFonts w:ascii="Arial" w:hAnsi="Arial" w:cs="Arial"/>
              </w:rPr>
              <w:t xml:space="preserve"> </w:t>
            </w:r>
            <w:r w:rsidRPr="00E65655">
              <w:rPr>
                <w:rFonts w:ascii="Arial" w:hAnsi="Arial" w:cs="Arial"/>
              </w:rPr>
              <w:t>time. Accordingly, it is not possible to predict the precise tax</w:t>
            </w:r>
            <w:r w:rsidR="00C01FB5" w:rsidRPr="00E65655">
              <w:rPr>
                <w:rFonts w:ascii="Arial" w:hAnsi="Arial" w:cs="Arial"/>
              </w:rPr>
              <w:t xml:space="preserve"> </w:t>
            </w:r>
            <w:r w:rsidRPr="00E65655">
              <w:rPr>
                <w:rFonts w:ascii="Arial" w:hAnsi="Arial" w:cs="Arial"/>
              </w:rPr>
              <w:t>treatment which will apply at any given time.</w:t>
            </w:r>
          </w:p>
          <w:p w14:paraId="07A0FD3E" w14:textId="3FCD3AD0" w:rsidR="00DB3102" w:rsidRPr="00E65655" w:rsidRDefault="0071786D" w:rsidP="00380DB3">
            <w:pPr>
              <w:pStyle w:val="PlainText"/>
              <w:spacing w:before="120" w:after="120" w:line="286" w:lineRule="auto"/>
              <w:jc w:val="both"/>
              <w:rPr>
                <w:rFonts w:ascii="Arial" w:hAnsi="Arial" w:cs="Arial"/>
              </w:rPr>
            </w:pPr>
            <w:r w:rsidRPr="00E65655">
              <w:rPr>
                <w:rFonts w:ascii="Arial" w:hAnsi="Arial" w:cs="Arial"/>
              </w:rPr>
              <w:t>Investors</w:t>
            </w:r>
            <w:r w:rsidR="00635E0D" w:rsidRPr="00E65655">
              <w:rPr>
                <w:rFonts w:ascii="Arial" w:hAnsi="Arial" w:cs="Arial"/>
              </w:rPr>
              <w:t xml:space="preserve"> holding position overnight would also</w:t>
            </w:r>
            <w:r w:rsidRPr="00E65655">
              <w:rPr>
                <w:rFonts w:ascii="Arial" w:hAnsi="Arial" w:cs="Arial"/>
              </w:rPr>
              <w:t xml:space="preserve"> </w:t>
            </w:r>
            <w:r w:rsidR="00635E0D" w:rsidRPr="00E65655">
              <w:rPr>
                <w:rFonts w:ascii="Arial" w:hAnsi="Arial" w:cs="Arial"/>
              </w:rPr>
              <w:t>be</w:t>
            </w:r>
            <w:r w:rsidRPr="00E65655">
              <w:rPr>
                <w:rFonts w:ascii="Arial" w:hAnsi="Arial" w:cs="Arial"/>
              </w:rPr>
              <w:t xml:space="preserve"> required to bear the Management Fee and </w:t>
            </w:r>
            <w:r w:rsidR="00993621" w:rsidRPr="00E65655">
              <w:rPr>
                <w:rFonts w:ascii="Arial" w:hAnsi="Arial" w:cs="Arial"/>
              </w:rPr>
              <w:t>Gap Premium</w:t>
            </w:r>
            <w:r w:rsidR="006A189A" w:rsidRPr="00E65655">
              <w:rPr>
                <w:rFonts w:ascii="Arial" w:hAnsi="Arial" w:cs="Arial"/>
              </w:rPr>
              <w:t>, which are calculated daily and applied to the value of the Certificates</w:t>
            </w:r>
            <w:r w:rsidR="00B679F9" w:rsidRPr="00E65655">
              <w:rPr>
                <w:rFonts w:ascii="Arial" w:hAnsi="Arial" w:cs="Arial"/>
              </w:rPr>
              <w:t xml:space="preserve">, as well as certain costs embedded within the Leverage </w:t>
            </w:r>
            <w:r w:rsidR="00352D5D" w:rsidRPr="00E65655">
              <w:rPr>
                <w:rFonts w:ascii="Arial" w:hAnsi="Arial" w:cs="Arial"/>
              </w:rPr>
              <w:t xml:space="preserve">Inverse </w:t>
            </w:r>
            <w:r w:rsidR="00B679F9" w:rsidRPr="00E65655">
              <w:rPr>
                <w:rFonts w:ascii="Arial" w:hAnsi="Arial" w:cs="Arial"/>
              </w:rPr>
              <w:t xml:space="preserve">Strategy including the </w:t>
            </w:r>
            <w:r w:rsidR="008F1BFC" w:rsidRPr="00E65655">
              <w:rPr>
                <w:rFonts w:ascii="Arial" w:hAnsi="Arial" w:cs="Arial"/>
              </w:rPr>
              <w:t>Stock Borrowing</w:t>
            </w:r>
            <w:r w:rsidR="00B679F9" w:rsidRPr="00E65655">
              <w:rPr>
                <w:rFonts w:ascii="Arial" w:hAnsi="Arial" w:cs="Arial"/>
              </w:rPr>
              <w:t xml:space="preserve"> Cost and Rebalancing Cost</w:t>
            </w:r>
            <w:r w:rsidRPr="00E65655">
              <w:rPr>
                <w:rFonts w:ascii="Arial" w:hAnsi="Arial" w:cs="Arial"/>
              </w:rPr>
              <w:t xml:space="preserve">. The Management Fee may be increased up to a maximum </w:t>
            </w:r>
            <w:r w:rsidR="00E825FE" w:rsidRPr="00E65655">
              <w:rPr>
                <w:rFonts w:ascii="Arial" w:hAnsi="Arial" w:cs="Arial"/>
              </w:rPr>
              <w:t xml:space="preserve">of </w:t>
            </w:r>
            <w:r w:rsidR="008A06EB" w:rsidRPr="00E65655">
              <w:rPr>
                <w:rFonts w:ascii="Arial" w:hAnsi="Arial" w:cs="Arial"/>
              </w:rPr>
              <w:t>3</w:t>
            </w:r>
            <w:r w:rsidR="00321B24" w:rsidRPr="00E65655">
              <w:rPr>
                <w:rFonts w:ascii="Arial" w:hAnsi="Arial" w:cs="Arial"/>
              </w:rPr>
              <w:t xml:space="preserve">% p.a. </w:t>
            </w:r>
            <w:r w:rsidRPr="00E65655">
              <w:rPr>
                <w:rFonts w:ascii="Arial" w:hAnsi="Arial" w:cs="Arial"/>
              </w:rPr>
              <w:t>on giving one month’s notice to investors</w:t>
            </w:r>
            <w:r w:rsidR="00187A16" w:rsidRPr="00E65655">
              <w:rPr>
                <w:rFonts w:ascii="Arial" w:hAnsi="Arial" w:cs="Arial"/>
              </w:rPr>
              <w:t xml:space="preserve"> in accordance with the terms and conditions of the Certificates</w:t>
            </w:r>
            <w:r w:rsidRPr="00E65655">
              <w:rPr>
                <w:rFonts w:ascii="Arial" w:hAnsi="Arial" w:cs="Arial"/>
              </w:rPr>
              <w:t>.</w:t>
            </w:r>
            <w:r w:rsidR="00E825FE" w:rsidRPr="00E65655">
              <w:rPr>
                <w:rFonts w:ascii="Arial" w:hAnsi="Arial" w:cs="Arial"/>
              </w:rPr>
              <w:t xml:space="preserve"> Any increase in the Management Fee will be announced on the SGXNET.</w:t>
            </w:r>
          </w:p>
        </w:tc>
      </w:tr>
      <w:tr w:rsidR="00596D7D" w:rsidRPr="00E65655" w14:paraId="2674700F" w14:textId="77777777" w:rsidTr="00853D4F">
        <w:tc>
          <w:tcPr>
            <w:tcW w:w="3072" w:type="dxa"/>
          </w:tcPr>
          <w:p w14:paraId="52C80755" w14:textId="77777777" w:rsidR="00596D7D" w:rsidRPr="00E65655" w:rsidRDefault="00AD02DC" w:rsidP="00380DB3">
            <w:pPr>
              <w:pStyle w:val="PlainText"/>
              <w:spacing w:before="120" w:after="120" w:line="286" w:lineRule="auto"/>
              <w:jc w:val="both"/>
              <w:rPr>
                <w:rFonts w:ascii="Arial" w:hAnsi="Arial" w:cs="Arial"/>
              </w:rPr>
            </w:pPr>
            <w:r w:rsidRPr="00E65655">
              <w:rPr>
                <w:rFonts w:ascii="Arial" w:hAnsi="Arial" w:cs="Arial"/>
              </w:rPr>
              <w:t>Further Information:</w:t>
            </w:r>
          </w:p>
        </w:tc>
        <w:tc>
          <w:tcPr>
            <w:tcW w:w="6306" w:type="dxa"/>
          </w:tcPr>
          <w:p w14:paraId="5ECE2BD5" w14:textId="34D385DA" w:rsidR="00596D7D" w:rsidRPr="00E65655" w:rsidRDefault="00AD02DC" w:rsidP="00380DB3">
            <w:pPr>
              <w:pStyle w:val="PlainText"/>
              <w:spacing w:before="120" w:after="120" w:line="286" w:lineRule="auto"/>
              <w:jc w:val="both"/>
              <w:rPr>
                <w:rFonts w:ascii="Arial" w:hAnsi="Arial" w:cs="Arial"/>
              </w:rPr>
            </w:pPr>
            <w:r w:rsidRPr="00E65655">
              <w:rPr>
                <w:rFonts w:ascii="Arial" w:hAnsi="Arial" w:cs="Arial"/>
              </w:rPr>
              <w:t xml:space="preserve">Please refer to the website at </w:t>
            </w:r>
            <w:hyperlink r:id="rId8" w:history="1">
              <w:r w:rsidR="00AE1972" w:rsidRPr="00E65655">
                <w:rPr>
                  <w:rStyle w:val="Hyperlink"/>
                  <w:rFonts w:ascii="Arial" w:hAnsi="Arial" w:cs="Arial"/>
                </w:rPr>
                <w:t>dlc.socgen.com</w:t>
              </w:r>
            </w:hyperlink>
            <w:r w:rsidRPr="00E65655">
              <w:rPr>
                <w:rFonts w:ascii="Arial" w:hAnsi="Arial" w:cs="Arial"/>
              </w:rPr>
              <w:t xml:space="preserve"> for more information on the</w:t>
            </w:r>
            <w:r w:rsidR="00596D7D" w:rsidRPr="00E65655">
              <w:rPr>
                <w:rFonts w:ascii="Arial" w:hAnsi="Arial" w:cs="Arial"/>
              </w:rPr>
              <w:t xml:space="preserve"> theoretical closing price of the Certificates on the previous trading day, t</w:t>
            </w:r>
            <w:r w:rsidR="008F4B86" w:rsidRPr="00E65655">
              <w:rPr>
                <w:rFonts w:ascii="Arial" w:hAnsi="Arial" w:cs="Arial"/>
              </w:rPr>
              <w:t xml:space="preserve">he </w:t>
            </w:r>
            <w:r w:rsidR="00EA6A4E" w:rsidRPr="00E65655">
              <w:rPr>
                <w:rFonts w:ascii="Arial" w:hAnsi="Arial" w:cs="Arial"/>
              </w:rPr>
              <w:t xml:space="preserve">closing </w:t>
            </w:r>
            <w:r w:rsidR="00F85599" w:rsidRPr="00E65655">
              <w:rPr>
                <w:rFonts w:ascii="Arial" w:hAnsi="Arial" w:cs="Arial" w:hint="eastAsia"/>
                <w:lang w:eastAsia="zh-CN"/>
              </w:rPr>
              <w:t>price</w:t>
            </w:r>
            <w:r w:rsidR="00EA6A4E" w:rsidRPr="00E65655">
              <w:rPr>
                <w:rFonts w:ascii="Arial" w:hAnsi="Arial" w:cs="Arial"/>
              </w:rPr>
              <w:t xml:space="preserve"> of the </w:t>
            </w:r>
            <w:r w:rsidR="003F66C9" w:rsidRPr="00E65655">
              <w:rPr>
                <w:rFonts w:ascii="Arial" w:hAnsi="Arial" w:cs="Arial"/>
              </w:rPr>
              <w:t>Underlying Stock</w:t>
            </w:r>
            <w:r w:rsidR="00DB3102" w:rsidRPr="00E65655">
              <w:rPr>
                <w:rFonts w:ascii="Arial" w:hAnsi="Arial" w:cs="Arial"/>
              </w:rPr>
              <w:t xml:space="preserve"> on the previous trading day, the Air Bag Trigger </w:t>
            </w:r>
            <w:r w:rsidR="003231AB" w:rsidRPr="00E65655">
              <w:rPr>
                <w:rFonts w:ascii="Arial" w:hAnsi="Arial" w:cs="Arial" w:hint="eastAsia"/>
                <w:lang w:eastAsia="zh-CN"/>
              </w:rPr>
              <w:t xml:space="preserve">Price </w:t>
            </w:r>
            <w:r w:rsidR="00DB3102" w:rsidRPr="00E65655">
              <w:rPr>
                <w:rFonts w:ascii="Arial" w:hAnsi="Arial" w:cs="Arial"/>
              </w:rPr>
              <w:t>for each tradin</w:t>
            </w:r>
            <w:r w:rsidR="008F4B86" w:rsidRPr="00E65655">
              <w:rPr>
                <w:rFonts w:ascii="Arial" w:hAnsi="Arial" w:cs="Arial"/>
              </w:rPr>
              <w:t>g day and the Management Fee and Gap Premium</w:t>
            </w:r>
            <w:r w:rsidR="00DB3102" w:rsidRPr="00E65655">
              <w:rPr>
                <w:rFonts w:ascii="Arial" w:hAnsi="Arial" w:cs="Arial"/>
              </w:rPr>
              <w:t>.</w:t>
            </w:r>
          </w:p>
        </w:tc>
      </w:tr>
    </w:tbl>
    <w:p w14:paraId="270925C9" w14:textId="77777777" w:rsidR="00FF1C50" w:rsidRPr="00E65655" w:rsidRDefault="00FF1C50" w:rsidP="00E55579">
      <w:pPr>
        <w:rPr>
          <w:lang w:val="en-US"/>
        </w:rPr>
      </w:pPr>
      <w:bookmarkStart w:id="15" w:name="_DV_M265"/>
      <w:bookmarkEnd w:id="15"/>
    </w:p>
    <w:p w14:paraId="55846251" w14:textId="77777777" w:rsidR="00FF1C50" w:rsidRPr="00E65655" w:rsidRDefault="00FF1C50" w:rsidP="00E55579">
      <w:pPr>
        <w:rPr>
          <w:lang w:val="en-US"/>
        </w:rPr>
      </w:pPr>
    </w:p>
    <w:p w14:paraId="2684EA1F" w14:textId="77777777" w:rsidR="00B30651" w:rsidRPr="00E65655" w:rsidRDefault="00B30651" w:rsidP="00B30651">
      <w:pPr>
        <w:pStyle w:val="Heading4"/>
        <w:keepNext w:val="0"/>
        <w:spacing w:after="140" w:line="290" w:lineRule="auto"/>
        <w:jc w:val="both"/>
        <w:rPr>
          <w:rFonts w:ascii="Arial" w:hAnsi="Arial" w:cs="Arial"/>
          <w:iCs/>
          <w:sz w:val="20"/>
          <w:szCs w:val="20"/>
          <w:u w:val="single"/>
        </w:rPr>
      </w:pPr>
      <w:r w:rsidRPr="00E65655">
        <w:rPr>
          <w:rFonts w:ascii="Arial" w:hAnsi="Arial" w:cs="Arial"/>
          <w:iCs/>
          <w:sz w:val="20"/>
          <w:szCs w:val="20"/>
          <w:u w:val="single"/>
        </w:rPr>
        <w:t xml:space="preserve">Specific Definitions relating to the Leverage </w:t>
      </w:r>
      <w:r w:rsidR="00352D5D" w:rsidRPr="00E65655">
        <w:rPr>
          <w:rFonts w:ascii="Arial" w:hAnsi="Arial" w:cs="Arial"/>
          <w:iCs/>
          <w:sz w:val="20"/>
          <w:szCs w:val="20"/>
          <w:u w:val="single"/>
        </w:rPr>
        <w:t xml:space="preserve">Inverse </w:t>
      </w:r>
      <w:r w:rsidRPr="00E65655">
        <w:rPr>
          <w:rFonts w:ascii="Arial" w:hAnsi="Arial" w:cs="Arial"/>
          <w:iCs/>
          <w:sz w:val="20"/>
          <w:szCs w:val="20"/>
          <w:u w:val="single"/>
        </w:rPr>
        <w:t>Strategy</w:t>
      </w:r>
    </w:p>
    <w:p w14:paraId="541667ED" w14:textId="77777777" w:rsidR="00B30651" w:rsidRPr="00E65655" w:rsidRDefault="00B30651" w:rsidP="007F0318">
      <w:pPr>
        <w:pStyle w:val="PlainText"/>
        <w:spacing w:line="290" w:lineRule="auto"/>
        <w:jc w:val="both"/>
        <w:rPr>
          <w:rFonts w:ascii="Arial" w:hAnsi="Arial" w:cs="Arial"/>
          <w:bCs/>
          <w:u w:val="single"/>
          <w:lang w:val="en-US"/>
        </w:rPr>
      </w:pPr>
    </w:p>
    <w:p w14:paraId="7A9DBF91" w14:textId="77777777" w:rsidR="00267BB2" w:rsidRPr="00E65655" w:rsidRDefault="00267BB2" w:rsidP="00267BB2">
      <w:pPr>
        <w:pStyle w:val="PlainText"/>
        <w:spacing w:after="140" w:line="290" w:lineRule="auto"/>
        <w:jc w:val="both"/>
        <w:rPr>
          <w:rFonts w:ascii="Arial" w:hAnsi="Arial" w:cs="Arial"/>
          <w:b/>
          <w:bCs/>
          <w:i/>
          <w:u w:val="single"/>
        </w:rPr>
      </w:pPr>
      <w:r w:rsidRPr="00E65655">
        <w:rPr>
          <w:rFonts w:ascii="Arial" w:hAnsi="Arial" w:cs="Arial"/>
          <w:b/>
          <w:bCs/>
          <w:i/>
          <w:u w:val="single"/>
        </w:rPr>
        <w:t xml:space="preserve">Description of the Leverage </w:t>
      </w:r>
      <w:r w:rsidR="00352D5D" w:rsidRPr="00E65655">
        <w:rPr>
          <w:rFonts w:ascii="Arial" w:hAnsi="Arial" w:cs="Arial"/>
          <w:b/>
          <w:bCs/>
          <w:i/>
          <w:u w:val="single"/>
        </w:rPr>
        <w:t xml:space="preserve">Inverse </w:t>
      </w:r>
      <w:r w:rsidRPr="00E65655">
        <w:rPr>
          <w:rFonts w:ascii="Arial" w:hAnsi="Arial" w:cs="Arial"/>
          <w:b/>
          <w:bCs/>
          <w:i/>
          <w:u w:val="single"/>
        </w:rPr>
        <w:t>Strategy</w:t>
      </w:r>
    </w:p>
    <w:p w14:paraId="10CB2107" w14:textId="77777777" w:rsidR="00267BB2" w:rsidRPr="00E65655" w:rsidRDefault="00267BB2" w:rsidP="00267BB2">
      <w:pPr>
        <w:pStyle w:val="PlainText"/>
        <w:spacing w:after="140" w:line="290" w:lineRule="auto"/>
        <w:jc w:val="both"/>
        <w:rPr>
          <w:rFonts w:ascii="Arial" w:hAnsi="Arial"/>
        </w:rPr>
      </w:pPr>
      <w:r w:rsidRPr="00E65655">
        <w:rPr>
          <w:rFonts w:ascii="Arial" w:hAnsi="Arial"/>
        </w:rPr>
        <w:t xml:space="preserve">The Leverage </w:t>
      </w:r>
      <w:r w:rsidR="001D1338" w:rsidRPr="00E65655">
        <w:rPr>
          <w:rFonts w:ascii="Arial" w:hAnsi="Arial"/>
        </w:rPr>
        <w:t xml:space="preserve">Inverse </w:t>
      </w:r>
      <w:r w:rsidRPr="00E65655">
        <w:rPr>
          <w:rFonts w:ascii="Arial" w:hAnsi="Arial"/>
        </w:rPr>
        <w:t xml:space="preserve">Strategy is designed to track </w:t>
      </w:r>
      <w:proofErr w:type="gramStart"/>
      <w:r w:rsidRPr="00E65655">
        <w:rPr>
          <w:rFonts w:ascii="Arial" w:hAnsi="Arial"/>
        </w:rPr>
        <w:t>a 5 times</w:t>
      </w:r>
      <w:proofErr w:type="gramEnd"/>
      <w:r w:rsidRPr="00E65655">
        <w:rPr>
          <w:rFonts w:ascii="Arial" w:hAnsi="Arial"/>
        </w:rPr>
        <w:t xml:space="preserve"> daily </w:t>
      </w:r>
      <w:r w:rsidR="00202497" w:rsidRPr="00E65655">
        <w:rPr>
          <w:rFonts w:ascii="Arial" w:hAnsi="Arial"/>
        </w:rPr>
        <w:t xml:space="preserve">leveraged </w:t>
      </w:r>
      <w:r w:rsidR="00352D5D" w:rsidRPr="00E65655">
        <w:rPr>
          <w:rFonts w:ascii="Arial" w:hAnsi="Arial"/>
        </w:rPr>
        <w:t xml:space="preserve">inverse </w:t>
      </w:r>
      <w:r w:rsidRPr="00E65655">
        <w:rPr>
          <w:rFonts w:ascii="Arial" w:hAnsi="Arial"/>
        </w:rPr>
        <w:t xml:space="preserve">exposure to the </w:t>
      </w:r>
      <w:r w:rsidR="003F66C9" w:rsidRPr="00E65655">
        <w:rPr>
          <w:rFonts w:ascii="Arial" w:hAnsi="Arial"/>
        </w:rPr>
        <w:t>Underlying Stock</w:t>
      </w:r>
      <w:r w:rsidRPr="00E65655">
        <w:rPr>
          <w:rFonts w:ascii="Arial" w:hAnsi="Arial"/>
        </w:rPr>
        <w:t>.</w:t>
      </w:r>
    </w:p>
    <w:p w14:paraId="5BBECD0D" w14:textId="77777777" w:rsidR="00267BB2" w:rsidRPr="00E65655" w:rsidRDefault="00267BB2" w:rsidP="00267BB2">
      <w:pPr>
        <w:pStyle w:val="PlainText"/>
        <w:spacing w:after="140" w:line="290" w:lineRule="auto"/>
        <w:jc w:val="both"/>
        <w:rPr>
          <w:rFonts w:ascii="Arial" w:hAnsi="Arial" w:cs="Arial"/>
          <w:lang w:val="en-US"/>
        </w:rPr>
      </w:pPr>
      <w:r w:rsidRPr="00E65655">
        <w:rPr>
          <w:rFonts w:ascii="Arial" w:hAnsi="Arial" w:cs="Arial"/>
          <w:lang w:val="en-US"/>
        </w:rPr>
        <w:t xml:space="preserve">At the end of each trading day of the </w:t>
      </w:r>
      <w:r w:rsidR="003F66C9" w:rsidRPr="00E65655">
        <w:rPr>
          <w:rFonts w:ascii="Arial" w:hAnsi="Arial" w:cs="Arial"/>
          <w:lang w:val="en-US"/>
        </w:rPr>
        <w:t>Underlying Stock</w:t>
      </w:r>
      <w:r w:rsidRPr="00E65655">
        <w:rPr>
          <w:rFonts w:ascii="Arial" w:hAnsi="Arial" w:cs="Arial"/>
          <w:lang w:val="en-US"/>
        </w:rPr>
        <w:t xml:space="preserve">, the exposure of the Leverage </w:t>
      </w:r>
      <w:r w:rsidR="00352D5D" w:rsidRPr="00E65655">
        <w:rPr>
          <w:rFonts w:ascii="Arial" w:hAnsi="Arial" w:cs="Arial"/>
          <w:lang w:val="en-US"/>
        </w:rPr>
        <w:t xml:space="preserve">Inverse </w:t>
      </w:r>
      <w:r w:rsidRPr="00E65655">
        <w:rPr>
          <w:rFonts w:ascii="Arial" w:hAnsi="Arial" w:cs="Arial"/>
          <w:lang w:val="en-US"/>
        </w:rPr>
        <w:t xml:space="preserve">Strategy to the </w:t>
      </w:r>
      <w:r w:rsidR="003F66C9" w:rsidRPr="00E65655">
        <w:rPr>
          <w:rFonts w:ascii="Arial" w:hAnsi="Arial" w:cs="Arial"/>
          <w:lang w:val="en-US"/>
        </w:rPr>
        <w:t>Underlying Stock</w:t>
      </w:r>
      <w:r w:rsidRPr="00E65655">
        <w:rPr>
          <w:rFonts w:ascii="Arial" w:hAnsi="Arial" w:cs="Arial"/>
          <w:lang w:val="en-US"/>
        </w:rPr>
        <w:t xml:space="preserve"> is reset within the Leverage </w:t>
      </w:r>
      <w:r w:rsidR="00352D5D" w:rsidRPr="00E65655">
        <w:rPr>
          <w:rFonts w:ascii="Arial" w:hAnsi="Arial" w:cs="Arial"/>
          <w:lang w:val="en-US"/>
        </w:rPr>
        <w:t xml:space="preserve">Inverse </w:t>
      </w:r>
      <w:r w:rsidRPr="00E65655">
        <w:rPr>
          <w:rFonts w:ascii="Arial" w:hAnsi="Arial" w:cs="Arial"/>
          <w:lang w:val="en-US"/>
        </w:rPr>
        <w:t xml:space="preserve">Strategy </w:t>
      </w:r>
      <w:proofErr w:type="gramStart"/>
      <w:r w:rsidRPr="00E65655">
        <w:rPr>
          <w:rFonts w:ascii="Arial" w:hAnsi="Arial" w:cs="Arial"/>
          <w:lang w:val="en-US"/>
        </w:rPr>
        <w:t>in order to</w:t>
      </w:r>
      <w:proofErr w:type="gramEnd"/>
      <w:r w:rsidRPr="00E65655">
        <w:rPr>
          <w:rFonts w:ascii="Arial" w:hAnsi="Arial" w:cs="Arial"/>
          <w:lang w:val="en-US"/>
        </w:rPr>
        <w:t xml:space="preserve"> retain a daily leverage of 5 times the </w:t>
      </w:r>
      <w:r w:rsidR="00352D5D" w:rsidRPr="00E65655">
        <w:rPr>
          <w:rFonts w:ascii="Arial" w:hAnsi="Arial" w:cs="Arial"/>
          <w:lang w:val="en-US"/>
        </w:rPr>
        <w:t xml:space="preserve">inverse </w:t>
      </w:r>
      <w:r w:rsidRPr="00E65655">
        <w:rPr>
          <w:rFonts w:ascii="Arial" w:hAnsi="Arial" w:cs="Arial"/>
          <w:lang w:val="en-US"/>
        </w:rPr>
        <w:t xml:space="preserve">performance of the </w:t>
      </w:r>
      <w:r w:rsidR="003F66C9" w:rsidRPr="00E65655">
        <w:rPr>
          <w:rFonts w:ascii="Arial" w:hAnsi="Arial" w:cs="Arial"/>
          <w:lang w:val="en-US"/>
        </w:rPr>
        <w:t>Underlying Stock</w:t>
      </w:r>
      <w:r w:rsidRPr="00E65655">
        <w:rPr>
          <w:rFonts w:ascii="Arial" w:hAnsi="Arial" w:cs="Arial"/>
          <w:lang w:val="en-US"/>
        </w:rPr>
        <w:t xml:space="preserve"> (excluding costs) regardless of the performance of the </w:t>
      </w:r>
      <w:r w:rsidR="003F66C9" w:rsidRPr="00E65655">
        <w:rPr>
          <w:rFonts w:ascii="Arial" w:hAnsi="Arial" w:cs="Arial"/>
          <w:lang w:val="en-US"/>
        </w:rPr>
        <w:t>Underlying Stock</w:t>
      </w:r>
      <w:r w:rsidRPr="00E65655">
        <w:rPr>
          <w:rFonts w:ascii="Arial" w:hAnsi="Arial" w:cs="Arial"/>
          <w:lang w:val="en-US"/>
        </w:rPr>
        <w:t xml:space="preserve"> on the preceding day. This mechanism is referred to as the Daily Reset.</w:t>
      </w:r>
    </w:p>
    <w:p w14:paraId="41CD5ED0" w14:textId="77777777" w:rsidR="00267BB2" w:rsidRPr="00E65655" w:rsidRDefault="00267BB2" w:rsidP="00267BB2">
      <w:pPr>
        <w:pStyle w:val="PlainText"/>
        <w:spacing w:after="140" w:line="290" w:lineRule="auto"/>
        <w:jc w:val="both"/>
        <w:rPr>
          <w:rFonts w:ascii="Arial" w:hAnsi="Arial" w:cs="Arial"/>
          <w:lang w:val="en-US"/>
        </w:rPr>
      </w:pPr>
      <w:r w:rsidRPr="00E65655">
        <w:rPr>
          <w:rFonts w:ascii="Arial" w:hAnsi="Arial" w:cs="Arial"/>
          <w:lang w:val="en-US"/>
        </w:rPr>
        <w:t xml:space="preserve">The Leverage </w:t>
      </w:r>
      <w:r w:rsidR="00352D5D" w:rsidRPr="00E65655">
        <w:rPr>
          <w:rFonts w:ascii="Arial" w:hAnsi="Arial" w:cs="Arial"/>
          <w:lang w:val="en-US"/>
        </w:rPr>
        <w:t xml:space="preserve">Inverse </w:t>
      </w:r>
      <w:r w:rsidRPr="00E65655">
        <w:rPr>
          <w:rFonts w:ascii="Arial" w:hAnsi="Arial" w:cs="Arial"/>
          <w:lang w:val="en-US"/>
        </w:rPr>
        <w:t>Strategy incorporates an air bag mechanism which is designed to</w:t>
      </w:r>
      <w:r w:rsidRPr="00E65655">
        <w:rPr>
          <w:rFonts w:ascii="Times New Roman" w:eastAsia="SimHei" w:hAnsi="Times New Roman"/>
          <w:lang w:val="en-SG" w:eastAsia="zh-CN"/>
        </w:rPr>
        <w:t xml:space="preserve"> </w:t>
      </w:r>
      <w:r w:rsidRPr="00E65655">
        <w:rPr>
          <w:rFonts w:ascii="Arial" w:hAnsi="Arial" w:cs="Arial"/>
          <w:lang w:val="en-SG"/>
        </w:rPr>
        <w:t xml:space="preserve">reduce exposure to the </w:t>
      </w:r>
      <w:r w:rsidR="003F66C9" w:rsidRPr="00E65655">
        <w:rPr>
          <w:rFonts w:ascii="Arial" w:hAnsi="Arial" w:cs="Arial"/>
          <w:lang w:val="en-SG"/>
        </w:rPr>
        <w:t>Underlying Stock</w:t>
      </w:r>
      <w:r w:rsidRPr="00E65655">
        <w:rPr>
          <w:rFonts w:ascii="Arial" w:hAnsi="Arial" w:cs="Arial"/>
          <w:lang w:val="en-SG"/>
        </w:rPr>
        <w:t xml:space="preserve"> during extreme market conditions</w:t>
      </w:r>
      <w:r w:rsidRPr="00E65655">
        <w:rPr>
          <w:rFonts w:ascii="Arial" w:hAnsi="Arial" w:cs="Arial"/>
          <w:lang w:val="en-US"/>
        </w:rPr>
        <w:t>, as further described below.</w:t>
      </w:r>
    </w:p>
    <w:p w14:paraId="7EBB2B66" w14:textId="77777777" w:rsidR="00267BB2" w:rsidRPr="00E65655" w:rsidRDefault="00267BB2" w:rsidP="007F0318">
      <w:pPr>
        <w:pStyle w:val="Heading4"/>
        <w:keepNext w:val="0"/>
        <w:spacing w:line="290" w:lineRule="auto"/>
        <w:jc w:val="both"/>
        <w:rPr>
          <w:rFonts w:ascii="Arial" w:hAnsi="Arial" w:cs="Arial"/>
          <w:iCs/>
          <w:sz w:val="20"/>
          <w:szCs w:val="20"/>
          <w:u w:val="single"/>
        </w:rPr>
      </w:pPr>
    </w:p>
    <w:p w14:paraId="6D7CE016" w14:textId="77777777" w:rsidR="00B30651" w:rsidRPr="00E65655" w:rsidRDefault="00B30651" w:rsidP="00876F89">
      <w:pPr>
        <w:keepNext/>
        <w:keepLines/>
        <w:widowControl w:val="0"/>
        <w:rPr>
          <w:rFonts w:cs="Arial"/>
          <w:b/>
          <w:bCs/>
          <w:i/>
          <w:u w:val="single"/>
        </w:rPr>
      </w:pPr>
      <w:r w:rsidRPr="00E65655">
        <w:rPr>
          <w:rFonts w:cs="Arial"/>
          <w:b/>
          <w:bCs/>
          <w:i/>
          <w:u w:val="single"/>
        </w:rPr>
        <w:t xml:space="preserve">Leverage </w:t>
      </w:r>
      <w:r w:rsidR="00352D5D" w:rsidRPr="00E65655">
        <w:rPr>
          <w:rFonts w:cs="Arial"/>
          <w:b/>
          <w:bCs/>
          <w:i/>
          <w:u w:val="single"/>
        </w:rPr>
        <w:t xml:space="preserve">Inverse </w:t>
      </w:r>
      <w:r w:rsidRPr="00E65655">
        <w:rPr>
          <w:rFonts w:cs="Arial"/>
          <w:b/>
          <w:bCs/>
          <w:i/>
          <w:u w:val="single"/>
        </w:rPr>
        <w:t>Strategy Formula</w:t>
      </w:r>
    </w:p>
    <w:p w14:paraId="6AADABE4" w14:textId="77777777" w:rsidR="00927F06" w:rsidRPr="00E65655" w:rsidRDefault="00927F06" w:rsidP="00876F89">
      <w:pPr>
        <w:keepNext/>
        <w:keepLines/>
        <w:widowControl w:val="0"/>
      </w:pPr>
    </w:p>
    <w:tbl>
      <w:tblPr>
        <w:tblW w:w="9090" w:type="dxa"/>
        <w:tblInd w:w="108" w:type="dxa"/>
        <w:tblLayout w:type="fixed"/>
        <w:tblLook w:val="0000" w:firstRow="0" w:lastRow="0" w:firstColumn="0" w:lastColumn="0" w:noHBand="0" w:noVBand="0"/>
      </w:tblPr>
      <w:tblGrid>
        <w:gridCol w:w="2880"/>
        <w:gridCol w:w="6210"/>
      </w:tblGrid>
      <w:tr w:rsidR="00927F06" w:rsidRPr="00E65655" w14:paraId="638C5599" w14:textId="77777777" w:rsidTr="00853D4F">
        <w:tc>
          <w:tcPr>
            <w:tcW w:w="2880" w:type="dxa"/>
          </w:tcPr>
          <w:p w14:paraId="23A84C6E" w14:textId="77777777" w:rsidR="00927F06" w:rsidRPr="00E65655" w:rsidRDefault="00187794" w:rsidP="00876F89">
            <w:pPr>
              <w:keepNext/>
              <w:keepLines/>
              <w:widowControl w:val="0"/>
              <w:spacing w:before="120" w:after="120" w:line="290" w:lineRule="auto"/>
              <w:jc w:val="center"/>
              <w:rPr>
                <w:rFonts w:cs="Arial"/>
                <w:b/>
                <w:color w:val="000000"/>
                <w:szCs w:val="20"/>
                <w:lang w:val="en-US"/>
              </w:rPr>
            </w:pPr>
            <m:oMathPara>
              <m:oMath>
                <m:sSub>
                  <m:sSubPr>
                    <m:ctrlPr>
                      <w:rPr>
                        <w:rFonts w:ascii="Cambria Math" w:eastAsia="Calibri" w:hAnsi="Cambria Math" w:cs="Arial"/>
                        <w:b/>
                        <w:bCs/>
                        <w:szCs w:val="20"/>
                        <w:lang w:val="en-US" w:eastAsia="it-IT"/>
                      </w:rPr>
                    </m:ctrlPr>
                  </m:sSubPr>
                  <m:e>
                    <m:r>
                      <m:rPr>
                        <m:sty m:val="b"/>
                      </m:rPr>
                      <w:rPr>
                        <w:rFonts w:ascii="Cambria Math" w:eastAsia="Calibri" w:hAnsi="Cambria Math" w:cs="Arial"/>
                        <w:szCs w:val="20"/>
                        <w:lang w:val="en-US" w:eastAsia="it-IT"/>
                      </w:rPr>
                      <m:t>LSL</m:t>
                    </m:r>
                  </m:e>
                  <m:sub>
                    <m:r>
                      <m:rPr>
                        <m:sty m:val="b"/>
                      </m:rPr>
                      <w:rPr>
                        <w:rFonts w:ascii="Cambria Math" w:eastAsia="Calibri" w:hAnsi="Cambria Math" w:cs="Arial"/>
                        <w:szCs w:val="20"/>
                        <w:lang w:val="en-US" w:eastAsia="it-IT"/>
                      </w:rPr>
                      <m:t>t</m:t>
                    </m:r>
                  </m:sub>
                </m:sSub>
              </m:oMath>
            </m:oMathPara>
          </w:p>
        </w:tc>
        <w:tc>
          <w:tcPr>
            <w:tcW w:w="6210" w:type="dxa"/>
          </w:tcPr>
          <w:p w14:paraId="0A88E271" w14:textId="77777777" w:rsidR="00927F06" w:rsidRPr="00E65655" w:rsidRDefault="00927F06" w:rsidP="00876F89">
            <w:pPr>
              <w:keepNext/>
              <w:keepLines/>
              <w:widowControl w:val="0"/>
              <w:autoSpaceDE w:val="0"/>
              <w:autoSpaceDN w:val="0"/>
              <w:adjustRightInd w:val="0"/>
              <w:spacing w:before="120" w:after="120" w:line="290" w:lineRule="auto"/>
              <w:jc w:val="both"/>
              <w:rPr>
                <w:rFonts w:eastAsia="Calibri" w:cs="Arial"/>
                <w:szCs w:val="20"/>
                <w:lang w:val="en-US" w:eastAsia="it-IT"/>
              </w:rPr>
            </w:pPr>
            <w:r w:rsidRPr="00E65655">
              <w:rPr>
                <w:rFonts w:eastAsia="Calibri" w:cs="Arial"/>
                <w:szCs w:val="20"/>
                <w:lang w:val="en-US" w:eastAsia="it-IT"/>
              </w:rPr>
              <w:t>means, for any Observation Date(t), the Leverage Inverse Strategy Closing Level as of such day (t).</w:t>
            </w:r>
          </w:p>
          <w:p w14:paraId="4063D1A8" w14:textId="77777777" w:rsidR="00927F06" w:rsidRPr="00E65655" w:rsidRDefault="00927F06" w:rsidP="00876F89">
            <w:pPr>
              <w:keepNext/>
              <w:keepLines/>
              <w:widowControl w:val="0"/>
              <w:autoSpaceDE w:val="0"/>
              <w:autoSpaceDN w:val="0"/>
              <w:adjustRightInd w:val="0"/>
              <w:spacing w:before="120" w:after="120" w:line="290" w:lineRule="auto"/>
              <w:jc w:val="both"/>
              <w:rPr>
                <w:rFonts w:eastAsia="Calibri" w:cs="Arial"/>
                <w:szCs w:val="20"/>
                <w:lang w:val="en-US" w:eastAsia="it-IT"/>
              </w:rPr>
            </w:pPr>
            <w:r w:rsidRPr="00E65655">
              <w:rPr>
                <w:rFonts w:eastAsia="Calibri" w:cs="Arial"/>
                <w:szCs w:val="20"/>
                <w:lang w:val="en-US" w:eastAsia="it-IT"/>
              </w:rPr>
              <w:t xml:space="preserve">Subject to the occurrence of an Intraday Restrike Event, the </w:t>
            </w:r>
            <w:r w:rsidRPr="00E65655">
              <w:rPr>
                <w:rFonts w:eastAsia="Calibri" w:cs="Arial"/>
                <w:b/>
                <w:bCs/>
                <w:szCs w:val="20"/>
                <w:lang w:val="en-US" w:eastAsia="it-IT"/>
              </w:rPr>
              <w:t xml:space="preserve">Leverage Inverse Strategy Closing Level </w:t>
            </w:r>
            <w:r w:rsidRPr="00E65655">
              <w:rPr>
                <w:rFonts w:eastAsia="Calibri" w:cs="Arial"/>
                <w:szCs w:val="20"/>
                <w:lang w:val="en-US" w:eastAsia="it-IT"/>
              </w:rPr>
              <w:t>as of such Observation Date(t) is calculated in accordance with the following formulae:</w:t>
            </w:r>
          </w:p>
          <w:p w14:paraId="506EF43F" w14:textId="77777777" w:rsidR="00927F06" w:rsidRPr="00E65655" w:rsidRDefault="00927F06" w:rsidP="00876F89">
            <w:pPr>
              <w:keepNext/>
              <w:keepLines/>
              <w:widowControl w:val="0"/>
              <w:autoSpaceDE w:val="0"/>
              <w:autoSpaceDN w:val="0"/>
              <w:adjustRightInd w:val="0"/>
              <w:spacing w:before="120" w:after="120" w:line="290" w:lineRule="auto"/>
              <w:jc w:val="both"/>
              <w:rPr>
                <w:rFonts w:eastAsia="Calibri" w:cs="Arial"/>
                <w:szCs w:val="20"/>
                <w:lang w:val="en-US" w:eastAsia="it-IT"/>
              </w:rPr>
            </w:pPr>
            <w:r w:rsidRPr="00E65655">
              <w:rPr>
                <w:rFonts w:eastAsia="Calibri" w:cs="Arial"/>
                <w:szCs w:val="20"/>
                <w:lang w:val="en-US" w:eastAsia="it-IT"/>
              </w:rPr>
              <w:t xml:space="preserve">On Observation </w:t>
            </w:r>
            <w:proofErr w:type="gramStart"/>
            <w:r w:rsidRPr="00E65655">
              <w:rPr>
                <w:rFonts w:eastAsia="Calibri" w:cs="Arial"/>
                <w:szCs w:val="20"/>
                <w:lang w:val="en-US" w:eastAsia="it-IT"/>
              </w:rPr>
              <w:t>Date(</w:t>
            </w:r>
            <w:proofErr w:type="gramEnd"/>
            <w:r w:rsidRPr="00E65655">
              <w:rPr>
                <w:rFonts w:eastAsia="Calibri" w:cs="Arial"/>
                <w:szCs w:val="20"/>
                <w:lang w:val="en-US" w:eastAsia="it-IT"/>
              </w:rPr>
              <w:t>1):</w:t>
            </w:r>
          </w:p>
          <w:p w14:paraId="4B9CE309" w14:textId="77777777" w:rsidR="00927F06" w:rsidRPr="00E65655" w:rsidRDefault="00187794" w:rsidP="00876F89">
            <w:pPr>
              <w:keepNext/>
              <w:keepLines/>
              <w:widowControl w:val="0"/>
              <w:autoSpaceDE w:val="0"/>
              <w:autoSpaceDN w:val="0"/>
              <w:adjustRightInd w:val="0"/>
              <w:spacing w:before="120" w:after="120" w:line="290" w:lineRule="auto"/>
              <w:jc w:val="both"/>
              <w:rPr>
                <w:rFonts w:eastAsia="Calibri" w:cs="Arial"/>
                <w:szCs w:val="20"/>
                <w:lang w:val="en-US" w:eastAsia="it-IT"/>
              </w:rPr>
            </w:pPr>
            <m:oMathPara>
              <m:oMathParaPr>
                <m:jc m:val="left"/>
              </m:oMathParaPr>
              <m:oMath>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LSL</m:t>
                    </m:r>
                  </m:e>
                  <m:sub>
                    <m:r>
                      <m:rPr>
                        <m:sty m:val="p"/>
                      </m:rPr>
                      <w:rPr>
                        <w:rFonts w:ascii="Cambria Math" w:eastAsia="Calibri" w:cs="Arial"/>
                        <w:szCs w:val="20"/>
                        <w:lang w:val="en-US" w:eastAsia="it-IT"/>
                      </w:rPr>
                      <m:t>1</m:t>
                    </m:r>
                  </m:sub>
                </m:sSub>
                <m:r>
                  <w:rPr>
                    <w:rFonts w:ascii="Cambria Math" w:eastAsia="Calibri" w:cs="Arial"/>
                    <w:szCs w:val="20"/>
                    <w:lang w:val="en-US" w:eastAsia="it-IT"/>
                  </w:rPr>
                  <m:t>= 1000</m:t>
                </m:r>
              </m:oMath>
            </m:oMathPara>
          </w:p>
          <w:p w14:paraId="5CBEBB6A" w14:textId="77777777" w:rsidR="00927F06" w:rsidRPr="00E65655" w:rsidRDefault="00927F06" w:rsidP="00876F89">
            <w:pPr>
              <w:keepNext/>
              <w:keepLines/>
              <w:widowControl w:val="0"/>
              <w:autoSpaceDE w:val="0"/>
              <w:autoSpaceDN w:val="0"/>
              <w:adjustRightInd w:val="0"/>
              <w:spacing w:before="120" w:after="120" w:line="290" w:lineRule="auto"/>
              <w:jc w:val="both"/>
              <w:rPr>
                <w:rFonts w:eastAsia="Calibri" w:cs="Arial"/>
                <w:bCs/>
                <w:szCs w:val="20"/>
                <w:lang w:val="en-US" w:eastAsia="it-IT"/>
              </w:rPr>
            </w:pPr>
            <w:r w:rsidRPr="00E65655">
              <w:rPr>
                <w:rFonts w:eastAsia="Calibri" w:cs="Arial"/>
                <w:szCs w:val="20"/>
                <w:lang w:val="en-US" w:eastAsia="it-IT"/>
              </w:rPr>
              <w:t>On each subsequent Observation Date(t):</w:t>
            </w:r>
          </w:p>
          <w:p w14:paraId="1C28C7F9" w14:textId="30E7BAE0" w:rsidR="007F0318" w:rsidRPr="00E65655" w:rsidRDefault="00187794" w:rsidP="00876F89">
            <w:pPr>
              <w:keepNext/>
              <w:keepLines/>
              <w:widowControl w:val="0"/>
              <w:autoSpaceDE w:val="0"/>
              <w:autoSpaceDN w:val="0"/>
              <w:adjustRightInd w:val="0"/>
              <w:spacing w:before="120" w:after="120" w:line="290" w:lineRule="auto"/>
              <w:jc w:val="both"/>
              <w:rPr>
                <w:rFonts w:cs="Arial"/>
                <w:bCs/>
                <w:szCs w:val="20"/>
                <w:lang w:val="en-US" w:eastAsia="it-IT"/>
              </w:rPr>
            </w:pPr>
            <m:oMathPara>
              <m:oMath>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LSL</m:t>
                    </m:r>
                  </m:e>
                  <m:sub>
                    <m:r>
                      <m:rPr>
                        <m:sty m:val="p"/>
                      </m:rPr>
                      <w:rPr>
                        <w:rFonts w:ascii="Cambria Math" w:eastAsia="Calibri" w:cs="Arial"/>
                        <w:szCs w:val="20"/>
                        <w:lang w:val="en-US" w:eastAsia="it-IT"/>
                      </w:rPr>
                      <m:t>t</m:t>
                    </m:r>
                  </m:sub>
                </m:sSub>
                <m:r>
                  <m:rPr>
                    <m:sty m:val="p"/>
                  </m:rPr>
                  <w:rPr>
                    <w:rFonts w:ascii="Cambria Math" w:eastAsia="Calibri" w:cs="Arial"/>
                    <w:szCs w:val="20"/>
                    <w:lang w:val="en-US" w:eastAsia="it-IT"/>
                  </w:rPr>
                  <m:t>=Max</m:t>
                </m:r>
                <m:d>
                  <m:dPr>
                    <m:begChr m:val="["/>
                    <m:endChr m:val="]"/>
                    <m:ctrlPr>
                      <w:rPr>
                        <w:rFonts w:ascii="Cambria Math" w:eastAsia="Calibri" w:hAnsi="Cambria Math" w:cs="Arial"/>
                        <w:bCs/>
                        <w:szCs w:val="20"/>
                        <w:lang w:val="en-US" w:eastAsia="it-IT"/>
                      </w:rPr>
                    </m:ctrlPr>
                  </m:dPr>
                  <m:e>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LSL</m:t>
                        </m:r>
                      </m:e>
                      <m:sub>
                        <m:r>
                          <m:rPr>
                            <m:sty m:val="p"/>
                          </m:rPr>
                          <w:rPr>
                            <w:rFonts w:ascii="Cambria Math" w:eastAsia="Calibri" w:cs="Arial"/>
                            <w:szCs w:val="20"/>
                            <w:lang w:val="en-US" w:eastAsia="it-IT"/>
                          </w:rPr>
                          <m:t>t</m:t>
                        </m:r>
                        <m:r>
                          <m:rPr>
                            <m:sty m:val="p"/>
                          </m:rPr>
                          <w:rPr>
                            <w:rFonts w:eastAsia="Calibri" w:cs="Arial"/>
                            <w:szCs w:val="20"/>
                            <w:lang w:val="en-US" w:eastAsia="it-IT"/>
                          </w:rPr>
                          <m:t>-</m:t>
                        </m:r>
                        <m:r>
                          <m:rPr>
                            <m:sty m:val="p"/>
                          </m:rPr>
                          <w:rPr>
                            <w:rFonts w:ascii="Cambria Math" w:eastAsia="Calibri" w:cs="Arial"/>
                            <w:szCs w:val="20"/>
                            <w:lang w:val="en-US" w:eastAsia="it-IT"/>
                          </w:rPr>
                          <m:t>1</m:t>
                        </m:r>
                      </m:sub>
                    </m:sSub>
                    <m:r>
                      <m:rPr>
                        <m:sty m:val="p"/>
                      </m:rPr>
                      <w:rPr>
                        <w:rFonts w:eastAsia="Calibri" w:cs="Arial"/>
                        <w:szCs w:val="20"/>
                        <w:lang w:val="en-US" w:eastAsia="it-IT"/>
                      </w:rPr>
                      <m:t>×</m:t>
                    </m:r>
                    <m:d>
                      <m:dPr>
                        <m:ctrlPr>
                          <w:rPr>
                            <w:rFonts w:ascii="Cambria Math" w:eastAsia="Calibri" w:hAnsi="Cambria Math" w:cs="Arial"/>
                            <w:bCs/>
                            <w:szCs w:val="20"/>
                            <w:lang w:val="en-US" w:eastAsia="it-IT"/>
                          </w:rPr>
                        </m:ctrlPr>
                      </m:dPr>
                      <m:e>
                        <m:r>
                          <m:rPr>
                            <m:sty m:val="p"/>
                          </m:rPr>
                          <w:rPr>
                            <w:rFonts w:ascii="Cambria Math" w:eastAsia="Calibri" w:cs="Arial"/>
                            <w:szCs w:val="20"/>
                            <w:lang w:val="en-US" w:eastAsia="it-IT"/>
                          </w:rPr>
                          <m:t>1+</m:t>
                        </m:r>
                        <m:sSub>
                          <m:sSubPr>
                            <m:ctrlPr>
                              <w:rPr>
                                <w:rFonts w:ascii="Cambria Math" w:eastAsia="Calibri" w:hAnsi="Cambria Math" w:cs="Arial"/>
                                <w:szCs w:val="20"/>
                                <w:lang w:val="en-US" w:eastAsia="it-IT"/>
                              </w:rPr>
                            </m:ctrlPr>
                          </m:sSubPr>
                          <m:e>
                            <m:r>
                              <m:rPr>
                                <m:sty m:val="p"/>
                              </m:rPr>
                              <w:rPr>
                                <w:rFonts w:ascii="Cambria Math" w:eastAsia="Calibri" w:cs="Arial"/>
                                <w:szCs w:val="20"/>
                                <w:lang w:val="en-US" w:eastAsia="it-IT"/>
                              </w:rPr>
                              <m:t>LR</m:t>
                            </m:r>
                          </m:e>
                          <m:sub>
                            <m:r>
                              <m:rPr>
                                <m:sty m:val="p"/>
                              </m:rPr>
                              <w:rPr>
                                <w:rFonts w:ascii="Cambria Math" w:eastAsia="Calibri" w:cs="Arial"/>
                                <w:szCs w:val="20"/>
                                <w:lang w:val="en-US" w:eastAsia="it-IT"/>
                              </w:rPr>
                              <m:t>t</m:t>
                            </m:r>
                            <m:r>
                              <m:rPr>
                                <m:sty m:val="p"/>
                              </m:rPr>
                              <w:rPr>
                                <w:rFonts w:eastAsia="Calibri" w:cs="Arial"/>
                                <w:szCs w:val="20"/>
                                <w:lang w:val="en-US" w:eastAsia="it-IT"/>
                              </w:rPr>
                              <m:t>-</m:t>
                            </m:r>
                            <m:r>
                              <m:rPr>
                                <m:sty m:val="p"/>
                              </m:rPr>
                              <w:rPr>
                                <w:rFonts w:ascii="Cambria Math" w:eastAsia="Calibri" w:cs="Arial"/>
                                <w:szCs w:val="20"/>
                                <w:lang w:val="en-US" w:eastAsia="it-IT"/>
                              </w:rPr>
                              <m:t>1,t</m:t>
                            </m:r>
                          </m:sub>
                        </m:sSub>
                        <m:r>
                          <m:rPr>
                            <m:sty m:val="p"/>
                          </m:rPr>
                          <w:rPr>
                            <w:rFonts w:eastAsia="Calibri" w:cs="Arial"/>
                            <w:szCs w:val="20"/>
                            <w:lang w:val="en-US" w:eastAsia="it-IT"/>
                          </w:rPr>
                          <m:t>-</m:t>
                        </m:r>
                        <m:sSub>
                          <m:sSubPr>
                            <m:ctrlPr>
                              <w:rPr>
                                <w:rFonts w:ascii="Cambria Math" w:eastAsia="Calibri" w:hAnsi="Cambria Math" w:cs="Arial"/>
                                <w:szCs w:val="20"/>
                                <w:lang w:val="en-US" w:eastAsia="it-IT"/>
                              </w:rPr>
                            </m:ctrlPr>
                          </m:sSubPr>
                          <m:e>
                            <m:r>
                              <m:rPr>
                                <m:sty m:val="p"/>
                              </m:rPr>
                              <w:rPr>
                                <w:rFonts w:ascii="Cambria Math" w:eastAsia="Calibri" w:cs="Arial"/>
                                <w:szCs w:val="20"/>
                                <w:lang w:val="en-US" w:eastAsia="it-IT"/>
                              </w:rPr>
                              <m:t>FC</m:t>
                            </m:r>
                          </m:e>
                          <m:sub>
                            <m:r>
                              <m:rPr>
                                <m:sty m:val="p"/>
                              </m:rPr>
                              <w:rPr>
                                <w:rFonts w:ascii="Cambria Math" w:eastAsia="Calibri" w:cs="Arial"/>
                                <w:szCs w:val="20"/>
                                <w:lang w:val="en-US" w:eastAsia="it-IT"/>
                              </w:rPr>
                              <m:t>t</m:t>
                            </m:r>
                            <m:r>
                              <m:rPr>
                                <m:sty m:val="p"/>
                              </m:rPr>
                              <w:rPr>
                                <w:rFonts w:eastAsia="Calibri" w:cs="Arial"/>
                                <w:szCs w:val="20"/>
                                <w:lang w:val="en-US" w:eastAsia="it-IT"/>
                              </w:rPr>
                              <m:t>-</m:t>
                            </m:r>
                            <m:r>
                              <m:rPr>
                                <m:sty m:val="p"/>
                              </m:rPr>
                              <w:rPr>
                                <w:rFonts w:ascii="Cambria Math" w:eastAsia="Calibri" w:cs="Arial"/>
                                <w:szCs w:val="20"/>
                                <w:lang w:val="en-US" w:eastAsia="it-IT"/>
                              </w:rPr>
                              <m:t>1,t</m:t>
                            </m:r>
                          </m:sub>
                        </m:sSub>
                        <m:r>
                          <m:rPr>
                            <m:sty m:val="p"/>
                          </m:rPr>
                          <w:rPr>
                            <w:rFonts w:eastAsia="Calibri" w:cs="Arial"/>
                            <w:szCs w:val="20"/>
                            <w:lang w:val="en-US" w:eastAsia="it-IT"/>
                          </w:rPr>
                          <m:t>-</m:t>
                        </m:r>
                        <m:r>
                          <m:rPr>
                            <m:sty m:val="p"/>
                          </m:rPr>
                          <w:rPr>
                            <w:rFonts w:ascii="Cambria Math" w:eastAsia="Calibri" w:cs="Arial"/>
                            <w:szCs w:val="20"/>
                            <w:lang w:val="en-US" w:eastAsia="it-IT"/>
                          </w:rPr>
                          <m:t xml:space="preserve"> </m:t>
                        </m:r>
                        <m:sSub>
                          <m:sSubPr>
                            <m:ctrlPr>
                              <w:rPr>
                                <w:rFonts w:ascii="Cambria Math" w:eastAsia="Calibri" w:hAnsi="Cambria Math" w:cs="Arial"/>
                                <w:szCs w:val="20"/>
                                <w:lang w:val="en-US" w:eastAsia="it-IT"/>
                              </w:rPr>
                            </m:ctrlPr>
                          </m:sSubPr>
                          <m:e>
                            <m:r>
                              <m:rPr>
                                <m:sty m:val="p"/>
                              </m:rPr>
                              <w:rPr>
                                <w:rFonts w:ascii="Cambria Math" w:eastAsia="Calibri" w:cs="Arial"/>
                                <w:szCs w:val="20"/>
                                <w:lang w:val="en-US" w:eastAsia="it-IT"/>
                              </w:rPr>
                              <m:t>SB</m:t>
                            </m:r>
                          </m:e>
                          <m:sub>
                            <m:r>
                              <m:rPr>
                                <m:sty m:val="p"/>
                              </m:rPr>
                              <w:rPr>
                                <w:rFonts w:ascii="Cambria Math" w:eastAsia="Calibri" w:cs="Arial"/>
                                <w:szCs w:val="20"/>
                                <w:lang w:val="en-US" w:eastAsia="it-IT"/>
                              </w:rPr>
                              <m:t>t</m:t>
                            </m:r>
                            <m:r>
                              <m:rPr>
                                <m:sty m:val="p"/>
                              </m:rPr>
                              <w:rPr>
                                <w:rFonts w:eastAsia="Calibri" w:cs="Arial"/>
                                <w:szCs w:val="20"/>
                                <w:lang w:val="en-US" w:eastAsia="it-IT"/>
                              </w:rPr>
                              <m:t>-</m:t>
                            </m:r>
                            <m:r>
                              <m:rPr>
                                <m:sty m:val="p"/>
                              </m:rPr>
                              <w:rPr>
                                <w:rFonts w:ascii="Cambria Math" w:eastAsia="Calibri" w:cs="Arial"/>
                                <w:szCs w:val="20"/>
                                <w:lang w:val="en-US" w:eastAsia="it-IT"/>
                              </w:rPr>
                              <m:t>1,t</m:t>
                            </m:r>
                          </m:sub>
                        </m:sSub>
                        <m:r>
                          <m:rPr>
                            <m:sty m:val="p"/>
                          </m:rPr>
                          <w:rPr>
                            <w:rFonts w:eastAsia="Calibri" w:cs="Arial"/>
                            <w:szCs w:val="20"/>
                            <w:lang w:val="en-US" w:eastAsia="it-IT"/>
                          </w:rPr>
                          <m:t>-</m:t>
                        </m:r>
                        <m:r>
                          <m:rPr>
                            <m:sty m:val="p"/>
                          </m:rPr>
                          <w:rPr>
                            <w:rFonts w:ascii="Cambria Math" w:eastAsia="Calibri" w:cs="Arial"/>
                            <w:szCs w:val="20"/>
                            <w:lang w:val="en-US" w:eastAsia="it-IT"/>
                          </w:rPr>
                          <m:t xml:space="preserve"> </m:t>
                        </m:r>
                        <m:sSub>
                          <m:sSubPr>
                            <m:ctrlPr>
                              <w:rPr>
                                <w:rFonts w:ascii="Cambria Math" w:eastAsia="Calibri" w:hAnsi="Cambria Math" w:cs="Arial"/>
                                <w:szCs w:val="20"/>
                                <w:lang w:val="en-US" w:eastAsia="it-IT"/>
                              </w:rPr>
                            </m:ctrlPr>
                          </m:sSubPr>
                          <m:e>
                            <m:r>
                              <m:rPr>
                                <m:sty m:val="p"/>
                              </m:rPr>
                              <w:rPr>
                                <w:rFonts w:ascii="Cambria Math" w:eastAsia="Calibri" w:cs="Arial"/>
                                <w:szCs w:val="20"/>
                                <w:lang w:val="en-US" w:eastAsia="it-IT"/>
                              </w:rPr>
                              <m:t>RC</m:t>
                            </m:r>
                          </m:e>
                          <m:sub>
                            <m:r>
                              <m:rPr>
                                <m:sty m:val="p"/>
                              </m:rPr>
                              <w:rPr>
                                <w:rFonts w:ascii="Cambria Math" w:eastAsia="Calibri" w:cs="Arial"/>
                                <w:szCs w:val="20"/>
                                <w:lang w:val="en-US" w:eastAsia="it-IT"/>
                              </w:rPr>
                              <m:t>t</m:t>
                            </m:r>
                            <m:r>
                              <m:rPr>
                                <m:sty m:val="p"/>
                              </m:rPr>
                              <w:rPr>
                                <w:rFonts w:eastAsia="Calibri" w:cs="Arial"/>
                                <w:szCs w:val="20"/>
                                <w:lang w:val="en-US" w:eastAsia="it-IT"/>
                              </w:rPr>
                              <m:t>-</m:t>
                            </m:r>
                            <m:r>
                              <m:rPr>
                                <m:sty m:val="p"/>
                              </m:rPr>
                              <w:rPr>
                                <w:rFonts w:ascii="Cambria Math" w:eastAsia="Calibri" w:cs="Arial"/>
                                <w:szCs w:val="20"/>
                                <w:lang w:val="en-US" w:eastAsia="it-IT"/>
                              </w:rPr>
                              <m:t>1,t</m:t>
                            </m:r>
                          </m:sub>
                        </m:sSub>
                      </m:e>
                    </m:d>
                    <m:r>
                      <m:rPr>
                        <m:sty m:val="p"/>
                      </m:rPr>
                      <w:rPr>
                        <w:rFonts w:ascii="Cambria Math" w:eastAsia="Calibri" w:cs="Arial"/>
                        <w:szCs w:val="20"/>
                        <w:lang w:val="en-US" w:eastAsia="it-IT"/>
                      </w:rPr>
                      <m:t>,0</m:t>
                    </m:r>
                  </m:e>
                </m:d>
              </m:oMath>
            </m:oMathPara>
          </w:p>
        </w:tc>
      </w:tr>
      <w:tr w:rsidR="00927F06" w:rsidRPr="00E65655" w14:paraId="113AAED0" w14:textId="77777777" w:rsidTr="00853D4F">
        <w:tc>
          <w:tcPr>
            <w:tcW w:w="2880" w:type="dxa"/>
          </w:tcPr>
          <w:p w14:paraId="19BCCCFD" w14:textId="77777777" w:rsidR="00927F06" w:rsidRPr="00E65655" w:rsidRDefault="00187794" w:rsidP="00853D4F">
            <w:pPr>
              <w:spacing w:before="120" w:after="120" w:line="290" w:lineRule="auto"/>
              <w:jc w:val="center"/>
              <w:rPr>
                <w:rFonts w:eastAsia="Calibri" w:cs="Arial"/>
                <w:b/>
                <w:bCs/>
                <w:szCs w:val="20"/>
                <w:lang w:val="en-US" w:eastAsia="it-IT"/>
              </w:rPr>
            </w:pPr>
            <m:oMathPara>
              <m:oMath>
                <m:sSub>
                  <m:sSubPr>
                    <m:ctrlPr>
                      <w:rPr>
                        <w:rFonts w:ascii="Cambria Math" w:eastAsia="Calibri" w:hAnsi="Cambria Math" w:cs="Arial"/>
                        <w:b/>
                        <w:bCs/>
                        <w:szCs w:val="20"/>
                        <w:lang w:val="en-US" w:eastAsia="it-IT"/>
                      </w:rPr>
                    </m:ctrlPr>
                  </m:sSubPr>
                  <m:e>
                    <m:r>
                      <m:rPr>
                        <m:sty m:val="b"/>
                      </m:rPr>
                      <w:rPr>
                        <w:rFonts w:ascii="Cambria Math" w:eastAsia="Calibri" w:hAnsi="Cambria Math" w:cs="Arial"/>
                        <w:szCs w:val="20"/>
                        <w:lang w:val="en-US" w:eastAsia="it-IT"/>
                      </w:rPr>
                      <m:t>LR</m:t>
                    </m:r>
                  </m:e>
                  <m:sub>
                    <m:r>
                      <m:rPr>
                        <m:sty m:val="b"/>
                      </m:rPr>
                      <w:rPr>
                        <w:rFonts w:ascii="Cambria Math" w:eastAsia="Calibri" w:hAnsi="Cambria Math" w:cs="Arial"/>
                        <w:szCs w:val="20"/>
                        <w:lang w:val="en-US" w:eastAsia="it-IT"/>
                      </w:rPr>
                      <m:t>t</m:t>
                    </m:r>
                    <m:r>
                      <m:rPr>
                        <m:sty m:val="b"/>
                      </m:rPr>
                      <w:rPr>
                        <w:rFonts w:eastAsia="Calibri" w:cs="Arial"/>
                        <w:szCs w:val="20"/>
                        <w:lang w:val="en-US" w:eastAsia="it-IT"/>
                      </w:rPr>
                      <m:t>-</m:t>
                    </m:r>
                    <m:r>
                      <m:rPr>
                        <m:sty m:val="b"/>
                      </m:rPr>
                      <w:rPr>
                        <w:rFonts w:ascii="Cambria Math" w:eastAsia="Calibri" w:hAnsi="Cambria Math" w:cs="Arial"/>
                        <w:szCs w:val="20"/>
                        <w:lang w:val="en-US" w:eastAsia="it-IT"/>
                      </w:rPr>
                      <m:t>1</m:t>
                    </m:r>
                    <m:r>
                      <m:rPr>
                        <m:sty m:val="b"/>
                      </m:rPr>
                      <w:rPr>
                        <w:rFonts w:ascii="Cambria Math" w:eastAsia="Calibri" w:cs="Arial"/>
                        <w:szCs w:val="20"/>
                        <w:lang w:val="en-US" w:eastAsia="it-IT"/>
                      </w:rPr>
                      <m:t>,</m:t>
                    </m:r>
                    <m:r>
                      <m:rPr>
                        <m:sty m:val="b"/>
                      </m:rPr>
                      <w:rPr>
                        <w:rFonts w:ascii="Cambria Math" w:eastAsia="Calibri" w:hAnsi="Cambria Math" w:cs="Arial"/>
                        <w:szCs w:val="20"/>
                        <w:lang w:val="en-US" w:eastAsia="it-IT"/>
                      </w:rPr>
                      <m:t>t</m:t>
                    </m:r>
                  </m:sub>
                </m:sSub>
              </m:oMath>
            </m:oMathPara>
          </w:p>
        </w:tc>
        <w:tc>
          <w:tcPr>
            <w:tcW w:w="6210" w:type="dxa"/>
          </w:tcPr>
          <w:p w14:paraId="7B10C9CB" w14:textId="1C90F185" w:rsidR="00927F06" w:rsidRPr="00E65655" w:rsidRDefault="00927F06" w:rsidP="00853D4F">
            <w:pPr>
              <w:autoSpaceDE w:val="0"/>
              <w:autoSpaceDN w:val="0"/>
              <w:adjustRightInd w:val="0"/>
              <w:spacing w:before="120" w:after="120" w:line="290" w:lineRule="auto"/>
              <w:jc w:val="both"/>
              <w:rPr>
                <w:rFonts w:eastAsia="Calibri" w:cs="Arial"/>
                <w:bCs/>
                <w:szCs w:val="20"/>
                <w:lang w:val="en-US" w:eastAsia="it-IT"/>
              </w:rPr>
            </w:pPr>
            <w:r w:rsidRPr="00E65655">
              <w:rPr>
                <w:rFonts w:eastAsia="Calibri" w:cs="Arial"/>
                <w:szCs w:val="20"/>
                <w:lang w:val="en-US" w:eastAsia="it-IT"/>
              </w:rPr>
              <w:t>means the Leveraged Return of the Underlying Stock between Observation Date(t-1) and Observation Date(t) closing prices, calculated as follows:</w:t>
            </w:r>
          </w:p>
          <w:p w14:paraId="64EDC8BC" w14:textId="61078E2A" w:rsidR="00927F06" w:rsidRPr="00E65655" w:rsidRDefault="00187794" w:rsidP="00853D4F">
            <w:pPr>
              <w:spacing w:before="120" w:after="120" w:line="290" w:lineRule="auto"/>
              <w:jc w:val="both"/>
              <w:rPr>
                <w:rFonts w:cs="Arial"/>
                <w:color w:val="000000"/>
                <w:szCs w:val="20"/>
                <w:lang w:val="en-US"/>
              </w:rPr>
            </w:pPr>
            <m:oMath>
              <m:sSub>
                <m:sSubPr>
                  <m:ctrlPr>
                    <w:rPr>
                      <w:rFonts w:ascii="Cambria Math" w:eastAsia="Calibri" w:hAnsi="Cambria Math" w:cs="Arial"/>
                      <w:szCs w:val="20"/>
                      <w:lang w:val="en-US" w:eastAsia="it-IT"/>
                    </w:rPr>
                  </m:ctrlPr>
                </m:sSubPr>
                <m:e>
                  <m:r>
                    <m:rPr>
                      <m:sty m:val="p"/>
                    </m:rPr>
                    <w:rPr>
                      <w:rFonts w:ascii="Cambria Math" w:eastAsia="Calibri" w:cs="Arial"/>
                      <w:szCs w:val="20"/>
                      <w:lang w:val="en-US" w:eastAsia="it-IT"/>
                    </w:rPr>
                    <m:t>LR</m:t>
                  </m:r>
                </m:e>
                <m:sub>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1,t</m:t>
                  </m:r>
                </m:sub>
              </m:sSub>
              <m:r>
                <m:rPr>
                  <m:sty m:val="p"/>
                </m:rPr>
                <w:rPr>
                  <w:rFonts w:ascii="Cambria Math" w:eastAsia="Calibri" w:cs="Arial"/>
                  <w:szCs w:val="20"/>
                  <w:lang w:val="en-US" w:eastAsia="it-IT"/>
                </w:rPr>
                <m:t xml:space="preserve">=Leverage </m:t>
              </m:r>
              <m:r>
                <m:rPr>
                  <m:sty m:val="p"/>
                </m:rPr>
                <w:rPr>
                  <w:rFonts w:ascii="Cambria Math" w:eastAsia="Calibri" w:cs="Arial"/>
                  <w:szCs w:val="20"/>
                  <w:lang w:val="en-US" w:eastAsia="it-IT"/>
                </w:rPr>
                <m:t>×</m:t>
              </m:r>
              <m:r>
                <m:rPr>
                  <m:sty m:val="p"/>
                </m:rPr>
                <w:rPr>
                  <w:rFonts w:ascii="Cambria Math" w:eastAsia="Calibri" w:cs="Arial"/>
                  <w:szCs w:val="20"/>
                  <w:lang w:val="en-US" w:eastAsia="it-IT"/>
                </w:rPr>
                <m:t xml:space="preserve"> </m:t>
              </m:r>
              <m:d>
                <m:dPr>
                  <m:ctrlPr>
                    <w:rPr>
                      <w:rFonts w:ascii="Cambria Math" w:eastAsia="Calibri" w:hAnsi="Cambria Math" w:cs="Arial"/>
                      <w:bCs/>
                      <w:szCs w:val="20"/>
                      <w:lang w:val="en-US" w:eastAsia="it-IT"/>
                    </w:rPr>
                  </m:ctrlPr>
                </m:dPr>
                <m:e>
                  <m:f>
                    <m:fPr>
                      <m:ctrlPr>
                        <w:rPr>
                          <w:rFonts w:ascii="Cambria Math" w:eastAsia="Calibri" w:hAnsi="Cambria Math" w:cs="Arial"/>
                          <w:bCs/>
                          <w:szCs w:val="20"/>
                          <w:lang w:val="en-US" w:eastAsia="it-IT"/>
                        </w:rPr>
                      </m:ctrlPr>
                    </m:fPr>
                    <m:num>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S</m:t>
                          </m:r>
                        </m:e>
                        <m:sub>
                          <m:r>
                            <m:rPr>
                              <m:sty m:val="p"/>
                            </m:rPr>
                            <w:rPr>
                              <w:rFonts w:ascii="Cambria Math" w:eastAsia="Calibri" w:cs="Arial"/>
                              <w:szCs w:val="20"/>
                              <w:lang w:val="en-US" w:eastAsia="it-IT"/>
                            </w:rPr>
                            <m:t>t</m:t>
                          </m:r>
                        </m:sub>
                      </m:sSub>
                    </m:num>
                    <m:den>
                      <m:eqArr>
                        <m:eqArrPr>
                          <m:ctrlPr>
                            <w:rPr>
                              <w:rFonts w:ascii="Cambria Math" w:eastAsia="Calibri" w:hAnsi="Cambria Math" w:cs="Arial"/>
                              <w:bCs/>
                              <w:i/>
                              <w:szCs w:val="20"/>
                              <w:lang w:val="en-US" w:eastAsia="it-IT"/>
                            </w:rPr>
                          </m:ctrlPr>
                        </m:eqArrPr>
                        <m:e>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S</m:t>
                              </m:r>
                            </m:e>
                            <m:sub>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m:t>
                              </m:r>
                            </m:sub>
                          </m:sSub>
                          <m:r>
                            <w:rPr>
                              <w:rFonts w:ascii="Cambria Math" w:eastAsia="Calibri" w:hAnsi="Cambria Math" w:cs="Arial"/>
                              <w:szCs w:val="20"/>
                              <w:lang w:val="en-US" w:eastAsia="it-IT"/>
                            </w:rPr>
                            <m:t>×</m:t>
                          </m:r>
                          <m:r>
                            <w:rPr>
                              <w:rFonts w:ascii="Cambria Math" w:eastAsia="Calibri" w:hAnsi="Cambria Math" w:cs="Arial"/>
                              <w:szCs w:val="20"/>
                              <w:lang w:val="en-US" w:eastAsia="it-IT"/>
                            </w:rPr>
                            <m:t>Rfacto</m:t>
                          </m:r>
                          <m:sSub>
                            <m:sSubPr>
                              <m:ctrlPr>
                                <w:rPr>
                                  <w:rFonts w:ascii="Cambria Math" w:eastAsia="Calibri" w:hAnsi="Cambria Math" w:cs="Arial"/>
                                  <w:bCs/>
                                  <w:i/>
                                  <w:szCs w:val="20"/>
                                  <w:lang w:val="en-US" w:eastAsia="it-IT"/>
                                </w:rPr>
                              </m:ctrlPr>
                            </m:sSubPr>
                            <m:e>
                              <m:r>
                                <w:rPr>
                                  <w:rFonts w:ascii="Cambria Math" w:eastAsia="Calibri" w:hAnsi="Cambria Math" w:cs="Arial"/>
                                  <w:szCs w:val="20"/>
                                  <w:lang w:val="en-US" w:eastAsia="it-IT"/>
                                </w:rPr>
                                <m:t>r</m:t>
                              </m:r>
                            </m:e>
                            <m:sub>
                              <m:r>
                                <w:rPr>
                                  <w:rFonts w:ascii="Cambria Math" w:eastAsia="Calibri" w:hAnsi="Cambria Math" w:cs="Arial"/>
                                  <w:szCs w:val="20"/>
                                  <w:lang w:val="en-US" w:eastAsia="it-IT"/>
                                </w:rPr>
                                <m:t>t</m:t>
                              </m:r>
                            </m:sub>
                          </m:sSub>
                        </m:e>
                        <m:e/>
                      </m:eqArr>
                    </m:den>
                  </m:f>
                  <m:r>
                    <m:rPr>
                      <m:sty m:val="p"/>
                    </m:rPr>
                    <w:rPr>
                      <w:rFonts w:ascii="Cambria Math" w:eastAsia="Calibri" w:hAnsi="Cambria Math" w:cs="Arial"/>
                      <w:szCs w:val="20"/>
                      <w:lang w:val="en-US" w:eastAsia="it-IT"/>
                    </w:rPr>
                    <m:t>-</m:t>
                  </m:r>
                  <m:r>
                    <m:rPr>
                      <m:sty m:val="p"/>
                    </m:rPr>
                    <w:rPr>
                      <w:rFonts w:ascii="Cambria Math" w:eastAsia="Calibri" w:cs="Arial"/>
                      <w:szCs w:val="20"/>
                      <w:lang w:val="en-US" w:eastAsia="it-IT"/>
                    </w:rPr>
                    <m:t>1</m:t>
                  </m:r>
                </m:e>
              </m:d>
            </m:oMath>
            <w:r w:rsidR="00853D4F" w:rsidRPr="00E65655">
              <w:rPr>
                <w:rFonts w:cs="Arial"/>
                <w:bCs/>
                <w:szCs w:val="20"/>
                <w:lang w:val="en-US" w:eastAsia="it-IT"/>
              </w:rPr>
              <w:t xml:space="preserve"> </w:t>
            </w:r>
          </w:p>
        </w:tc>
      </w:tr>
      <w:tr w:rsidR="00927F06" w:rsidRPr="00E65655" w14:paraId="26D42098" w14:textId="77777777" w:rsidTr="00B227DE">
        <w:tc>
          <w:tcPr>
            <w:tcW w:w="2880" w:type="dxa"/>
          </w:tcPr>
          <w:p w14:paraId="1351253A" w14:textId="77777777" w:rsidR="00927F06" w:rsidRPr="00E65655" w:rsidRDefault="00187794" w:rsidP="00853D4F">
            <w:pPr>
              <w:spacing w:before="120" w:after="120" w:line="290" w:lineRule="auto"/>
              <w:jc w:val="center"/>
              <w:rPr>
                <w:rFonts w:eastAsia="Calibri" w:cs="Arial"/>
                <w:b/>
                <w:bCs/>
                <w:szCs w:val="20"/>
                <w:lang w:val="en-US" w:eastAsia="it-IT"/>
              </w:rPr>
            </w:pPr>
            <m:oMathPara>
              <m:oMath>
                <m:sSub>
                  <m:sSubPr>
                    <m:ctrlPr>
                      <w:rPr>
                        <w:rFonts w:ascii="Cambria Math" w:eastAsia="Calibri" w:hAnsi="Cambria Math" w:cs="Arial"/>
                        <w:b/>
                        <w:bCs/>
                        <w:szCs w:val="20"/>
                        <w:lang w:val="en-US" w:eastAsia="it-IT"/>
                      </w:rPr>
                    </m:ctrlPr>
                  </m:sSubPr>
                  <m:e>
                    <m:r>
                      <m:rPr>
                        <m:sty m:val="b"/>
                      </m:rPr>
                      <w:rPr>
                        <w:rFonts w:ascii="Cambria Math" w:eastAsia="Calibri" w:hAnsi="Cambria Math" w:cs="Arial"/>
                        <w:szCs w:val="20"/>
                        <w:lang w:val="en-US" w:eastAsia="it-IT"/>
                      </w:rPr>
                      <m:t>FC</m:t>
                    </m:r>
                  </m:e>
                  <m:sub>
                    <m:r>
                      <m:rPr>
                        <m:sty m:val="b"/>
                      </m:rPr>
                      <w:rPr>
                        <w:rFonts w:ascii="Cambria Math" w:eastAsia="Calibri" w:hAnsi="Cambria Math" w:cs="Arial"/>
                        <w:szCs w:val="20"/>
                        <w:lang w:val="en-US" w:eastAsia="it-IT"/>
                      </w:rPr>
                      <m:t>t</m:t>
                    </m:r>
                    <m:r>
                      <m:rPr>
                        <m:sty m:val="b"/>
                      </m:rPr>
                      <w:rPr>
                        <w:rFonts w:eastAsia="Calibri" w:cs="Arial"/>
                        <w:szCs w:val="20"/>
                        <w:lang w:val="en-US" w:eastAsia="it-IT"/>
                      </w:rPr>
                      <m:t>-</m:t>
                    </m:r>
                    <m:r>
                      <m:rPr>
                        <m:sty m:val="b"/>
                      </m:rPr>
                      <w:rPr>
                        <w:rFonts w:ascii="Cambria Math" w:eastAsia="Calibri" w:hAnsi="Cambria Math" w:cs="Arial"/>
                        <w:szCs w:val="20"/>
                        <w:lang w:val="en-US" w:eastAsia="it-IT"/>
                      </w:rPr>
                      <m:t>1</m:t>
                    </m:r>
                    <m:r>
                      <m:rPr>
                        <m:sty m:val="b"/>
                      </m:rPr>
                      <w:rPr>
                        <w:rFonts w:ascii="Cambria Math" w:eastAsia="Calibri" w:cs="Arial"/>
                        <w:szCs w:val="20"/>
                        <w:lang w:val="en-US" w:eastAsia="it-IT"/>
                      </w:rPr>
                      <m:t>,</m:t>
                    </m:r>
                    <m:r>
                      <m:rPr>
                        <m:sty m:val="b"/>
                      </m:rPr>
                      <w:rPr>
                        <w:rFonts w:ascii="Cambria Math" w:eastAsia="Calibri" w:hAnsi="Cambria Math" w:cs="Arial"/>
                        <w:szCs w:val="20"/>
                        <w:lang w:val="en-US" w:eastAsia="it-IT"/>
                      </w:rPr>
                      <m:t>t</m:t>
                    </m:r>
                  </m:sub>
                </m:sSub>
              </m:oMath>
            </m:oMathPara>
          </w:p>
        </w:tc>
        <w:tc>
          <w:tcPr>
            <w:tcW w:w="6210" w:type="dxa"/>
          </w:tcPr>
          <w:p w14:paraId="2B0DD65F" w14:textId="197B7DD5" w:rsidR="00927F06" w:rsidRPr="00E65655" w:rsidRDefault="00927F06" w:rsidP="00853D4F">
            <w:pPr>
              <w:autoSpaceDE w:val="0"/>
              <w:autoSpaceDN w:val="0"/>
              <w:adjustRightInd w:val="0"/>
              <w:spacing w:before="120" w:after="120" w:line="290" w:lineRule="auto"/>
              <w:jc w:val="both"/>
              <w:rPr>
                <w:rFonts w:eastAsia="Calibri" w:cs="Arial"/>
                <w:bCs/>
                <w:szCs w:val="20"/>
                <w:lang w:val="en-US" w:eastAsia="it-IT"/>
              </w:rPr>
            </w:pPr>
            <w:r w:rsidRPr="00E65655">
              <w:rPr>
                <w:rFonts w:eastAsia="Calibri" w:cs="Arial"/>
                <w:szCs w:val="20"/>
                <w:lang w:val="en-US" w:eastAsia="it-IT"/>
              </w:rPr>
              <w:t xml:space="preserve">means, the Funding Cost between Observation Date(t-1) (included) and Observation Date(t) (excluded) calculated as </w:t>
            </w:r>
            <w:r w:rsidR="00380DB3" w:rsidRPr="00E65655">
              <w:rPr>
                <w:rFonts w:eastAsia="Calibri" w:cs="Arial"/>
                <w:szCs w:val="20"/>
                <w:lang w:val="en-US" w:eastAsia="it-IT"/>
              </w:rPr>
              <w:t>follows:</w:t>
            </w:r>
          </w:p>
          <w:p w14:paraId="4CE5CC1C" w14:textId="77777777" w:rsidR="00927F06" w:rsidRPr="00E65655" w:rsidRDefault="00187794" w:rsidP="00853D4F">
            <w:pPr>
              <w:spacing w:before="120" w:after="120" w:line="290" w:lineRule="auto"/>
              <w:jc w:val="both"/>
              <w:rPr>
                <w:rFonts w:cs="Arial"/>
                <w:caps/>
                <w:color w:val="000000"/>
                <w:szCs w:val="20"/>
                <w:lang w:val="en-US"/>
              </w:rPr>
            </w:pPr>
            <m:oMathPara>
              <m:oMath>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FC</m:t>
                    </m:r>
                  </m:e>
                  <m:sub>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1,t</m:t>
                    </m:r>
                  </m:sub>
                </m:sSub>
                <m:r>
                  <m:rPr>
                    <m:sty m:val="p"/>
                  </m:rPr>
                  <w:rPr>
                    <w:rFonts w:ascii="Cambria Math" w:eastAsia="Calibri" w:cs="Arial"/>
                    <w:szCs w:val="20"/>
                    <w:lang w:val="en-US" w:eastAsia="it-IT"/>
                  </w:rPr>
                  <m:t>=</m:t>
                </m:r>
                <m:r>
                  <m:rPr>
                    <m:sty m:val="b"/>
                  </m:rPr>
                  <w:rPr>
                    <w:rFonts w:ascii="Cambria Math" w:eastAsia="Calibri" w:cs="Arial"/>
                    <w:szCs w:val="20"/>
                    <w:lang w:val="en-US" w:eastAsia="it-IT"/>
                  </w:rPr>
                  <m:t xml:space="preserve"> </m:t>
                </m:r>
                <m:d>
                  <m:dPr>
                    <m:ctrlPr>
                      <w:rPr>
                        <w:rFonts w:ascii="Cambria Math" w:eastAsia="Calibri" w:hAnsi="Cambria Math" w:cs="Arial"/>
                        <w:bCs/>
                        <w:szCs w:val="20"/>
                        <w:lang w:val="en-US" w:eastAsia="it-IT"/>
                      </w:rPr>
                    </m:ctrlPr>
                  </m:dPr>
                  <m:e>
                    <m:r>
                      <m:rPr>
                        <m:sty m:val="p"/>
                      </m:rPr>
                      <w:rPr>
                        <w:rFonts w:ascii="Cambria Math" w:eastAsia="Calibri" w:cs="Arial"/>
                        <w:szCs w:val="20"/>
                        <w:lang w:val="en-US" w:eastAsia="it-IT"/>
                      </w:rPr>
                      <m:t>Leverage</m:t>
                    </m:r>
                    <m:r>
                      <m:rPr>
                        <m:sty m:val="p"/>
                      </m:rPr>
                      <w:rPr>
                        <w:rFonts w:ascii="Cambria Math" w:eastAsia="Calibri" w:cs="Arial"/>
                        <w:szCs w:val="20"/>
                        <w:lang w:val="en-US" w:eastAsia="it-IT"/>
                      </w:rPr>
                      <m:t>-</m:t>
                    </m:r>
                    <m:r>
                      <m:rPr>
                        <m:sty m:val="p"/>
                      </m:rPr>
                      <w:rPr>
                        <w:rFonts w:ascii="Cambria Math" w:eastAsia="Calibri" w:cs="Arial"/>
                        <w:szCs w:val="20"/>
                        <w:lang w:val="en-US" w:eastAsia="it-IT"/>
                      </w:rPr>
                      <m:t>1</m:t>
                    </m:r>
                  </m:e>
                </m:d>
                <m:r>
                  <m:rPr>
                    <m:sty m:val="p"/>
                  </m:rPr>
                  <w:rPr>
                    <w:rFonts w:ascii="Cambria Math" w:eastAsia="Calibri" w:cs="Arial"/>
                    <w:szCs w:val="20"/>
                    <w:lang w:val="en-US" w:eastAsia="it-IT"/>
                  </w:rPr>
                  <m:t>×</m:t>
                </m:r>
                <m:f>
                  <m:fPr>
                    <m:ctrlPr>
                      <w:rPr>
                        <w:rFonts w:ascii="Cambria Math" w:eastAsia="Calibri" w:hAnsi="Cambria Math" w:cs="Arial"/>
                        <w:bCs/>
                        <w:szCs w:val="20"/>
                        <w:lang w:val="en-US" w:eastAsia="it-IT"/>
                      </w:rPr>
                    </m:ctrlPr>
                  </m:fPr>
                  <m:num>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Rate</m:t>
                        </m:r>
                      </m:e>
                      <m:sub>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m:t>
                        </m:r>
                      </m:sub>
                    </m:sSub>
                    <m:r>
                      <m:rPr>
                        <m:sty m:val="p"/>
                      </m:rPr>
                      <w:rPr>
                        <w:rFonts w:ascii="Cambria Math" w:eastAsia="Calibri" w:cs="Arial"/>
                        <w:szCs w:val="20"/>
                        <w:lang w:val="en-US" w:eastAsia="it-IT"/>
                      </w:rPr>
                      <m:t>×</m:t>
                    </m:r>
                    <m:r>
                      <m:rPr>
                        <m:sty m:val="p"/>
                      </m:rPr>
                      <w:rPr>
                        <w:rFonts w:ascii="Cambria Math" w:eastAsia="Calibri" w:cs="Arial"/>
                        <w:szCs w:val="20"/>
                        <w:lang w:val="en-US" w:eastAsia="it-IT"/>
                      </w:rPr>
                      <m:t>ACT</m:t>
                    </m:r>
                    <m:d>
                      <m:dPr>
                        <m:ctrlPr>
                          <w:rPr>
                            <w:rFonts w:ascii="Cambria Math" w:eastAsia="Calibri" w:hAnsi="Cambria Math" w:cs="Arial"/>
                            <w:bCs/>
                            <w:szCs w:val="20"/>
                            <w:lang w:val="en-US" w:eastAsia="it-IT"/>
                          </w:rPr>
                        </m:ctrlPr>
                      </m:dPr>
                      <m:e>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1,t</m:t>
                        </m:r>
                      </m:e>
                    </m:d>
                  </m:num>
                  <m:den>
                    <m:r>
                      <m:rPr>
                        <m:sty m:val="p"/>
                      </m:rPr>
                      <w:rPr>
                        <w:rFonts w:ascii="Cambria Math" w:eastAsia="Calibri" w:cs="Arial"/>
                        <w:szCs w:val="20"/>
                        <w:lang w:val="en-US" w:eastAsia="it-IT"/>
                      </w:rPr>
                      <m:t>DayCountBasisRate</m:t>
                    </m:r>
                  </m:den>
                </m:f>
              </m:oMath>
            </m:oMathPara>
          </w:p>
        </w:tc>
      </w:tr>
      <w:tr w:rsidR="00927F06" w:rsidRPr="00E65655" w14:paraId="12A5540C" w14:textId="77777777" w:rsidTr="00B227DE">
        <w:tc>
          <w:tcPr>
            <w:tcW w:w="2880" w:type="dxa"/>
          </w:tcPr>
          <w:p w14:paraId="32F33991" w14:textId="79E5D578" w:rsidR="00927F06" w:rsidRPr="00E65655" w:rsidRDefault="00187794" w:rsidP="00853D4F">
            <w:pPr>
              <w:spacing w:before="120" w:after="120" w:line="290" w:lineRule="auto"/>
              <w:jc w:val="center"/>
              <w:rPr>
                <w:rFonts w:cs="Arial"/>
                <w:b/>
                <w:szCs w:val="20"/>
                <w:lang w:val="en-US" w:eastAsia="it-IT"/>
              </w:rPr>
            </w:pPr>
            <m:oMathPara>
              <m:oMath>
                <m:sSub>
                  <m:sSubPr>
                    <m:ctrlPr>
                      <w:rPr>
                        <w:rFonts w:ascii="Cambria Math" w:eastAsia="Calibri" w:hAnsi="Cambria Math" w:cs="Arial"/>
                        <w:b/>
                        <w:szCs w:val="20"/>
                        <w:lang w:val="en-US" w:eastAsia="it-IT"/>
                      </w:rPr>
                    </m:ctrlPr>
                  </m:sSubPr>
                  <m:e>
                    <m:r>
                      <m:rPr>
                        <m:sty m:val="b"/>
                      </m:rPr>
                      <w:rPr>
                        <w:rFonts w:ascii="Cambria Math" w:eastAsia="Calibri" w:hAnsi="Cambria Math" w:cs="Arial"/>
                        <w:szCs w:val="20"/>
                        <w:lang w:val="en-US" w:eastAsia="it-IT"/>
                      </w:rPr>
                      <m:t>SB</m:t>
                    </m:r>
                  </m:e>
                  <m:sub>
                    <m:r>
                      <m:rPr>
                        <m:sty m:val="b"/>
                      </m:rPr>
                      <w:rPr>
                        <w:rFonts w:ascii="Cambria Math" w:eastAsia="Calibri" w:hAnsi="Cambria Math" w:cs="Arial"/>
                        <w:szCs w:val="20"/>
                        <w:lang w:val="en-US" w:eastAsia="it-IT"/>
                      </w:rPr>
                      <m:t>t</m:t>
                    </m:r>
                    <m:r>
                      <m:rPr>
                        <m:sty m:val="b"/>
                      </m:rPr>
                      <w:rPr>
                        <w:rFonts w:eastAsia="Calibri" w:cs="Arial"/>
                        <w:szCs w:val="20"/>
                        <w:lang w:val="en-US" w:eastAsia="it-IT"/>
                      </w:rPr>
                      <m:t>-</m:t>
                    </m:r>
                    <m:r>
                      <m:rPr>
                        <m:sty m:val="b"/>
                      </m:rPr>
                      <w:rPr>
                        <w:rFonts w:ascii="Cambria Math" w:eastAsia="Calibri" w:hAnsi="Cambria Math" w:cs="Arial"/>
                        <w:szCs w:val="20"/>
                        <w:lang w:val="en-US" w:eastAsia="it-IT"/>
                      </w:rPr>
                      <m:t>1</m:t>
                    </m:r>
                    <m:r>
                      <m:rPr>
                        <m:sty m:val="b"/>
                      </m:rPr>
                      <w:rPr>
                        <w:rFonts w:ascii="Cambria Math" w:eastAsia="Calibri" w:cs="Arial"/>
                        <w:szCs w:val="20"/>
                        <w:lang w:val="en-US" w:eastAsia="it-IT"/>
                      </w:rPr>
                      <m:t>,</m:t>
                    </m:r>
                    <m:r>
                      <m:rPr>
                        <m:sty m:val="b"/>
                      </m:rPr>
                      <w:rPr>
                        <w:rFonts w:ascii="Cambria Math" w:eastAsia="Calibri" w:hAnsi="Cambria Math" w:cs="Arial"/>
                        <w:szCs w:val="20"/>
                        <w:lang w:val="en-US" w:eastAsia="it-IT"/>
                      </w:rPr>
                      <m:t>t</m:t>
                    </m:r>
                  </m:sub>
                </m:sSub>
              </m:oMath>
            </m:oMathPara>
          </w:p>
        </w:tc>
        <w:tc>
          <w:tcPr>
            <w:tcW w:w="6210" w:type="dxa"/>
          </w:tcPr>
          <w:p w14:paraId="37F43B0E" w14:textId="433FDCAD" w:rsidR="00927F06" w:rsidRPr="00E65655" w:rsidRDefault="00927F06" w:rsidP="00853D4F">
            <w:pPr>
              <w:autoSpaceDE w:val="0"/>
              <w:autoSpaceDN w:val="0"/>
              <w:adjustRightInd w:val="0"/>
              <w:spacing w:before="120" w:after="120" w:line="290" w:lineRule="auto"/>
              <w:jc w:val="both"/>
              <w:rPr>
                <w:rFonts w:eastAsia="Calibri" w:cs="Arial"/>
                <w:szCs w:val="20"/>
                <w:lang w:val="en-US" w:eastAsia="it-IT"/>
              </w:rPr>
            </w:pPr>
            <w:r w:rsidRPr="00E65655">
              <w:rPr>
                <w:rFonts w:eastAsia="Calibri" w:cs="Arial"/>
                <w:szCs w:val="20"/>
                <w:lang w:val="en-US" w:eastAsia="it-IT"/>
              </w:rPr>
              <w:t>means the Stock Borrowing Cost between Observation Date(t-1) (included) and Observation Date(t) (</w:t>
            </w:r>
            <w:r w:rsidR="007F0318" w:rsidRPr="00E65655">
              <w:rPr>
                <w:rFonts w:eastAsia="Calibri" w:cs="Arial"/>
                <w:szCs w:val="20"/>
                <w:lang w:val="en-US" w:eastAsia="it-IT"/>
              </w:rPr>
              <w:t>excluded) calculated as follows</w:t>
            </w:r>
            <w:r w:rsidRPr="00E65655">
              <w:rPr>
                <w:rFonts w:eastAsia="Calibri" w:cs="Arial"/>
                <w:szCs w:val="20"/>
                <w:lang w:val="en-US" w:eastAsia="it-IT"/>
              </w:rPr>
              <w:t>:</w:t>
            </w:r>
          </w:p>
          <w:p w14:paraId="694EE49D" w14:textId="013B523C" w:rsidR="00927F06" w:rsidRPr="00E65655" w:rsidRDefault="00187794" w:rsidP="00853D4F">
            <w:pPr>
              <w:spacing w:before="120" w:after="120" w:line="290" w:lineRule="auto"/>
              <w:jc w:val="both"/>
              <w:rPr>
                <w:rFonts w:eastAsia="Calibri" w:cs="Arial"/>
                <w:bCs/>
                <w:szCs w:val="20"/>
                <w:lang w:val="en-US" w:eastAsia="it-IT"/>
              </w:rPr>
            </w:pPr>
            <m:oMathPara>
              <m:oMath>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SB</m:t>
                    </m:r>
                  </m:e>
                  <m:sub>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1,t</m:t>
                    </m:r>
                  </m:sub>
                </m:sSub>
                <m:r>
                  <m:rPr>
                    <m:sty m:val="p"/>
                  </m:rPr>
                  <w:rPr>
                    <w:rFonts w:ascii="Cambria Math" w:eastAsia="Calibri" w:cs="Arial"/>
                    <w:szCs w:val="20"/>
                    <w:lang w:val="en-US" w:eastAsia="it-IT"/>
                  </w:rPr>
                  <m:t>=</m:t>
                </m:r>
                <m:r>
                  <m:rPr>
                    <m:sty m:val="p"/>
                  </m:rPr>
                  <w:rPr>
                    <w:rFonts w:ascii="Cambria Math" w:eastAsia="Calibri" w:cs="Arial"/>
                    <w:szCs w:val="20"/>
                    <w:lang w:val="en-US" w:eastAsia="it-IT"/>
                  </w:rPr>
                  <m:t>-</m:t>
                </m:r>
                <m:r>
                  <m:rPr>
                    <m:sty m:val="p"/>
                  </m:rPr>
                  <w:rPr>
                    <w:rFonts w:ascii="Cambria Math" w:eastAsia="Calibri" w:cs="Arial"/>
                    <w:szCs w:val="20"/>
                    <w:lang w:val="en-US" w:eastAsia="it-IT"/>
                  </w:rPr>
                  <m:t>Leverage</m:t>
                </m:r>
                <m:r>
                  <m:rPr>
                    <m:sty m:val="p"/>
                  </m:rPr>
                  <w:rPr>
                    <w:rFonts w:ascii="Cambria Math" w:eastAsia="Calibri" w:cs="Arial"/>
                    <w:szCs w:val="20"/>
                    <w:lang w:val="en-US" w:eastAsia="it-IT"/>
                  </w:rPr>
                  <m:t>×</m:t>
                </m:r>
                <m:f>
                  <m:fPr>
                    <m:ctrlPr>
                      <w:rPr>
                        <w:rFonts w:ascii="Cambria Math" w:eastAsia="Calibri" w:hAnsi="Cambria Math" w:cs="Arial"/>
                        <w:bCs/>
                        <w:szCs w:val="20"/>
                        <w:lang w:val="en-US" w:eastAsia="it-IT"/>
                      </w:rPr>
                    </m:ctrlPr>
                  </m:fPr>
                  <m:num>
                    <m:r>
                      <m:rPr>
                        <m:sty m:val="p"/>
                      </m:rPr>
                      <w:rPr>
                        <w:rFonts w:ascii="Cambria Math" w:eastAsia="Calibri" w:cs="Arial"/>
                        <w:szCs w:val="20"/>
                        <w:lang w:val="en-US" w:eastAsia="it-IT"/>
                      </w:rPr>
                      <m:t>CB</m:t>
                    </m:r>
                    <m:r>
                      <m:rPr>
                        <m:sty m:val="p"/>
                      </m:rPr>
                      <w:rPr>
                        <w:rFonts w:ascii="Cambria Math" w:eastAsia="Calibri" w:cs="Arial"/>
                        <w:szCs w:val="20"/>
                        <w:lang w:val="en-US" w:eastAsia="it-IT"/>
                      </w:rPr>
                      <m:t>×</m:t>
                    </m:r>
                    <m:r>
                      <m:rPr>
                        <m:sty m:val="p"/>
                      </m:rPr>
                      <w:rPr>
                        <w:rFonts w:ascii="Cambria Math" w:eastAsia="Calibri" w:cs="Arial"/>
                        <w:szCs w:val="20"/>
                        <w:lang w:val="en-US" w:eastAsia="it-IT"/>
                      </w:rPr>
                      <m:t>ACT</m:t>
                    </m:r>
                    <m:d>
                      <m:dPr>
                        <m:ctrlPr>
                          <w:rPr>
                            <w:rFonts w:ascii="Cambria Math" w:eastAsia="Calibri" w:hAnsi="Cambria Math" w:cs="Arial"/>
                            <w:bCs/>
                            <w:szCs w:val="20"/>
                            <w:lang w:val="en-US" w:eastAsia="it-IT"/>
                          </w:rPr>
                        </m:ctrlPr>
                      </m:dPr>
                      <m:e>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1,t</m:t>
                        </m:r>
                      </m:e>
                    </m:d>
                  </m:num>
                  <m:den>
                    <m:r>
                      <m:rPr>
                        <m:sty m:val="p"/>
                      </m:rPr>
                      <w:rPr>
                        <w:rFonts w:ascii="Cambria Math" w:eastAsia="Calibri" w:cs="Arial"/>
                        <w:szCs w:val="20"/>
                        <w:lang w:val="en-US" w:eastAsia="it-IT"/>
                      </w:rPr>
                      <m:t>DayCountBasisRate</m:t>
                    </m:r>
                  </m:den>
                </m:f>
              </m:oMath>
            </m:oMathPara>
          </w:p>
        </w:tc>
      </w:tr>
      <w:tr w:rsidR="00927F06" w:rsidRPr="00E65655" w14:paraId="35589867" w14:textId="77777777" w:rsidTr="00B227DE">
        <w:tc>
          <w:tcPr>
            <w:tcW w:w="2880" w:type="dxa"/>
          </w:tcPr>
          <w:p w14:paraId="6B96113F" w14:textId="77777777" w:rsidR="00927F06" w:rsidRPr="00E65655" w:rsidRDefault="00927F06" w:rsidP="00853D4F">
            <w:pPr>
              <w:spacing w:before="120" w:after="120" w:line="290" w:lineRule="auto"/>
              <w:jc w:val="center"/>
              <w:rPr>
                <w:rFonts w:cs="Arial"/>
                <w:b/>
                <w:szCs w:val="20"/>
                <w:lang w:val="en-US" w:eastAsia="it-IT"/>
              </w:rPr>
            </w:pPr>
            <w:r w:rsidRPr="00E65655">
              <w:rPr>
                <w:rFonts w:cs="Arial"/>
                <w:b/>
                <w:szCs w:val="20"/>
                <w:lang w:val="en-US" w:eastAsia="it-IT"/>
              </w:rPr>
              <w:t>CB</w:t>
            </w:r>
          </w:p>
        </w:tc>
        <w:tc>
          <w:tcPr>
            <w:tcW w:w="6210" w:type="dxa"/>
          </w:tcPr>
          <w:p w14:paraId="77208343" w14:textId="08163AA3" w:rsidR="007F0318" w:rsidRPr="00E65655" w:rsidRDefault="00927F06" w:rsidP="00853D4F">
            <w:pPr>
              <w:autoSpaceDE w:val="0"/>
              <w:autoSpaceDN w:val="0"/>
              <w:adjustRightInd w:val="0"/>
              <w:spacing w:before="120" w:after="120" w:line="290" w:lineRule="auto"/>
              <w:jc w:val="both"/>
              <w:rPr>
                <w:rFonts w:eastAsia="Calibri" w:cs="Arial"/>
                <w:szCs w:val="20"/>
                <w:lang w:val="en-US" w:eastAsia="it-IT"/>
              </w:rPr>
            </w:pPr>
            <w:r w:rsidRPr="00E65655">
              <w:rPr>
                <w:rFonts w:eastAsia="Calibri" w:cs="Arial"/>
                <w:szCs w:val="20"/>
                <w:lang w:val="en-US" w:eastAsia="it-IT"/>
              </w:rPr>
              <w:t>means the Cost of Borrow</w:t>
            </w:r>
            <w:r w:rsidR="007F0318" w:rsidRPr="00E65655">
              <w:rPr>
                <w:rFonts w:eastAsia="Calibri" w:cs="Arial"/>
                <w:szCs w:val="20"/>
                <w:lang w:val="en-US" w:eastAsia="it-IT"/>
              </w:rPr>
              <w:t>ing applicable that is equal to</w:t>
            </w:r>
            <w:r w:rsidR="00E634AB" w:rsidRPr="00E65655">
              <w:rPr>
                <w:rFonts w:eastAsia="Calibri" w:cs="Arial"/>
                <w:szCs w:val="20"/>
                <w:lang w:val="en-US" w:eastAsia="it-IT"/>
              </w:rPr>
              <w:t>:</w:t>
            </w:r>
            <w:r w:rsidR="00686A16" w:rsidRPr="00E65655">
              <w:rPr>
                <w:rFonts w:eastAsia="Calibri" w:cs="Arial"/>
                <w:szCs w:val="20"/>
                <w:lang w:val="en-US" w:eastAsia="it-IT"/>
              </w:rPr>
              <w:t xml:space="preserve"> </w:t>
            </w:r>
            <w:r w:rsidR="006271C2" w:rsidRPr="00E65655">
              <w:rPr>
                <w:rFonts w:eastAsiaTheme="minorEastAsia" w:cs="Arial"/>
                <w:bCs/>
                <w:szCs w:val="20"/>
                <w:lang w:val="en-US" w:eastAsia="zh-CN"/>
              </w:rPr>
              <w:t>4</w:t>
            </w:r>
            <w:r w:rsidR="00E356B6" w:rsidRPr="00E65655">
              <w:rPr>
                <w:rFonts w:eastAsiaTheme="minorEastAsia" w:cs="Arial" w:hint="eastAsia"/>
                <w:bCs/>
                <w:szCs w:val="20"/>
                <w:lang w:val="en-US" w:eastAsia="zh-CN"/>
              </w:rPr>
              <w:t>.</w:t>
            </w:r>
            <w:r w:rsidR="006271C2" w:rsidRPr="00E65655">
              <w:rPr>
                <w:rFonts w:eastAsiaTheme="minorEastAsia" w:cs="Arial"/>
                <w:bCs/>
                <w:szCs w:val="20"/>
                <w:lang w:val="en-US" w:eastAsia="zh-CN"/>
              </w:rPr>
              <w:t>0</w:t>
            </w:r>
            <w:r w:rsidR="00E356B6" w:rsidRPr="00E65655">
              <w:rPr>
                <w:rFonts w:eastAsiaTheme="minorEastAsia" w:cs="Arial" w:hint="eastAsia"/>
                <w:bCs/>
                <w:szCs w:val="20"/>
                <w:lang w:val="en-US" w:eastAsia="zh-CN"/>
              </w:rPr>
              <w:t>0</w:t>
            </w:r>
            <w:r w:rsidR="00686A16" w:rsidRPr="00E65655">
              <w:rPr>
                <w:rFonts w:eastAsia="Calibri" w:cs="Arial"/>
                <w:szCs w:val="20"/>
                <w:lang w:val="en-US" w:eastAsia="it-IT"/>
              </w:rPr>
              <w:t>%</w:t>
            </w:r>
          </w:p>
        </w:tc>
      </w:tr>
      <w:tr w:rsidR="00927F06" w:rsidRPr="00E65655" w14:paraId="746A8B78" w14:textId="77777777" w:rsidTr="00B227DE">
        <w:tc>
          <w:tcPr>
            <w:tcW w:w="2880" w:type="dxa"/>
          </w:tcPr>
          <w:p w14:paraId="22DB7306" w14:textId="77777777" w:rsidR="00927F06" w:rsidRPr="00E65655" w:rsidRDefault="00187794" w:rsidP="00853D4F">
            <w:pPr>
              <w:spacing w:before="120" w:after="120" w:line="290" w:lineRule="auto"/>
              <w:jc w:val="center"/>
              <w:rPr>
                <w:rFonts w:eastAsia="Calibri" w:cs="Arial"/>
                <w:b/>
                <w:bCs/>
                <w:szCs w:val="20"/>
                <w:lang w:val="en-US" w:eastAsia="it-IT"/>
              </w:rPr>
            </w:pPr>
            <m:oMathPara>
              <m:oMath>
                <m:sSub>
                  <m:sSubPr>
                    <m:ctrlPr>
                      <w:rPr>
                        <w:rFonts w:ascii="Cambria Math" w:eastAsia="Calibri" w:hAnsi="Cambria Math" w:cs="Arial"/>
                        <w:b/>
                        <w:szCs w:val="20"/>
                        <w:lang w:val="en-US" w:eastAsia="it-IT"/>
                      </w:rPr>
                    </m:ctrlPr>
                  </m:sSubPr>
                  <m:e>
                    <m:r>
                      <m:rPr>
                        <m:sty m:val="b"/>
                      </m:rPr>
                      <w:rPr>
                        <w:rFonts w:ascii="Cambria Math" w:eastAsia="Calibri" w:hAnsi="Cambria Math" w:cs="Arial"/>
                        <w:szCs w:val="20"/>
                        <w:lang w:val="en-US" w:eastAsia="it-IT"/>
                      </w:rPr>
                      <m:t>RC</m:t>
                    </m:r>
                  </m:e>
                  <m:sub>
                    <m:r>
                      <m:rPr>
                        <m:sty m:val="b"/>
                      </m:rPr>
                      <w:rPr>
                        <w:rFonts w:ascii="Cambria Math" w:eastAsia="Calibri" w:hAnsi="Cambria Math" w:cs="Arial"/>
                        <w:szCs w:val="20"/>
                        <w:lang w:val="en-US" w:eastAsia="it-IT"/>
                      </w:rPr>
                      <m:t>t</m:t>
                    </m:r>
                    <m:r>
                      <m:rPr>
                        <m:sty m:val="b"/>
                      </m:rPr>
                      <w:rPr>
                        <w:rFonts w:eastAsia="Calibri" w:cs="Arial"/>
                        <w:szCs w:val="20"/>
                        <w:lang w:val="en-US" w:eastAsia="it-IT"/>
                      </w:rPr>
                      <m:t>-</m:t>
                    </m:r>
                    <m:r>
                      <m:rPr>
                        <m:sty m:val="b"/>
                      </m:rPr>
                      <w:rPr>
                        <w:rFonts w:ascii="Cambria Math" w:eastAsia="Calibri" w:hAnsi="Cambria Math" w:cs="Arial"/>
                        <w:szCs w:val="20"/>
                        <w:lang w:val="en-US" w:eastAsia="it-IT"/>
                      </w:rPr>
                      <m:t>1</m:t>
                    </m:r>
                    <m:r>
                      <m:rPr>
                        <m:sty m:val="b"/>
                      </m:rPr>
                      <w:rPr>
                        <w:rFonts w:ascii="Cambria Math" w:eastAsia="Calibri" w:cs="Arial"/>
                        <w:szCs w:val="20"/>
                        <w:lang w:val="en-US" w:eastAsia="it-IT"/>
                      </w:rPr>
                      <m:t>,</m:t>
                    </m:r>
                    <m:r>
                      <m:rPr>
                        <m:sty m:val="b"/>
                      </m:rPr>
                      <w:rPr>
                        <w:rFonts w:ascii="Cambria Math" w:eastAsia="Calibri" w:hAnsi="Cambria Math" w:cs="Arial"/>
                        <w:szCs w:val="20"/>
                        <w:lang w:val="en-US" w:eastAsia="it-IT"/>
                      </w:rPr>
                      <m:t>t</m:t>
                    </m:r>
                  </m:sub>
                </m:sSub>
              </m:oMath>
            </m:oMathPara>
          </w:p>
        </w:tc>
        <w:tc>
          <w:tcPr>
            <w:tcW w:w="6210" w:type="dxa"/>
          </w:tcPr>
          <w:p w14:paraId="57D86B38" w14:textId="6340E481" w:rsidR="00927F06" w:rsidRPr="00E65655" w:rsidRDefault="00927F06" w:rsidP="00853D4F">
            <w:pPr>
              <w:autoSpaceDE w:val="0"/>
              <w:autoSpaceDN w:val="0"/>
              <w:adjustRightInd w:val="0"/>
              <w:spacing w:before="120" w:after="120" w:line="290" w:lineRule="auto"/>
              <w:jc w:val="both"/>
              <w:rPr>
                <w:rFonts w:eastAsia="Calibri" w:cs="Arial"/>
                <w:bCs/>
                <w:szCs w:val="20"/>
                <w:lang w:val="en-US" w:eastAsia="it-IT"/>
              </w:rPr>
            </w:pPr>
            <w:r w:rsidRPr="00E65655">
              <w:rPr>
                <w:rFonts w:eastAsia="Calibri" w:cs="Arial"/>
                <w:szCs w:val="18"/>
                <w:lang w:val="en-US" w:eastAsia="it-IT"/>
              </w:rPr>
              <w:t xml:space="preserve">means the Rebalancing Cost of the Leverage Inverse Strategy on Observation Date (t), calculated as </w:t>
            </w:r>
            <w:r w:rsidR="00B756B4" w:rsidRPr="00E65655">
              <w:rPr>
                <w:rFonts w:eastAsia="Calibri" w:cs="Arial"/>
                <w:szCs w:val="18"/>
                <w:lang w:val="en-US" w:eastAsia="it-IT"/>
              </w:rPr>
              <w:t>follows:</w:t>
            </w:r>
          </w:p>
          <w:p w14:paraId="3034CB5D" w14:textId="1C647235" w:rsidR="00927F06" w:rsidRPr="00E65655" w:rsidRDefault="00187794" w:rsidP="00853D4F">
            <w:pPr>
              <w:spacing w:before="120" w:after="120" w:line="290" w:lineRule="auto"/>
              <w:jc w:val="both"/>
              <w:rPr>
                <w:rFonts w:cs="Arial"/>
                <w:color w:val="000000"/>
                <w:szCs w:val="20"/>
                <w:lang w:val="en-US"/>
              </w:rPr>
            </w:pPr>
            <m:oMath>
              <m:sSub>
                <m:sSubPr>
                  <m:ctrlPr>
                    <w:rPr>
                      <w:rFonts w:ascii="Cambria Math" w:eastAsia="Calibri" w:hAnsi="Cambria Math" w:cs="Arial"/>
                      <w:bCs/>
                      <w:sz w:val="18"/>
                      <w:szCs w:val="18"/>
                      <w:lang w:val="en-US" w:eastAsia="it-IT"/>
                    </w:rPr>
                  </m:ctrlPr>
                </m:sSubPr>
                <m:e>
                  <m:r>
                    <m:rPr>
                      <m:sty m:val="p"/>
                    </m:rPr>
                    <w:rPr>
                      <w:rFonts w:ascii="Cambria Math" w:eastAsia="Calibri" w:cs="Arial"/>
                      <w:sz w:val="18"/>
                      <w:szCs w:val="18"/>
                      <w:lang w:val="en-US" w:eastAsia="it-IT"/>
                    </w:rPr>
                    <m:t>RC</m:t>
                  </m:r>
                </m:e>
                <m:sub>
                  <m:r>
                    <m:rPr>
                      <m:sty m:val="p"/>
                    </m:rPr>
                    <w:rPr>
                      <w:rFonts w:ascii="Cambria Math" w:eastAsia="Calibri" w:cs="Arial"/>
                      <w:sz w:val="18"/>
                      <w:szCs w:val="18"/>
                      <w:lang w:val="en-US" w:eastAsia="it-IT"/>
                    </w:rPr>
                    <m:t>t</m:t>
                  </m:r>
                  <m:r>
                    <m:rPr>
                      <m:sty m:val="p"/>
                    </m:rPr>
                    <w:rPr>
                      <w:rFonts w:ascii="Cambria Math" w:eastAsia="Calibri" w:cs="Arial"/>
                      <w:sz w:val="18"/>
                      <w:szCs w:val="18"/>
                      <w:lang w:val="en-US" w:eastAsia="it-IT"/>
                    </w:rPr>
                    <m:t>-</m:t>
                  </m:r>
                  <m:r>
                    <m:rPr>
                      <m:sty m:val="p"/>
                    </m:rPr>
                    <w:rPr>
                      <w:rFonts w:ascii="Cambria Math" w:eastAsia="Calibri" w:cs="Arial"/>
                      <w:sz w:val="18"/>
                      <w:szCs w:val="18"/>
                      <w:lang w:val="en-US" w:eastAsia="it-IT"/>
                    </w:rPr>
                    <m:t>1,t</m:t>
                  </m:r>
                </m:sub>
              </m:sSub>
              <m:r>
                <m:rPr>
                  <m:sty m:val="p"/>
                </m:rPr>
                <w:rPr>
                  <w:rFonts w:ascii="Cambria Math" w:eastAsia="Calibri" w:cs="Arial"/>
                  <w:sz w:val="18"/>
                  <w:szCs w:val="18"/>
                  <w:lang w:val="en-US" w:eastAsia="it-IT"/>
                </w:rPr>
                <m:t>=</m:t>
              </m:r>
              <m:r>
                <m:rPr>
                  <m:sty m:val="b"/>
                </m:rPr>
                <w:rPr>
                  <w:rFonts w:ascii="Cambria Math" w:eastAsia="Calibri" w:cs="Arial"/>
                  <w:sz w:val="18"/>
                  <w:szCs w:val="18"/>
                  <w:lang w:val="en-US" w:eastAsia="it-IT"/>
                </w:rPr>
                <m:t xml:space="preserve"> </m:t>
              </m:r>
              <m:r>
                <m:rPr>
                  <m:sty m:val="p"/>
                </m:rPr>
                <w:rPr>
                  <w:rFonts w:ascii="Cambria Math" w:eastAsia="Calibri" w:cs="Arial"/>
                  <w:sz w:val="18"/>
                  <w:szCs w:val="18"/>
                  <w:lang w:val="en-US" w:eastAsia="it-IT"/>
                </w:rPr>
                <m:t>Leverage</m:t>
              </m:r>
              <m:r>
                <m:rPr>
                  <m:sty m:val="b"/>
                </m:rPr>
                <w:rPr>
                  <w:rFonts w:ascii="Cambria Math" w:eastAsia="Calibri" w:cs="Arial"/>
                  <w:sz w:val="18"/>
                  <w:szCs w:val="18"/>
                  <w:lang w:val="en-US" w:eastAsia="it-IT"/>
                </w:rPr>
                <m:t xml:space="preserve"> </m:t>
              </m:r>
              <m:r>
                <m:rPr>
                  <m:sty m:val="b"/>
                </m:rPr>
                <w:rPr>
                  <w:rFonts w:ascii="Cambria Math" w:eastAsia="Calibri" w:cs="Arial"/>
                  <w:sz w:val="18"/>
                  <w:szCs w:val="18"/>
                  <w:lang w:val="en-US" w:eastAsia="it-IT"/>
                </w:rPr>
                <m:t>×</m:t>
              </m:r>
              <m:d>
                <m:dPr>
                  <m:ctrlPr>
                    <w:rPr>
                      <w:rFonts w:ascii="Cambria Math" w:eastAsia="Calibri" w:hAnsi="Cambria Math" w:cs="Arial"/>
                      <w:bCs/>
                      <w:sz w:val="18"/>
                      <w:szCs w:val="18"/>
                      <w:lang w:val="en-US" w:eastAsia="it-IT"/>
                    </w:rPr>
                  </m:ctrlPr>
                </m:dPr>
                <m:e>
                  <m:r>
                    <m:rPr>
                      <m:sty m:val="p"/>
                    </m:rPr>
                    <w:rPr>
                      <w:rFonts w:ascii="Cambria Math" w:eastAsia="Calibri" w:cs="Arial"/>
                      <w:sz w:val="18"/>
                      <w:szCs w:val="18"/>
                      <w:lang w:val="en-US" w:eastAsia="it-IT"/>
                    </w:rPr>
                    <m:t>Leverage</m:t>
                  </m:r>
                  <m:r>
                    <m:rPr>
                      <m:sty m:val="p"/>
                    </m:rPr>
                    <w:rPr>
                      <w:rFonts w:ascii="Cambria Math" w:eastAsia="Calibri" w:cs="Arial"/>
                      <w:sz w:val="18"/>
                      <w:szCs w:val="18"/>
                      <w:lang w:val="en-US" w:eastAsia="it-IT"/>
                    </w:rPr>
                    <m:t>-</m:t>
                  </m:r>
                  <m:r>
                    <m:rPr>
                      <m:sty m:val="p"/>
                    </m:rPr>
                    <w:rPr>
                      <w:rFonts w:ascii="Cambria Math" w:eastAsia="Calibri" w:cs="Arial"/>
                      <w:sz w:val="18"/>
                      <w:szCs w:val="18"/>
                      <w:lang w:val="en-US" w:eastAsia="it-IT"/>
                    </w:rPr>
                    <m:t>1</m:t>
                  </m:r>
                </m:e>
              </m:d>
              <m:r>
                <m:rPr>
                  <m:sty m:val="p"/>
                </m:rPr>
                <w:rPr>
                  <w:rFonts w:ascii="Cambria Math" w:eastAsia="Calibri" w:cs="Arial"/>
                  <w:sz w:val="18"/>
                  <w:szCs w:val="18"/>
                  <w:lang w:val="en-US" w:eastAsia="it-IT"/>
                </w:rPr>
                <m:t>×</m:t>
              </m:r>
              <m:d>
                <m:dPr>
                  <m:ctrlPr>
                    <w:rPr>
                      <w:rFonts w:ascii="Cambria Math" w:eastAsia="Calibri" w:hAnsi="Cambria Math" w:cs="Arial"/>
                      <w:bCs/>
                      <w:sz w:val="18"/>
                      <w:szCs w:val="18"/>
                      <w:lang w:val="en-US" w:eastAsia="it-IT"/>
                    </w:rPr>
                  </m:ctrlPr>
                </m:dPr>
                <m:e>
                  <m:d>
                    <m:dPr>
                      <m:begChr m:val="|"/>
                      <m:endChr m:val="|"/>
                      <m:ctrlPr>
                        <w:rPr>
                          <w:rFonts w:ascii="Cambria Math" w:eastAsia="Calibri" w:hAnsi="Cambria Math" w:cs="Arial"/>
                          <w:bCs/>
                          <w:sz w:val="18"/>
                          <w:szCs w:val="18"/>
                          <w:lang w:val="en-US" w:eastAsia="it-IT"/>
                        </w:rPr>
                      </m:ctrlPr>
                    </m:dPr>
                    <m:e>
                      <m:f>
                        <m:fPr>
                          <m:ctrlPr>
                            <w:rPr>
                              <w:rFonts w:ascii="Cambria Math" w:eastAsia="Calibri" w:hAnsi="Cambria Math" w:cs="Arial"/>
                              <w:bCs/>
                              <w:szCs w:val="20"/>
                              <w:lang w:val="en-US" w:eastAsia="it-IT"/>
                            </w:rPr>
                          </m:ctrlPr>
                        </m:fPr>
                        <m:num>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S</m:t>
                              </m:r>
                            </m:e>
                            <m:sub>
                              <m:r>
                                <m:rPr>
                                  <m:sty m:val="p"/>
                                </m:rPr>
                                <w:rPr>
                                  <w:rFonts w:ascii="Cambria Math" w:eastAsia="Calibri" w:cs="Arial"/>
                                  <w:szCs w:val="20"/>
                                  <w:lang w:val="en-US" w:eastAsia="it-IT"/>
                                </w:rPr>
                                <m:t>t</m:t>
                              </m:r>
                            </m:sub>
                          </m:sSub>
                        </m:num>
                        <m:den>
                          <m:sSub>
                            <m:sSubPr>
                              <m:ctrlPr>
                                <w:rPr>
                                  <w:rFonts w:ascii="Cambria Math" w:eastAsia="Calibri" w:hAnsi="Cambria Math" w:cs="Arial"/>
                                  <w:bCs/>
                                  <w:szCs w:val="20"/>
                                  <w:lang w:val="en-US" w:eastAsia="it-IT"/>
                                </w:rPr>
                              </m:ctrlPr>
                            </m:sSubPr>
                            <m:e>
                              <m:r>
                                <m:rPr>
                                  <m:sty m:val="p"/>
                                </m:rPr>
                                <w:rPr>
                                  <w:rFonts w:ascii="Cambria Math" w:eastAsia="Calibri" w:cs="Arial"/>
                                  <w:szCs w:val="20"/>
                                  <w:lang w:val="en-US" w:eastAsia="it-IT"/>
                                </w:rPr>
                                <m:t>S</m:t>
                              </m:r>
                            </m:e>
                            <m:sub>
                              <m:r>
                                <m:rPr>
                                  <m:sty m:val="p"/>
                                </m:rPr>
                                <w:rPr>
                                  <w:rFonts w:ascii="Cambria Math" w:eastAsia="Calibri" w:cs="Arial"/>
                                  <w:szCs w:val="20"/>
                                  <w:lang w:val="en-US" w:eastAsia="it-IT"/>
                                </w:rPr>
                                <m:t>t</m:t>
                              </m:r>
                              <m:r>
                                <m:rPr>
                                  <m:sty m:val="p"/>
                                </m:rPr>
                                <w:rPr>
                                  <w:rFonts w:ascii="Cambria Math" w:eastAsia="Calibri" w:cs="Arial"/>
                                  <w:szCs w:val="20"/>
                                  <w:lang w:val="en-US" w:eastAsia="it-IT"/>
                                </w:rPr>
                                <m:t>-</m:t>
                              </m:r>
                              <m:r>
                                <m:rPr>
                                  <m:sty m:val="p"/>
                                </m:rPr>
                                <w:rPr>
                                  <w:rFonts w:ascii="Cambria Math" w:eastAsia="Calibri" w:cs="Arial"/>
                                  <w:szCs w:val="20"/>
                                  <w:lang w:val="en-US" w:eastAsia="it-IT"/>
                                </w:rPr>
                                <m:t>1</m:t>
                              </m:r>
                            </m:sub>
                          </m:sSub>
                          <m:r>
                            <w:rPr>
                              <w:rFonts w:ascii="Cambria Math" w:eastAsia="Calibri" w:hAnsi="Cambria Math" w:cs="Arial"/>
                              <w:szCs w:val="20"/>
                              <w:lang w:val="en-US" w:eastAsia="it-IT"/>
                            </w:rPr>
                            <m:t>×</m:t>
                          </m:r>
                          <m:r>
                            <w:rPr>
                              <w:rFonts w:ascii="Cambria Math" w:eastAsia="Calibri" w:hAnsi="Cambria Math" w:cs="Arial"/>
                              <w:szCs w:val="20"/>
                              <w:lang w:val="en-US" w:eastAsia="it-IT"/>
                            </w:rPr>
                            <m:t>Rfacto</m:t>
                          </m:r>
                          <m:sSub>
                            <m:sSubPr>
                              <m:ctrlPr>
                                <w:rPr>
                                  <w:rFonts w:ascii="Cambria Math" w:eastAsia="Calibri" w:hAnsi="Cambria Math" w:cs="Arial"/>
                                  <w:bCs/>
                                  <w:i/>
                                  <w:szCs w:val="20"/>
                                  <w:lang w:val="en-US" w:eastAsia="it-IT"/>
                                </w:rPr>
                              </m:ctrlPr>
                            </m:sSubPr>
                            <m:e>
                              <m:r>
                                <w:rPr>
                                  <w:rFonts w:ascii="Cambria Math" w:eastAsia="Calibri" w:hAnsi="Cambria Math" w:cs="Arial"/>
                                  <w:szCs w:val="20"/>
                                  <w:lang w:val="en-US" w:eastAsia="it-IT"/>
                                </w:rPr>
                                <m:t>r</m:t>
                              </m:r>
                            </m:e>
                            <m:sub>
                              <m:r>
                                <w:rPr>
                                  <w:rFonts w:ascii="Cambria Math" w:eastAsia="Calibri" w:hAnsi="Cambria Math" w:cs="Arial"/>
                                  <w:szCs w:val="20"/>
                                  <w:lang w:val="en-US" w:eastAsia="it-IT"/>
                                </w:rPr>
                                <m:t>t</m:t>
                              </m:r>
                            </m:sub>
                          </m:sSub>
                        </m:den>
                      </m:f>
                      <m:r>
                        <m:rPr>
                          <m:sty m:val="p"/>
                        </m:rPr>
                        <w:rPr>
                          <w:rFonts w:ascii="Cambria Math" w:eastAsia="Calibri" w:hAnsi="Cambria Math" w:cs="Arial"/>
                          <w:sz w:val="18"/>
                          <w:szCs w:val="18"/>
                          <w:lang w:val="en-US" w:eastAsia="it-IT"/>
                        </w:rPr>
                        <m:t>-</m:t>
                      </m:r>
                      <m:r>
                        <m:rPr>
                          <m:sty m:val="p"/>
                        </m:rPr>
                        <w:rPr>
                          <w:rFonts w:ascii="Cambria Math" w:eastAsia="Calibri" w:cs="Arial"/>
                          <w:sz w:val="18"/>
                          <w:szCs w:val="18"/>
                          <w:lang w:val="en-US" w:eastAsia="it-IT"/>
                        </w:rPr>
                        <m:t>1</m:t>
                      </m:r>
                    </m:e>
                  </m:d>
                </m:e>
              </m:d>
              <m:r>
                <m:rPr>
                  <m:sty m:val="p"/>
                </m:rPr>
                <w:rPr>
                  <w:rFonts w:ascii="Cambria Math" w:eastAsia="Calibri" w:cs="Arial"/>
                  <w:sz w:val="18"/>
                  <w:szCs w:val="18"/>
                  <w:lang w:val="en-US" w:eastAsia="it-IT"/>
                </w:rPr>
                <m:t>×</m:t>
              </m:r>
              <m:r>
                <m:rPr>
                  <m:sty m:val="p"/>
                </m:rPr>
                <w:rPr>
                  <w:rFonts w:ascii="Cambria Math" w:eastAsia="Calibri" w:cs="Arial"/>
                  <w:sz w:val="18"/>
                  <w:szCs w:val="18"/>
                  <w:lang w:val="en-US" w:eastAsia="it-IT"/>
                </w:rPr>
                <m:t>TC</m:t>
              </m:r>
            </m:oMath>
            <w:r w:rsidR="00927F06" w:rsidRPr="00E65655">
              <w:rPr>
                <w:rFonts w:cs="Arial"/>
                <w:bCs/>
                <w:sz w:val="18"/>
                <w:szCs w:val="18"/>
                <w:lang w:val="en-US" w:eastAsia="it-IT"/>
              </w:rPr>
              <w:t xml:space="preserve"> </w:t>
            </w:r>
          </w:p>
        </w:tc>
      </w:tr>
      <w:tr w:rsidR="00927F06" w:rsidRPr="00E65655" w14:paraId="1C3FDFA7" w14:textId="77777777" w:rsidTr="00B227DE">
        <w:tc>
          <w:tcPr>
            <w:tcW w:w="2880" w:type="dxa"/>
          </w:tcPr>
          <w:p w14:paraId="36756EE2" w14:textId="77777777" w:rsidR="00927F06" w:rsidRPr="00E65655" w:rsidRDefault="00927F06" w:rsidP="00853D4F">
            <w:pPr>
              <w:spacing w:before="120" w:after="120" w:line="290" w:lineRule="auto"/>
              <w:jc w:val="center"/>
              <w:rPr>
                <w:rFonts w:eastAsia="Calibri" w:cs="Arial"/>
                <w:b/>
                <w:bCs/>
                <w:szCs w:val="20"/>
                <w:lang w:val="en-US" w:eastAsia="it-IT"/>
              </w:rPr>
            </w:pPr>
            <w:r w:rsidRPr="00E65655">
              <w:rPr>
                <w:rFonts w:eastAsia="Calibri" w:cs="Arial"/>
                <w:b/>
                <w:bCs/>
                <w:szCs w:val="20"/>
                <w:lang w:val="en-US" w:eastAsia="it-IT"/>
              </w:rPr>
              <w:t>TC</w:t>
            </w:r>
          </w:p>
        </w:tc>
        <w:tc>
          <w:tcPr>
            <w:tcW w:w="6210" w:type="dxa"/>
          </w:tcPr>
          <w:p w14:paraId="522BAA58" w14:textId="0C4B74C2" w:rsidR="00927F06" w:rsidRPr="00E65655" w:rsidRDefault="00927F06" w:rsidP="00685D02">
            <w:pPr>
              <w:autoSpaceDE w:val="0"/>
              <w:autoSpaceDN w:val="0"/>
              <w:adjustRightInd w:val="0"/>
              <w:spacing w:before="120" w:after="120" w:line="290" w:lineRule="auto"/>
              <w:jc w:val="both"/>
              <w:rPr>
                <w:rFonts w:eastAsia="Calibri" w:cs="Arial"/>
                <w:szCs w:val="20"/>
                <w:lang w:val="en-US" w:eastAsia="it-IT"/>
              </w:rPr>
            </w:pPr>
            <w:r w:rsidRPr="00E65655">
              <w:rPr>
                <w:rFonts w:eastAsia="Calibri" w:cs="Arial"/>
                <w:szCs w:val="20"/>
                <w:lang w:val="en-US" w:eastAsia="it-IT"/>
              </w:rPr>
              <w:t>means the Transaction Costs applicable (including Stamp Duty</w:t>
            </w:r>
            <w:r w:rsidR="00780B5C" w:rsidRPr="00E65655">
              <w:rPr>
                <w:rFonts w:eastAsia="Calibri" w:cs="Arial"/>
                <w:szCs w:val="20"/>
                <w:lang w:val="en-US" w:eastAsia="it-IT"/>
              </w:rPr>
              <w:t xml:space="preserve"> and any other applicable taxes, levies and costs which may be levied on the stock transactions on the Relevant Stock Exchange for the </w:t>
            </w:r>
            <w:r w:rsidR="00780B5C" w:rsidRPr="00E65655">
              <w:rPr>
                <w:rFonts w:cs="Arial"/>
                <w:spacing w:val="-3"/>
              </w:rPr>
              <w:t>Underlying Stock</w:t>
            </w:r>
            <w:r w:rsidR="00780B5C" w:rsidRPr="00E65655">
              <w:rPr>
                <w:rFonts w:eastAsia="Calibri" w:cs="Arial"/>
                <w:szCs w:val="20"/>
                <w:lang w:val="en-US" w:eastAsia="it-IT"/>
              </w:rPr>
              <w:t xml:space="preserve"> by the applicable regulatory authorities from time to time</w:t>
            </w:r>
            <w:r w:rsidRPr="00E65655">
              <w:rPr>
                <w:rFonts w:eastAsia="Calibri" w:cs="Arial"/>
                <w:szCs w:val="20"/>
                <w:lang w:val="en-US" w:eastAsia="it-IT"/>
              </w:rPr>
              <w:t xml:space="preserve">) that are </w:t>
            </w:r>
            <w:r w:rsidR="00780B5C" w:rsidRPr="00E65655">
              <w:rPr>
                <w:rFonts w:eastAsia="Calibri" w:cs="Arial"/>
                <w:szCs w:val="20"/>
                <w:lang w:val="en-US" w:eastAsia="it-IT"/>
              </w:rPr>
              <w:t xml:space="preserve">currently </w:t>
            </w:r>
            <w:r w:rsidRPr="00E65655">
              <w:rPr>
                <w:rFonts w:eastAsia="Calibri" w:cs="Arial"/>
                <w:szCs w:val="20"/>
                <w:lang w:val="en-US" w:eastAsia="it-IT"/>
              </w:rPr>
              <w:t xml:space="preserve">equal </w:t>
            </w:r>
            <w:r w:rsidR="00380DB3" w:rsidRPr="00E65655">
              <w:rPr>
                <w:rFonts w:eastAsia="Calibri" w:cs="Arial"/>
                <w:szCs w:val="20"/>
                <w:lang w:val="en-US" w:eastAsia="it-IT"/>
              </w:rPr>
              <w:t>to:</w:t>
            </w:r>
          </w:p>
          <w:p w14:paraId="653E5FD9" w14:textId="77777777" w:rsidR="00780B5C" w:rsidRPr="00E65655" w:rsidRDefault="00927F06" w:rsidP="00685D02">
            <w:pPr>
              <w:autoSpaceDE w:val="0"/>
              <w:autoSpaceDN w:val="0"/>
              <w:adjustRightInd w:val="0"/>
              <w:spacing w:before="120" w:after="120" w:line="290" w:lineRule="auto"/>
              <w:jc w:val="both"/>
              <w:rPr>
                <w:rFonts w:cs="Arial"/>
                <w:szCs w:val="20"/>
                <w:lang w:val="en-US" w:eastAsia="it-IT"/>
              </w:rPr>
            </w:pPr>
            <w:r w:rsidRPr="00E65655">
              <w:rPr>
                <w:rFonts w:cs="Arial"/>
                <w:szCs w:val="20"/>
                <w:lang w:val="en-US" w:eastAsia="it-IT"/>
              </w:rPr>
              <w:t>0.04%</w:t>
            </w:r>
          </w:p>
          <w:p w14:paraId="68263158" w14:textId="12F3C7FB" w:rsidR="00927F06" w:rsidRPr="00E65655" w:rsidRDefault="00780B5C" w:rsidP="00685D02">
            <w:pPr>
              <w:autoSpaceDE w:val="0"/>
              <w:autoSpaceDN w:val="0"/>
              <w:adjustRightInd w:val="0"/>
              <w:spacing w:before="120" w:after="120" w:line="290" w:lineRule="auto"/>
              <w:jc w:val="both"/>
              <w:rPr>
                <w:rFonts w:cs="Arial"/>
                <w:color w:val="000000"/>
                <w:szCs w:val="20"/>
                <w:lang w:val="en-US"/>
              </w:rPr>
            </w:pPr>
            <w:r w:rsidRPr="00E65655">
              <w:rPr>
                <w:rFonts w:eastAsia="Calibri" w:cs="Arial"/>
                <w:szCs w:val="20"/>
                <w:lang w:val="en-US" w:eastAsia="it-IT"/>
              </w:rPr>
              <w:t xml:space="preserve">“Stamp Duty” refers to the applicable rate of stamp duty on the stock transactions in the jurisdiction of the Relevant Stock Exchange for </w:t>
            </w:r>
            <w:r w:rsidRPr="00E65655">
              <w:rPr>
                <w:rFonts w:eastAsia="Calibri" w:cs="Arial"/>
                <w:szCs w:val="20"/>
                <w:lang w:val="en-US" w:eastAsia="it-IT"/>
              </w:rPr>
              <w:lastRenderedPageBreak/>
              <w:t xml:space="preserve">the </w:t>
            </w:r>
            <w:r w:rsidRPr="00E65655">
              <w:rPr>
                <w:rFonts w:cs="Arial"/>
                <w:spacing w:val="-3"/>
              </w:rPr>
              <w:t>Underlying Stock</w:t>
            </w:r>
            <w:r w:rsidRPr="00E65655">
              <w:rPr>
                <w:rFonts w:eastAsia="Calibri" w:cs="Arial"/>
                <w:szCs w:val="20"/>
                <w:lang w:val="en-US" w:eastAsia="it-IT"/>
              </w:rPr>
              <w:t>, which may be changed by the applicable regulatory authorities from time to time.</w:t>
            </w:r>
            <w:r w:rsidR="00B227DE" w:rsidRPr="00E65655">
              <w:rPr>
                <w:rFonts w:cs="Arial"/>
                <w:szCs w:val="20"/>
                <w:lang w:val="en-US" w:eastAsia="it-IT"/>
              </w:rPr>
              <w:t xml:space="preserve"> </w:t>
            </w:r>
          </w:p>
        </w:tc>
      </w:tr>
      <w:tr w:rsidR="00927F06" w:rsidRPr="00E65655" w14:paraId="17633C3D" w14:textId="77777777" w:rsidTr="00B227DE">
        <w:tc>
          <w:tcPr>
            <w:tcW w:w="2880" w:type="dxa"/>
          </w:tcPr>
          <w:p w14:paraId="5973C59C" w14:textId="77777777" w:rsidR="00927F06" w:rsidRPr="00E65655" w:rsidRDefault="00927F06" w:rsidP="00853D4F">
            <w:pPr>
              <w:spacing w:before="120" w:after="120" w:line="290" w:lineRule="auto"/>
              <w:jc w:val="center"/>
              <w:rPr>
                <w:rFonts w:eastAsia="Calibri" w:cs="Arial"/>
                <w:b/>
                <w:bCs/>
                <w:szCs w:val="20"/>
                <w:lang w:val="en-US" w:eastAsia="it-IT"/>
              </w:rPr>
            </w:pPr>
            <w:r w:rsidRPr="00E65655">
              <w:rPr>
                <w:rFonts w:eastAsia="Calibri" w:cs="Arial"/>
                <w:b/>
                <w:bCs/>
                <w:szCs w:val="20"/>
                <w:lang w:val="en-US" w:eastAsia="it-IT"/>
              </w:rPr>
              <w:lastRenderedPageBreak/>
              <w:t>Leverage</w:t>
            </w:r>
          </w:p>
        </w:tc>
        <w:tc>
          <w:tcPr>
            <w:tcW w:w="6210" w:type="dxa"/>
          </w:tcPr>
          <w:p w14:paraId="09081D93" w14:textId="055AF2D7" w:rsidR="00927F06" w:rsidRPr="00E65655" w:rsidRDefault="00927F06" w:rsidP="00853D4F">
            <w:pPr>
              <w:spacing w:before="120" w:after="120" w:line="290" w:lineRule="auto"/>
              <w:jc w:val="both"/>
              <w:rPr>
                <w:rFonts w:cs="Arial"/>
                <w:color w:val="000000"/>
                <w:kern w:val="20"/>
                <w:szCs w:val="20"/>
                <w:lang w:val="en-US"/>
              </w:rPr>
            </w:pPr>
            <w:r w:rsidRPr="00E65655">
              <w:rPr>
                <w:rFonts w:cs="Arial"/>
                <w:color w:val="000000"/>
                <w:szCs w:val="20"/>
                <w:lang w:val="en-US"/>
              </w:rPr>
              <w:t>-5</w:t>
            </w:r>
          </w:p>
        </w:tc>
      </w:tr>
      <w:tr w:rsidR="00927F06" w:rsidRPr="00E65655" w14:paraId="093870C1" w14:textId="77777777" w:rsidTr="00B227DE">
        <w:tc>
          <w:tcPr>
            <w:tcW w:w="2880" w:type="dxa"/>
          </w:tcPr>
          <w:p w14:paraId="550AAD9A" w14:textId="77777777" w:rsidR="00927F06" w:rsidRPr="00E65655" w:rsidRDefault="00187794" w:rsidP="00853D4F">
            <w:pPr>
              <w:spacing w:before="120" w:after="120" w:line="290" w:lineRule="auto"/>
              <w:jc w:val="center"/>
              <w:rPr>
                <w:rFonts w:eastAsia="Calibri" w:cs="Arial"/>
                <w:b/>
                <w:bCs/>
                <w:szCs w:val="20"/>
                <w:lang w:val="en-US" w:eastAsia="it-IT"/>
              </w:rPr>
            </w:pPr>
            <m:oMathPara>
              <m:oMath>
                <m:sSub>
                  <m:sSubPr>
                    <m:ctrlPr>
                      <w:rPr>
                        <w:rFonts w:ascii="Cambria Math" w:eastAsia="Calibri" w:hAnsi="Cambria Math" w:cs="Arial"/>
                        <w:b/>
                        <w:szCs w:val="20"/>
                        <w:lang w:val="en-US" w:eastAsia="it-IT"/>
                      </w:rPr>
                    </m:ctrlPr>
                  </m:sSubPr>
                  <m:e>
                    <m:r>
                      <m:rPr>
                        <m:sty m:val="b"/>
                      </m:rPr>
                      <w:rPr>
                        <w:rFonts w:ascii="Cambria Math" w:eastAsia="Calibri" w:hAnsi="Cambria Math" w:cs="Arial"/>
                        <w:szCs w:val="20"/>
                        <w:lang w:val="en-US" w:eastAsia="it-IT"/>
                      </w:rPr>
                      <m:t>S</m:t>
                    </m:r>
                  </m:e>
                  <m:sub>
                    <m:r>
                      <m:rPr>
                        <m:sty m:val="b"/>
                      </m:rPr>
                      <w:rPr>
                        <w:rFonts w:ascii="Cambria Math" w:eastAsia="Calibri" w:hAnsi="Cambria Math" w:cs="Arial"/>
                        <w:szCs w:val="20"/>
                        <w:lang w:val="en-US" w:eastAsia="it-IT"/>
                      </w:rPr>
                      <m:t>t</m:t>
                    </m:r>
                  </m:sub>
                </m:sSub>
              </m:oMath>
            </m:oMathPara>
          </w:p>
        </w:tc>
        <w:tc>
          <w:tcPr>
            <w:tcW w:w="6210" w:type="dxa"/>
          </w:tcPr>
          <w:p w14:paraId="06306251" w14:textId="6C19B7BF" w:rsidR="00927F06" w:rsidRPr="00E65655" w:rsidRDefault="00927F06" w:rsidP="00380DB3">
            <w:pPr>
              <w:pStyle w:val="PlainText"/>
              <w:spacing w:before="120" w:after="120" w:line="290" w:lineRule="auto"/>
              <w:jc w:val="both"/>
              <w:rPr>
                <w:rFonts w:ascii="Arial" w:hAnsi="Arial" w:cs="Arial"/>
              </w:rPr>
            </w:pPr>
            <w:r w:rsidRPr="00E65655">
              <w:rPr>
                <w:rFonts w:ascii="Arial" w:hAnsi="Arial" w:cs="Arial"/>
              </w:rPr>
              <w:t>means, in respect of each Observation Date(t), the Closing Price of the Underlying Stock as of such Observation Date(t), subject to the adjustments an</w:t>
            </w:r>
            <w:r w:rsidR="00853D4F" w:rsidRPr="00E65655">
              <w:rPr>
                <w:rFonts w:ascii="Arial" w:hAnsi="Arial" w:cs="Arial"/>
              </w:rPr>
              <w:t>d provisions of the Conditions.</w:t>
            </w:r>
          </w:p>
        </w:tc>
      </w:tr>
      <w:tr w:rsidR="00927F06" w:rsidRPr="00E65655" w14:paraId="784847B4" w14:textId="77777777" w:rsidTr="00B227DE">
        <w:tc>
          <w:tcPr>
            <w:tcW w:w="2880" w:type="dxa"/>
          </w:tcPr>
          <w:p w14:paraId="554A5FD9" w14:textId="77777777" w:rsidR="00927F06" w:rsidRPr="00E65655" w:rsidRDefault="00187794" w:rsidP="00853D4F">
            <w:pPr>
              <w:spacing w:before="120" w:after="120" w:line="290" w:lineRule="auto"/>
              <w:jc w:val="center"/>
              <w:rPr>
                <w:rFonts w:cs="Arial"/>
                <w:b/>
                <w:color w:val="000000"/>
                <w:szCs w:val="20"/>
                <w:lang w:val="en-US"/>
              </w:rPr>
            </w:pPr>
            <m:oMathPara>
              <m:oMath>
                <m:sSub>
                  <m:sSubPr>
                    <m:ctrlPr>
                      <w:rPr>
                        <w:rFonts w:ascii="Cambria Math" w:eastAsia="Calibri" w:hAnsi="Cambria Math" w:cs="Arial"/>
                        <w:b/>
                        <w:bCs/>
                        <w:szCs w:val="20"/>
                        <w:lang w:val="en-US" w:eastAsia="it-IT"/>
                      </w:rPr>
                    </m:ctrlPr>
                  </m:sSubPr>
                  <m:e>
                    <m:r>
                      <m:rPr>
                        <m:sty m:val="b"/>
                      </m:rPr>
                      <w:rPr>
                        <w:rFonts w:ascii="Cambria Math" w:eastAsia="Calibri" w:hAnsi="Cambria Math" w:cs="Arial"/>
                        <w:szCs w:val="20"/>
                        <w:lang w:val="en-US" w:eastAsia="it-IT"/>
                      </w:rPr>
                      <m:t>Rate</m:t>
                    </m:r>
                  </m:e>
                  <m:sub>
                    <m:r>
                      <m:rPr>
                        <m:sty m:val="b"/>
                      </m:rPr>
                      <w:rPr>
                        <w:rFonts w:ascii="Cambria Math" w:eastAsia="Calibri" w:hAnsi="Cambria Math" w:cs="Arial"/>
                        <w:szCs w:val="20"/>
                        <w:lang w:val="en-US" w:eastAsia="it-IT"/>
                      </w:rPr>
                      <m:t>t</m:t>
                    </m:r>
                  </m:sub>
                </m:sSub>
              </m:oMath>
            </m:oMathPara>
          </w:p>
        </w:tc>
        <w:tc>
          <w:tcPr>
            <w:tcW w:w="6210" w:type="dxa"/>
          </w:tcPr>
          <w:p w14:paraId="214BE977" w14:textId="31F4DE73" w:rsidR="007F0318" w:rsidRPr="00E65655" w:rsidRDefault="00780B5C" w:rsidP="00780B5C">
            <w:pPr>
              <w:pStyle w:val="ListParagraph"/>
              <w:widowControl w:val="0"/>
              <w:spacing w:before="120" w:after="120" w:line="290" w:lineRule="auto"/>
              <w:ind w:left="43"/>
              <w:jc w:val="both"/>
              <w:rPr>
                <w:bCs/>
                <w:color w:val="000000"/>
                <w:lang w:val="en-US"/>
              </w:rPr>
            </w:pPr>
            <w:r w:rsidRPr="00E65655">
              <w:rPr>
                <w:color w:val="000000"/>
              </w:rPr>
              <w:t>means, in respect of each Observation Date(t), the daily Singapore Overnight Rate Average (SORA) provided by the Monetary Authority of Singapore as administrator of the benchmark (or a successor administrator), as published on BLOOMBERG/SIBCSORA Index or any successor page, being the rate as of day (t-2) at 09:00 Singapore time, provided that if such rate is not available, then such rate shall be determined by reference to the last available rate that was published on Refinitiv Screen (SORA=MAST) or any successor page</w:t>
            </w:r>
            <w:r w:rsidR="00D454AB" w:rsidRPr="00E65655">
              <w:rPr>
                <w:color w:val="000000"/>
                <w:lang w:val="en-US"/>
              </w:rPr>
              <w:t>.</w:t>
            </w:r>
          </w:p>
        </w:tc>
      </w:tr>
      <w:tr w:rsidR="00927F06" w:rsidRPr="00E65655" w14:paraId="66CCDBE3" w14:textId="77777777" w:rsidTr="00853D4F">
        <w:tc>
          <w:tcPr>
            <w:tcW w:w="2880" w:type="dxa"/>
          </w:tcPr>
          <w:p w14:paraId="07F3BD8E" w14:textId="77777777" w:rsidR="00927F06" w:rsidRPr="00E65655" w:rsidRDefault="00187794" w:rsidP="00853D4F">
            <w:pPr>
              <w:spacing w:before="120" w:after="120" w:line="290" w:lineRule="auto"/>
              <w:jc w:val="center"/>
              <w:rPr>
                <w:b/>
                <w:bCs/>
                <w:szCs w:val="20"/>
                <w:lang w:val="en-US" w:eastAsia="it-IT"/>
              </w:rPr>
            </w:pPr>
            <m:oMathPara>
              <m:oMath>
                <m:sSub>
                  <m:sSubPr>
                    <m:ctrlPr>
                      <w:rPr>
                        <w:rFonts w:ascii="Cambria Math" w:eastAsia="Calibri" w:hAnsi="Cambria Math" w:cs="Arial"/>
                        <w:b/>
                        <w:bCs/>
                        <w:szCs w:val="20"/>
                        <w:lang w:val="en-US" w:eastAsia="it-IT"/>
                      </w:rPr>
                    </m:ctrlPr>
                  </m:sSubPr>
                  <m:e>
                    <m:r>
                      <m:rPr>
                        <m:sty m:val="b"/>
                      </m:rPr>
                      <w:rPr>
                        <w:rFonts w:ascii="Cambria Math" w:eastAsia="Calibri" w:hAnsi="Cambria Math" w:cs="Arial"/>
                        <w:szCs w:val="20"/>
                        <w:lang w:val="en-US" w:eastAsia="it-IT"/>
                      </w:rPr>
                      <m:t>Rfactor</m:t>
                    </m:r>
                  </m:e>
                  <m:sub>
                    <m:r>
                      <m:rPr>
                        <m:sty m:val="b"/>
                      </m:rPr>
                      <w:rPr>
                        <w:rFonts w:ascii="Cambria Math" w:eastAsia="Calibri" w:hAnsi="Cambria Math" w:cs="Arial"/>
                        <w:szCs w:val="20"/>
                        <w:lang w:val="en-US" w:eastAsia="it-IT"/>
                      </w:rPr>
                      <m:t>t</m:t>
                    </m:r>
                  </m:sub>
                </m:sSub>
              </m:oMath>
            </m:oMathPara>
          </w:p>
        </w:tc>
        <w:tc>
          <w:tcPr>
            <w:tcW w:w="6210" w:type="dxa"/>
          </w:tcPr>
          <w:p w14:paraId="2CBB9920" w14:textId="77777777" w:rsidR="00927F06" w:rsidRPr="00E65655" w:rsidRDefault="001A75F8" w:rsidP="00853D4F">
            <w:pPr>
              <w:pStyle w:val="ListParagraph"/>
              <w:spacing w:before="120" w:after="120" w:line="290" w:lineRule="auto"/>
              <w:ind w:left="48" w:hanging="4"/>
              <w:jc w:val="both"/>
              <w:rPr>
                <w:bCs/>
                <w:lang w:val="en-US" w:eastAsia="it-IT"/>
              </w:rPr>
            </w:pPr>
            <w:r w:rsidRPr="00E65655">
              <w:rPr>
                <w:color w:val="000000"/>
                <w:lang w:val="en-US"/>
              </w:rPr>
              <w:t>m</w:t>
            </w:r>
            <w:r w:rsidR="00927F06" w:rsidRPr="00E65655">
              <w:rPr>
                <w:color w:val="000000"/>
                <w:lang w:val="en-US"/>
              </w:rPr>
              <w:t xml:space="preserve">eans, in the event Observation Date (t) is an ex-dividend date of the Underlying Stock, an amount determined by the Calculation Agent, </w:t>
            </w:r>
            <w:r w:rsidR="00927F06" w:rsidRPr="00E65655" w:rsidDel="007C1EAE">
              <w:rPr>
                <w:color w:val="000000"/>
                <w:lang w:val="en-US"/>
              </w:rPr>
              <w:t>subject to the adjustments and provisions of the Conditions</w:t>
            </w:r>
            <w:r w:rsidR="00927F06" w:rsidRPr="00E65655">
              <w:rPr>
                <w:color w:val="000000"/>
                <w:lang w:val="en-US"/>
              </w:rPr>
              <w:t xml:space="preserve">, according to the following </w:t>
            </w:r>
            <w:proofErr w:type="gramStart"/>
            <w:r w:rsidR="00927F06" w:rsidRPr="00E65655">
              <w:rPr>
                <w:color w:val="000000"/>
                <w:lang w:val="en-US"/>
              </w:rPr>
              <w:t>formula :</w:t>
            </w:r>
            <w:proofErr w:type="gramEnd"/>
          </w:p>
          <w:p w14:paraId="33EE1E5E" w14:textId="77777777" w:rsidR="00927F06" w:rsidRPr="00E65655" w:rsidRDefault="00187794" w:rsidP="00853D4F">
            <w:pPr>
              <w:pStyle w:val="ListParagraph"/>
              <w:spacing w:before="120" w:after="120" w:line="290" w:lineRule="auto"/>
              <w:ind w:left="43"/>
              <w:rPr>
                <w:bCs/>
                <w:lang w:val="en-US" w:eastAsia="it-IT"/>
              </w:rPr>
            </w:pPr>
            <m:oMathPara>
              <m:oMath>
                <m:sSub>
                  <m:sSubPr>
                    <m:ctrlPr>
                      <w:rPr>
                        <w:rFonts w:ascii="Cambria Math" w:hAnsi="Cambria Math"/>
                        <w:bCs/>
                        <w:i/>
                        <w:lang w:val="en-US" w:eastAsia="it-IT"/>
                      </w:rPr>
                    </m:ctrlPr>
                  </m:sSubPr>
                  <m:e>
                    <m:r>
                      <w:rPr>
                        <w:rFonts w:ascii="Cambria Math" w:hAnsi="Cambria Math"/>
                        <w:lang w:val="en-US" w:eastAsia="it-IT"/>
                      </w:rPr>
                      <m:t>Rfactor</m:t>
                    </m:r>
                  </m:e>
                  <m:sub>
                    <m:r>
                      <w:rPr>
                        <w:rFonts w:ascii="Cambria Math" w:hAnsi="Cambria Math"/>
                        <w:lang w:val="en-US" w:eastAsia="it-IT"/>
                      </w:rPr>
                      <m:t>t</m:t>
                    </m:r>
                  </m:sub>
                </m:sSub>
                <m:r>
                  <w:rPr>
                    <w:rFonts w:ascii="Cambria Math" w:hAnsi="Cambria Math"/>
                    <w:lang w:val="en-US" w:eastAsia="it-IT"/>
                  </w:rPr>
                  <m:t>= 1-</m:t>
                </m:r>
                <m:f>
                  <m:fPr>
                    <m:ctrlPr>
                      <w:rPr>
                        <w:rFonts w:ascii="Cambria Math" w:hAnsi="Cambria Math"/>
                        <w:bCs/>
                        <w:i/>
                        <w:lang w:val="en-US" w:eastAsia="it-IT"/>
                      </w:rPr>
                    </m:ctrlPr>
                  </m:fPr>
                  <m:num>
                    <m:sSub>
                      <m:sSubPr>
                        <m:ctrlPr>
                          <w:rPr>
                            <w:rFonts w:ascii="Cambria Math" w:hAnsi="Cambria Math"/>
                            <w:bCs/>
                            <w:i/>
                            <w:lang w:val="en-US" w:eastAsia="it-IT"/>
                          </w:rPr>
                        </m:ctrlPr>
                      </m:sSubPr>
                      <m:e>
                        <m:r>
                          <w:rPr>
                            <w:rFonts w:ascii="Cambria Math" w:hAnsi="Cambria Math"/>
                            <w:lang w:val="en-US" w:eastAsia="it-IT"/>
                          </w:rPr>
                          <m:t>Div</m:t>
                        </m:r>
                      </m:e>
                      <m:sub>
                        <m:r>
                          <w:rPr>
                            <w:rFonts w:ascii="Cambria Math" w:hAnsi="Cambria Math"/>
                            <w:lang w:val="en-US" w:eastAsia="it-IT"/>
                          </w:rPr>
                          <m:t>t</m:t>
                        </m:r>
                      </m:sub>
                    </m:sSub>
                  </m:num>
                  <m:den>
                    <m:sSub>
                      <m:sSubPr>
                        <m:ctrlPr>
                          <w:rPr>
                            <w:rFonts w:ascii="Cambria Math" w:eastAsia="Calibri" w:hAnsi="Cambria Math"/>
                            <w:b/>
                            <w:bCs/>
                            <w:lang w:val="en-US" w:eastAsia="it-IT"/>
                          </w:rPr>
                        </m:ctrlPr>
                      </m:sSubPr>
                      <m:e>
                        <m:r>
                          <m:rPr>
                            <m:sty m:val="b"/>
                          </m:rPr>
                          <w:rPr>
                            <w:rFonts w:ascii="Cambria Math" w:eastAsia="Calibri" w:hAnsi="Cambria Math"/>
                            <w:lang w:val="en-US" w:eastAsia="it-IT"/>
                          </w:rPr>
                          <m:t>S</m:t>
                        </m:r>
                      </m:e>
                      <m:sub>
                        <m:r>
                          <m:rPr>
                            <m:sty m:val="b"/>
                          </m:rPr>
                          <w:rPr>
                            <w:rFonts w:ascii="Cambria Math" w:eastAsia="Calibri" w:hAnsi="Cambria Math"/>
                            <w:lang w:val="en-US" w:eastAsia="it-IT"/>
                          </w:rPr>
                          <m:t>t</m:t>
                        </m:r>
                        <m:r>
                          <m:rPr>
                            <m:sty m:val="b"/>
                          </m:rPr>
                          <w:rPr>
                            <w:rFonts w:ascii="Cambria Math" w:eastAsia="Calibri" w:hAnsi="Cambria Math"/>
                            <w:lang w:val="en-US" w:eastAsia="it-IT"/>
                          </w:rPr>
                          <m:t>-</m:t>
                        </m:r>
                        <m:r>
                          <m:rPr>
                            <m:sty m:val="b"/>
                          </m:rPr>
                          <w:rPr>
                            <w:rFonts w:ascii="Cambria Math" w:eastAsia="Calibri" w:hAnsi="Cambria Math"/>
                            <w:lang w:val="en-US" w:eastAsia="it-IT"/>
                          </w:rPr>
                          <m:t>1</m:t>
                        </m:r>
                      </m:sub>
                    </m:sSub>
                  </m:den>
                </m:f>
              </m:oMath>
            </m:oMathPara>
          </w:p>
          <w:p w14:paraId="510FC966" w14:textId="53270A12" w:rsidR="00927F06" w:rsidRPr="00E65655" w:rsidRDefault="00853D4F" w:rsidP="00853D4F">
            <w:pPr>
              <w:pStyle w:val="ListParagraph"/>
              <w:spacing w:before="120" w:after="120" w:line="290" w:lineRule="auto"/>
              <w:ind w:left="48" w:hanging="4"/>
              <w:rPr>
                <w:bCs/>
                <w:lang w:eastAsia="it-IT"/>
              </w:rPr>
            </w:pPr>
            <w:proofErr w:type="gramStart"/>
            <w:r w:rsidRPr="00E65655">
              <w:rPr>
                <w:bCs/>
                <w:lang w:eastAsia="it-IT"/>
              </w:rPr>
              <w:t>where</w:t>
            </w:r>
            <w:proofErr w:type="gramEnd"/>
          </w:p>
          <w:p w14:paraId="65AE324F" w14:textId="1BBA349A" w:rsidR="007F0318" w:rsidRPr="00E65655" w:rsidRDefault="00187794" w:rsidP="00853D4F">
            <w:pPr>
              <w:pStyle w:val="ListParagraph"/>
              <w:spacing w:before="120" w:after="120" w:line="290" w:lineRule="auto"/>
              <w:ind w:left="48" w:hanging="4"/>
              <w:jc w:val="both"/>
              <w:rPr>
                <w:bCs/>
                <w:lang w:eastAsia="it-IT"/>
              </w:rPr>
            </w:pPr>
            <m:oMath>
              <m:sSub>
                <m:sSubPr>
                  <m:ctrlPr>
                    <w:rPr>
                      <w:rFonts w:ascii="Cambria Math" w:hAnsi="Cambria Math"/>
                      <w:bCs/>
                      <w:i/>
                      <w:lang w:eastAsia="it-IT"/>
                    </w:rPr>
                  </m:ctrlPr>
                </m:sSubPr>
                <m:e>
                  <m:r>
                    <w:rPr>
                      <w:rFonts w:ascii="Cambria Math" w:hAnsi="Cambria Math"/>
                      <w:lang w:eastAsia="it-IT"/>
                    </w:rPr>
                    <m:t>Div</m:t>
                  </m:r>
                </m:e>
                <m:sub>
                  <m:r>
                    <w:rPr>
                      <w:rFonts w:ascii="Cambria Math" w:hAnsi="Cambria Math"/>
                      <w:lang w:eastAsia="it-IT"/>
                    </w:rPr>
                    <m:t>t</m:t>
                  </m:r>
                </m:sub>
              </m:sSub>
            </m:oMath>
            <w:r w:rsidR="00927F06" w:rsidRPr="00E65655">
              <w:rPr>
                <w:color w:val="000000"/>
              </w:rPr>
              <w:t xml:space="preserve"> is the dividend to be paid out in respect of the Underlying Stock and the relevant ex-dividend date which shall be considered </w:t>
            </w:r>
            <w:r w:rsidR="00927F06" w:rsidRPr="00E65655">
              <w:rPr>
                <w:lang w:val="en-US" w:eastAsia="it-IT"/>
              </w:rPr>
              <w:t xml:space="preserve">gross </w:t>
            </w:r>
            <w:r w:rsidR="00927F06" w:rsidRPr="00E65655">
              <w:rPr>
                <w:color w:val="000000"/>
              </w:rPr>
              <w:t>of any applicable withholding taxes.</w:t>
            </w:r>
          </w:p>
        </w:tc>
      </w:tr>
      <w:tr w:rsidR="00927F06" w:rsidRPr="00E65655" w14:paraId="770F6400" w14:textId="77777777" w:rsidTr="00853D4F">
        <w:tc>
          <w:tcPr>
            <w:tcW w:w="2880" w:type="dxa"/>
          </w:tcPr>
          <w:p w14:paraId="5C1C6F7A" w14:textId="77777777" w:rsidR="00927F06" w:rsidRPr="00E65655" w:rsidRDefault="00927F06" w:rsidP="00853D4F">
            <w:pPr>
              <w:spacing w:before="120" w:after="120" w:line="290" w:lineRule="auto"/>
              <w:jc w:val="center"/>
              <w:rPr>
                <w:rFonts w:eastAsia="Calibri" w:cs="Arial"/>
                <w:b/>
                <w:bCs/>
                <w:szCs w:val="20"/>
                <w:lang w:val="en-US" w:eastAsia="it-IT"/>
              </w:rPr>
            </w:pPr>
            <w:r w:rsidRPr="00E65655">
              <w:rPr>
                <w:rFonts w:eastAsia="Calibri" w:cs="Arial"/>
                <w:b/>
                <w:szCs w:val="20"/>
                <w:lang w:val="en-US" w:eastAsia="it-IT"/>
              </w:rPr>
              <w:t>ACT(t-</w:t>
            </w:r>
            <w:proofErr w:type="gramStart"/>
            <w:r w:rsidRPr="00E65655">
              <w:rPr>
                <w:rFonts w:eastAsia="Calibri" w:cs="Arial"/>
                <w:b/>
                <w:szCs w:val="20"/>
                <w:lang w:val="en-US" w:eastAsia="it-IT"/>
              </w:rPr>
              <w:t>1,t</w:t>
            </w:r>
            <w:proofErr w:type="gramEnd"/>
            <w:r w:rsidRPr="00E65655">
              <w:rPr>
                <w:rFonts w:eastAsia="Calibri" w:cs="Arial"/>
                <w:b/>
                <w:szCs w:val="20"/>
                <w:lang w:val="en-US" w:eastAsia="it-IT"/>
              </w:rPr>
              <w:t>)</w:t>
            </w:r>
          </w:p>
        </w:tc>
        <w:tc>
          <w:tcPr>
            <w:tcW w:w="6210" w:type="dxa"/>
          </w:tcPr>
          <w:p w14:paraId="3604F3F2" w14:textId="5180A62D" w:rsidR="00927F06" w:rsidRPr="00E65655" w:rsidRDefault="00927F06" w:rsidP="00853D4F">
            <w:pPr>
              <w:pStyle w:val="PlainText"/>
              <w:keepNext/>
              <w:widowControl w:val="0"/>
              <w:autoSpaceDE w:val="0"/>
              <w:autoSpaceDN w:val="0"/>
              <w:adjustRightInd w:val="0"/>
              <w:spacing w:before="120" w:after="120" w:line="290" w:lineRule="auto"/>
              <w:jc w:val="both"/>
              <w:outlineLvl w:val="3"/>
              <w:rPr>
                <w:rFonts w:ascii="Arial" w:hAnsi="Arial" w:cs="Arial"/>
                <w:color w:val="000000"/>
              </w:rPr>
            </w:pPr>
            <w:r w:rsidRPr="00E65655">
              <w:rPr>
                <w:rFonts w:ascii="Arial" w:hAnsi="Arial" w:cs="Arial"/>
              </w:rPr>
              <w:t>ACT (t-</w:t>
            </w:r>
            <w:proofErr w:type="gramStart"/>
            <w:r w:rsidRPr="00E65655">
              <w:rPr>
                <w:rFonts w:ascii="Arial" w:hAnsi="Arial" w:cs="Arial"/>
              </w:rPr>
              <w:t>1;t</w:t>
            </w:r>
            <w:proofErr w:type="gramEnd"/>
            <w:r w:rsidRPr="00E65655">
              <w:rPr>
                <w:rFonts w:ascii="Arial" w:hAnsi="Arial" w:cs="Arial"/>
              </w:rPr>
              <w:t>) means the number of calendar days between the Exchange Business Day immediately preceding the Observation Date (which is “t-1”) (included) and the Observation Date (which is “t”) (excluded).</w:t>
            </w:r>
          </w:p>
        </w:tc>
      </w:tr>
      <w:tr w:rsidR="00927F06" w:rsidRPr="00E65655" w14:paraId="2648D958" w14:textId="77777777" w:rsidTr="00853D4F">
        <w:tc>
          <w:tcPr>
            <w:tcW w:w="2880" w:type="dxa"/>
          </w:tcPr>
          <w:p w14:paraId="247C5315" w14:textId="77777777" w:rsidR="00927F06" w:rsidRPr="00E65655" w:rsidRDefault="00927F06" w:rsidP="00853D4F">
            <w:pPr>
              <w:spacing w:before="120" w:after="120" w:line="290" w:lineRule="auto"/>
              <w:jc w:val="center"/>
              <w:rPr>
                <w:rFonts w:cs="Arial"/>
                <w:b/>
                <w:color w:val="000000"/>
                <w:szCs w:val="20"/>
                <w:lang w:val="en-US"/>
              </w:rPr>
            </w:pPr>
            <w:r w:rsidRPr="00E65655">
              <w:rPr>
                <w:rFonts w:eastAsia="Calibri" w:cs="Arial"/>
                <w:b/>
                <w:szCs w:val="20"/>
                <w:lang w:val="en-US" w:eastAsia="it-IT"/>
              </w:rPr>
              <w:t>DayCountBasisRate</w:t>
            </w:r>
          </w:p>
        </w:tc>
        <w:tc>
          <w:tcPr>
            <w:tcW w:w="6210" w:type="dxa"/>
          </w:tcPr>
          <w:p w14:paraId="508C0280" w14:textId="77777777" w:rsidR="00927F06" w:rsidRPr="00E65655" w:rsidRDefault="00927F06" w:rsidP="00853D4F">
            <w:pPr>
              <w:spacing w:before="120" w:after="120" w:line="290" w:lineRule="auto"/>
              <w:jc w:val="both"/>
              <w:rPr>
                <w:rFonts w:cs="Arial"/>
                <w:color w:val="000000"/>
                <w:szCs w:val="20"/>
                <w:lang w:val="en-US"/>
              </w:rPr>
            </w:pPr>
            <w:r w:rsidRPr="00E65655">
              <w:rPr>
                <w:rFonts w:cs="Arial"/>
                <w:color w:val="000000"/>
                <w:szCs w:val="20"/>
                <w:lang w:val="en-US"/>
              </w:rPr>
              <w:t>365</w:t>
            </w:r>
          </w:p>
        </w:tc>
      </w:tr>
      <w:tr w:rsidR="00780B5C" w:rsidRPr="00E65655" w14:paraId="4495EDC1" w14:textId="77777777" w:rsidTr="00853D4F">
        <w:tc>
          <w:tcPr>
            <w:tcW w:w="2880" w:type="dxa"/>
          </w:tcPr>
          <w:p w14:paraId="511E27C3" w14:textId="25B54C9E" w:rsidR="00780B5C" w:rsidRPr="00E65655" w:rsidRDefault="00780B5C" w:rsidP="00780B5C">
            <w:pPr>
              <w:spacing w:before="120" w:after="120" w:line="290" w:lineRule="auto"/>
              <w:jc w:val="center"/>
              <w:rPr>
                <w:rFonts w:eastAsia="Calibri" w:cs="Arial"/>
                <w:b/>
                <w:szCs w:val="20"/>
                <w:lang w:val="en-US" w:eastAsia="it-IT"/>
              </w:rPr>
            </w:pPr>
            <w:r w:rsidRPr="00E65655">
              <w:rPr>
                <w:rFonts w:eastAsia="Calibri" w:cs="Arial"/>
                <w:b/>
                <w:szCs w:val="20"/>
                <w:lang w:val="en-US" w:eastAsia="it-IT"/>
              </w:rPr>
              <w:t>Benchmark Fallback</w:t>
            </w:r>
          </w:p>
        </w:tc>
        <w:tc>
          <w:tcPr>
            <w:tcW w:w="6210" w:type="dxa"/>
          </w:tcPr>
          <w:p w14:paraId="0CE83DC2" w14:textId="37491347" w:rsidR="00780B5C" w:rsidRPr="00E65655" w:rsidRDefault="00780B5C" w:rsidP="00780B5C">
            <w:pPr>
              <w:spacing w:before="120" w:after="120" w:line="290" w:lineRule="auto"/>
              <w:jc w:val="both"/>
              <w:rPr>
                <w:rFonts w:cs="Arial"/>
                <w:color w:val="000000"/>
                <w:szCs w:val="20"/>
                <w:lang w:val="en-US"/>
              </w:rPr>
            </w:pPr>
            <w:r w:rsidRPr="00E65655">
              <w:rPr>
                <w:rFonts w:cs="Arial"/>
                <w:color w:val="000000"/>
                <w:szCs w:val="20"/>
                <w:lang w:val="en-US"/>
              </w:rPr>
              <w:t>upon the occurrence or likely occurrence, as determined by the Calculation Agent, of a Reference Rate Event, the Calculation Agent may make adjustments as it may determine appropriate to account for the relevant event or circumstance, including but not limited to using any alternative rates from such date, with or without retroactive effect as the Calculation Agent may in its sole and absolute discretion determine.</w:t>
            </w:r>
          </w:p>
        </w:tc>
      </w:tr>
      <w:tr w:rsidR="00780B5C" w:rsidRPr="00E65655" w14:paraId="4F192E77" w14:textId="77777777" w:rsidTr="00853D4F">
        <w:tc>
          <w:tcPr>
            <w:tcW w:w="2880" w:type="dxa"/>
          </w:tcPr>
          <w:p w14:paraId="7E20831E" w14:textId="09756862" w:rsidR="00780B5C" w:rsidRPr="00E65655" w:rsidRDefault="00780B5C" w:rsidP="00780B5C">
            <w:pPr>
              <w:spacing w:before="120" w:after="120" w:line="290" w:lineRule="auto"/>
              <w:jc w:val="center"/>
              <w:rPr>
                <w:rFonts w:eastAsia="Calibri" w:cs="Arial"/>
                <w:b/>
                <w:szCs w:val="20"/>
                <w:lang w:val="en-US" w:eastAsia="it-IT"/>
              </w:rPr>
            </w:pPr>
            <w:r w:rsidRPr="00E65655">
              <w:rPr>
                <w:rFonts w:eastAsia="Calibri" w:cs="Arial"/>
                <w:b/>
                <w:szCs w:val="20"/>
                <w:lang w:val="en-US" w:eastAsia="it-IT"/>
              </w:rPr>
              <w:t>Reference Rate Event</w:t>
            </w:r>
          </w:p>
        </w:tc>
        <w:tc>
          <w:tcPr>
            <w:tcW w:w="6210" w:type="dxa"/>
          </w:tcPr>
          <w:p w14:paraId="7832260E" w14:textId="77777777" w:rsidR="00780B5C" w:rsidRPr="00E65655" w:rsidRDefault="00780B5C" w:rsidP="00780B5C">
            <w:pPr>
              <w:spacing w:after="120" w:line="260" w:lineRule="exact"/>
              <w:jc w:val="both"/>
              <w:rPr>
                <w:rFonts w:cs="Arial"/>
                <w:color w:val="000000"/>
                <w:szCs w:val="20"/>
                <w:lang w:val="en-US"/>
              </w:rPr>
            </w:pPr>
            <w:r w:rsidRPr="00E65655">
              <w:rPr>
                <w:rFonts w:cs="Arial"/>
                <w:color w:val="000000"/>
                <w:szCs w:val="20"/>
                <w:lang w:val="en-US"/>
              </w:rPr>
              <w:t>means, in respect of the Reference Rate any of the following has occurred or will occur:</w:t>
            </w:r>
          </w:p>
          <w:p w14:paraId="36EAD89A" w14:textId="77777777" w:rsidR="00780B5C" w:rsidRPr="00E65655" w:rsidRDefault="00780B5C" w:rsidP="00780B5C">
            <w:pPr>
              <w:spacing w:after="120" w:line="260" w:lineRule="exact"/>
              <w:jc w:val="both"/>
              <w:rPr>
                <w:rFonts w:cs="Arial"/>
                <w:color w:val="000000"/>
                <w:szCs w:val="20"/>
                <w:lang w:val="en-US"/>
              </w:rPr>
            </w:pPr>
            <w:r w:rsidRPr="00E65655">
              <w:rPr>
                <w:rFonts w:cs="Arial"/>
                <w:color w:val="000000"/>
                <w:szCs w:val="20"/>
                <w:lang w:val="en-US"/>
              </w:rPr>
              <w:t xml:space="preserve">(i) a Reference Rate </w:t>
            </w:r>
            <w:proofErr w:type="gramStart"/>
            <w:r w:rsidRPr="00E65655">
              <w:rPr>
                <w:rFonts w:cs="Arial"/>
                <w:color w:val="000000"/>
                <w:szCs w:val="20"/>
                <w:lang w:val="en-US"/>
              </w:rPr>
              <w:t>Cessation;</w:t>
            </w:r>
            <w:proofErr w:type="gramEnd"/>
          </w:p>
          <w:p w14:paraId="6A846CFA" w14:textId="77777777" w:rsidR="00780B5C" w:rsidRPr="00E65655" w:rsidRDefault="00780B5C" w:rsidP="00780B5C">
            <w:pPr>
              <w:spacing w:after="120" w:line="260" w:lineRule="exact"/>
              <w:jc w:val="both"/>
              <w:rPr>
                <w:rFonts w:cs="Arial"/>
                <w:color w:val="000000"/>
                <w:szCs w:val="20"/>
                <w:lang w:val="en-US"/>
              </w:rPr>
            </w:pPr>
            <w:r w:rsidRPr="00E65655">
              <w:rPr>
                <w:rFonts w:cs="Arial"/>
                <w:color w:val="000000"/>
                <w:szCs w:val="20"/>
                <w:lang w:val="en-US"/>
              </w:rPr>
              <w:t>(ii) an Administrator/Benchmark Event; or</w:t>
            </w:r>
          </w:p>
          <w:p w14:paraId="405319FF" w14:textId="75559546" w:rsidR="00780B5C" w:rsidRPr="00E65655" w:rsidRDefault="00780B5C" w:rsidP="00780B5C">
            <w:pPr>
              <w:spacing w:before="120" w:after="120" w:line="290" w:lineRule="auto"/>
              <w:jc w:val="both"/>
              <w:rPr>
                <w:rFonts w:cs="Arial"/>
                <w:color w:val="000000"/>
                <w:szCs w:val="20"/>
                <w:lang w:val="en-US"/>
              </w:rPr>
            </w:pPr>
            <w:r w:rsidRPr="00E65655">
              <w:rPr>
                <w:rFonts w:cs="Arial"/>
                <w:color w:val="000000"/>
                <w:szCs w:val="20"/>
                <w:lang w:val="en-US"/>
              </w:rPr>
              <w:lastRenderedPageBreak/>
              <w:t>(iii) a Reference Rate is, with respect to over-the-counter derivatives transactions which reference such Reference Rate, the subject of any market-wide development formally agreed upon by the International Swaps and Derivative Association (ISDA) or the Asia Securities Industry &amp; Financial Markets Association (ASIFMA),  pursuant to which such Reference Rate is, on a specified date, replaced with a risk-free rate (or near risk-free rate) established in order to comply with the recommendations in the Financial Stability Board’s paper titled “Reforming Major Interest Rate Benchmarks” dated 22 July 2014.</w:t>
            </w:r>
          </w:p>
        </w:tc>
      </w:tr>
      <w:tr w:rsidR="00780B5C" w:rsidRPr="00E65655" w14:paraId="72049BB8" w14:textId="77777777" w:rsidTr="00853D4F">
        <w:tc>
          <w:tcPr>
            <w:tcW w:w="2880" w:type="dxa"/>
          </w:tcPr>
          <w:p w14:paraId="2E45DF51" w14:textId="6F4C9231" w:rsidR="00780B5C" w:rsidRPr="00E65655" w:rsidRDefault="00780B5C" w:rsidP="00780B5C">
            <w:pPr>
              <w:spacing w:before="120" w:after="120" w:line="290" w:lineRule="auto"/>
              <w:jc w:val="center"/>
              <w:rPr>
                <w:rFonts w:eastAsia="Calibri" w:cs="Arial"/>
                <w:b/>
                <w:szCs w:val="20"/>
                <w:lang w:val="en-US" w:eastAsia="it-IT"/>
              </w:rPr>
            </w:pPr>
            <w:r w:rsidRPr="00E65655">
              <w:rPr>
                <w:rFonts w:eastAsia="Calibri" w:cs="Arial"/>
                <w:b/>
                <w:szCs w:val="20"/>
                <w:lang w:val="en-US" w:eastAsia="it-IT"/>
              </w:rPr>
              <w:lastRenderedPageBreak/>
              <w:t>Reference Rate Cessation</w:t>
            </w:r>
          </w:p>
        </w:tc>
        <w:tc>
          <w:tcPr>
            <w:tcW w:w="6210" w:type="dxa"/>
          </w:tcPr>
          <w:p w14:paraId="67915410" w14:textId="77777777" w:rsidR="00780B5C" w:rsidRPr="00E65655" w:rsidRDefault="00780B5C" w:rsidP="00780B5C">
            <w:pPr>
              <w:spacing w:after="120" w:line="260" w:lineRule="exact"/>
              <w:jc w:val="both"/>
              <w:rPr>
                <w:rFonts w:cs="Arial"/>
                <w:color w:val="000000"/>
                <w:szCs w:val="20"/>
                <w:lang w:val="en-US"/>
              </w:rPr>
            </w:pPr>
            <w:r w:rsidRPr="00E65655">
              <w:rPr>
                <w:rFonts w:cs="Arial"/>
                <w:color w:val="000000"/>
                <w:szCs w:val="20"/>
                <w:lang w:val="en-US"/>
              </w:rPr>
              <w:t>means, for a Reference Rate, the occurrence of one or more of the following events:</w:t>
            </w:r>
          </w:p>
          <w:p w14:paraId="4D52EA2A" w14:textId="77777777" w:rsidR="00780B5C" w:rsidRPr="00E65655" w:rsidRDefault="00780B5C" w:rsidP="00780B5C">
            <w:pPr>
              <w:spacing w:after="120" w:line="260" w:lineRule="exact"/>
              <w:jc w:val="both"/>
              <w:rPr>
                <w:rFonts w:cs="Arial"/>
                <w:color w:val="000000"/>
                <w:szCs w:val="20"/>
                <w:lang w:val="en-US"/>
              </w:rPr>
            </w:pPr>
            <w:r w:rsidRPr="00E65655">
              <w:rPr>
                <w:rFonts w:cs="Arial"/>
                <w:color w:val="000000"/>
                <w:szCs w:val="20"/>
                <w:lang w:val="en-US"/>
              </w:rPr>
              <w:t>(i) a public statement or publication of information by or on behalf of the administrator of the Reference Rate announcing that it has ceased or will cease to provide the Reference Rate permanently or indefinitely, provided that, at the time of the statement or publication, there is no successor administrator that will continue to provide the Reference Rate;</w:t>
            </w:r>
          </w:p>
          <w:p w14:paraId="00EE2CDF" w14:textId="77777777" w:rsidR="00780B5C" w:rsidRPr="00E65655" w:rsidRDefault="00780B5C" w:rsidP="00780B5C">
            <w:pPr>
              <w:spacing w:after="120" w:line="260" w:lineRule="exact"/>
              <w:jc w:val="both"/>
              <w:rPr>
                <w:rFonts w:cs="Arial"/>
                <w:color w:val="000000"/>
                <w:szCs w:val="20"/>
                <w:lang w:val="en-US"/>
              </w:rPr>
            </w:pPr>
            <w:r w:rsidRPr="00E65655">
              <w:rPr>
                <w:rFonts w:cs="Arial"/>
                <w:color w:val="000000"/>
                <w:szCs w:val="20"/>
                <w:lang w:val="en-US"/>
              </w:rPr>
              <w:t>(ii) a public statement or publication of information by the regulatory supervisor for the administrator of the Reference Rate, the central bank for the currency of the Reference Rate, an insolvency official with jurisdiction over the administrator for the Reference Rate, a resolution authority with jurisdiction over the administrator for the Reference Rate or a court or an entity with similar insolvency or resolution authority over the administrator for the Reference Rate, which states that the administrator of the Reference Rate has ceased or will cease to provide the Reference Rate permanently or indefinitely, provided that, at the time of the statement or publication, there is no successor administrator that will continue to provide the Reference Rate; or</w:t>
            </w:r>
          </w:p>
          <w:p w14:paraId="4994F194" w14:textId="4C3C11CC" w:rsidR="00780B5C" w:rsidRPr="00E65655" w:rsidRDefault="00780B5C" w:rsidP="00780B5C">
            <w:pPr>
              <w:spacing w:before="120" w:after="120" w:line="290" w:lineRule="auto"/>
              <w:jc w:val="both"/>
              <w:rPr>
                <w:rFonts w:cs="Arial"/>
                <w:color w:val="000000"/>
                <w:szCs w:val="20"/>
                <w:lang w:val="en-US"/>
              </w:rPr>
            </w:pPr>
            <w:r w:rsidRPr="00E65655">
              <w:rPr>
                <w:rFonts w:cs="Arial"/>
                <w:color w:val="000000"/>
                <w:szCs w:val="20"/>
                <w:lang w:val="en-US"/>
              </w:rPr>
              <w:t>(iii) in respect of a Reference Rate, a public statement or publication of information by the regulatory supervisor for the administrator of such Reference Rate announcing that (a) the regulatory supervisor has determined that such Reference Rate is no longer, or as of a specified future date will no longer be, representative of the underlying market and economic reality that such Reference Rate is intended to measure and that representativeness will not be restored and (b) it is being made in the awareness that the statement or publication will engage certain contractual triggers for fallbacks activated by pre-cessation announcements by such supervisor (howsoever described) in contracts;</w:t>
            </w:r>
          </w:p>
        </w:tc>
      </w:tr>
      <w:tr w:rsidR="00780B5C" w:rsidRPr="00E65655" w14:paraId="065480D2" w14:textId="77777777" w:rsidTr="00853D4F">
        <w:tc>
          <w:tcPr>
            <w:tcW w:w="2880" w:type="dxa"/>
          </w:tcPr>
          <w:p w14:paraId="1D72DDC3" w14:textId="37838E16" w:rsidR="00780B5C" w:rsidRPr="00E65655" w:rsidRDefault="00780B5C" w:rsidP="00780B5C">
            <w:pPr>
              <w:spacing w:before="120" w:after="120" w:line="290" w:lineRule="auto"/>
              <w:jc w:val="center"/>
              <w:rPr>
                <w:rFonts w:eastAsia="Calibri" w:cs="Arial"/>
                <w:b/>
                <w:szCs w:val="20"/>
                <w:lang w:val="en-US" w:eastAsia="it-IT"/>
              </w:rPr>
            </w:pPr>
            <w:r w:rsidRPr="00E65655">
              <w:rPr>
                <w:rFonts w:eastAsia="Calibri" w:cs="Arial"/>
                <w:b/>
                <w:szCs w:val="20"/>
                <w:lang w:val="en-US" w:eastAsia="it-IT"/>
              </w:rPr>
              <w:t>Administrator/Benchmark Event</w:t>
            </w:r>
          </w:p>
        </w:tc>
        <w:tc>
          <w:tcPr>
            <w:tcW w:w="6210" w:type="dxa"/>
          </w:tcPr>
          <w:p w14:paraId="5AB2542F" w14:textId="4CEEB22A" w:rsidR="00780B5C" w:rsidRPr="00E65655" w:rsidRDefault="00780B5C" w:rsidP="00780B5C">
            <w:pPr>
              <w:spacing w:before="120" w:after="120" w:line="290" w:lineRule="auto"/>
              <w:jc w:val="both"/>
              <w:rPr>
                <w:rFonts w:cs="Arial"/>
                <w:color w:val="000000"/>
                <w:szCs w:val="20"/>
                <w:lang w:val="en-US"/>
              </w:rPr>
            </w:pPr>
            <w:r w:rsidRPr="00E65655">
              <w:rPr>
                <w:rFonts w:cs="Arial"/>
                <w:color w:val="000000"/>
                <w:szCs w:val="20"/>
                <w:lang w:val="en-US"/>
              </w:rPr>
              <w:t xml:space="preserve">means, for a Reference Rate, any authorisation, registration, recognition, endorsement, equivalence decision, approval or inclusion in any official register in respect of the Reference Rate or the administrator or sponsor of the Benchmark has not been, or will not be, obtained or has been, or will be, rejected, refused, suspended or withdrawn by the relevant competent authority or other relevant official body, in each case with the effect that either the Issuer, the </w:t>
            </w:r>
            <w:r w:rsidRPr="00E65655">
              <w:rPr>
                <w:rFonts w:cs="Arial"/>
                <w:color w:val="000000"/>
                <w:szCs w:val="20"/>
                <w:lang w:val="en-US"/>
              </w:rPr>
              <w:lastRenderedPageBreak/>
              <w:t>Calculation Agent or any other entity is not, or will not be, permitted under any applicable law or regulation to use the Reference Rate to perform its or their respective obligations under the Certificates.</w:t>
            </w:r>
          </w:p>
        </w:tc>
      </w:tr>
      <w:tr w:rsidR="00780B5C" w:rsidRPr="00E65655" w14:paraId="27064CF2" w14:textId="77777777" w:rsidTr="00853D4F">
        <w:tc>
          <w:tcPr>
            <w:tcW w:w="2880" w:type="dxa"/>
          </w:tcPr>
          <w:p w14:paraId="74C008DA" w14:textId="7C35DCBB" w:rsidR="00780B5C" w:rsidRPr="00E65655" w:rsidRDefault="00780B5C" w:rsidP="00780B5C">
            <w:pPr>
              <w:spacing w:before="120" w:after="120" w:line="290" w:lineRule="auto"/>
              <w:jc w:val="center"/>
              <w:rPr>
                <w:rFonts w:eastAsia="Calibri" w:cs="Arial"/>
                <w:b/>
                <w:szCs w:val="20"/>
                <w:lang w:val="en-US" w:eastAsia="it-IT"/>
              </w:rPr>
            </w:pPr>
            <w:r w:rsidRPr="00E65655">
              <w:rPr>
                <w:rFonts w:eastAsia="Calibri" w:cs="Arial"/>
                <w:b/>
                <w:szCs w:val="20"/>
                <w:lang w:val="en-US" w:eastAsia="it-IT"/>
              </w:rPr>
              <w:lastRenderedPageBreak/>
              <w:t>Reference Rate(s)</w:t>
            </w:r>
          </w:p>
        </w:tc>
        <w:tc>
          <w:tcPr>
            <w:tcW w:w="6210" w:type="dxa"/>
          </w:tcPr>
          <w:p w14:paraId="06207A73" w14:textId="3961EC38" w:rsidR="00780B5C" w:rsidRPr="00E65655" w:rsidRDefault="00780B5C" w:rsidP="00780B5C">
            <w:pPr>
              <w:spacing w:before="120" w:after="120" w:line="290" w:lineRule="auto"/>
              <w:jc w:val="both"/>
              <w:rPr>
                <w:rFonts w:cs="Arial"/>
                <w:color w:val="000000"/>
                <w:szCs w:val="20"/>
                <w:lang w:val="en-US"/>
              </w:rPr>
            </w:pPr>
            <w:r w:rsidRPr="00E65655">
              <w:rPr>
                <w:rFonts w:cs="Arial"/>
                <w:color w:val="000000"/>
                <w:szCs w:val="20"/>
                <w:lang w:val="en-US"/>
              </w:rPr>
              <w:t xml:space="preserve">means the rate(s) used in the Leverage Inverse Strategy Formula, for example SORA, SOFR and US Federal Funds Effective Rate. </w:t>
            </w:r>
          </w:p>
        </w:tc>
      </w:tr>
    </w:tbl>
    <w:p w14:paraId="784BE2D5" w14:textId="77777777" w:rsidR="00D90C2F" w:rsidRPr="00E65655" w:rsidRDefault="00D90C2F" w:rsidP="00DC3823">
      <w:pPr>
        <w:pStyle w:val="Heading4"/>
        <w:keepNext w:val="0"/>
        <w:spacing w:after="140" w:line="290" w:lineRule="auto"/>
        <w:jc w:val="both"/>
        <w:rPr>
          <w:rFonts w:ascii="Arial" w:hAnsi="Arial"/>
          <w:b w:val="0"/>
          <w:color w:val="000000"/>
          <w:sz w:val="20"/>
          <w:szCs w:val="20"/>
          <w:u w:val="single"/>
        </w:rPr>
      </w:pPr>
    </w:p>
    <w:p w14:paraId="23A62D8D" w14:textId="3FF81AE4" w:rsidR="001B08DE" w:rsidRPr="00E65655" w:rsidRDefault="00A91FEF" w:rsidP="00DC3823">
      <w:pPr>
        <w:pStyle w:val="Heading4"/>
        <w:keepNext w:val="0"/>
        <w:spacing w:after="140" w:line="290" w:lineRule="auto"/>
        <w:jc w:val="both"/>
        <w:rPr>
          <w:rFonts w:ascii="Arial" w:hAnsi="Arial" w:cs="Arial"/>
          <w:b w:val="0"/>
          <w:i/>
          <w:iCs/>
          <w:sz w:val="20"/>
          <w:szCs w:val="20"/>
          <w:u w:val="single"/>
        </w:rPr>
      </w:pPr>
      <w:r w:rsidRPr="00E65655">
        <w:rPr>
          <w:rFonts w:ascii="Arial" w:hAnsi="Arial"/>
          <w:i/>
          <w:color w:val="000000"/>
          <w:sz w:val="20"/>
          <w:szCs w:val="20"/>
          <w:u w:val="single"/>
        </w:rPr>
        <w:t>Extraordinary Strategy Adjustment for Performance Reasons</w:t>
      </w:r>
      <w:r w:rsidR="00871277" w:rsidRPr="00E65655">
        <w:rPr>
          <w:rFonts w:ascii="Arial" w:hAnsi="Arial"/>
          <w:i/>
          <w:color w:val="000000"/>
          <w:sz w:val="20"/>
          <w:szCs w:val="20"/>
          <w:u w:val="single"/>
        </w:rPr>
        <w:t xml:space="preserve"> (“Air Bag Mechanism”)</w:t>
      </w:r>
    </w:p>
    <w:tbl>
      <w:tblPr>
        <w:tblW w:w="9558" w:type="dxa"/>
        <w:jc w:val="center"/>
        <w:tblLayout w:type="fixed"/>
        <w:tblLook w:val="0000" w:firstRow="0" w:lastRow="0" w:firstColumn="0" w:lastColumn="0" w:noHBand="0" w:noVBand="0"/>
      </w:tblPr>
      <w:tblGrid>
        <w:gridCol w:w="2605"/>
        <w:gridCol w:w="6953"/>
      </w:tblGrid>
      <w:tr w:rsidR="00927F06" w:rsidRPr="00E65655" w:rsidDel="007C1EAE" w14:paraId="0DC58388" w14:textId="77777777" w:rsidTr="00822438">
        <w:trPr>
          <w:jc w:val="center"/>
        </w:trPr>
        <w:tc>
          <w:tcPr>
            <w:tcW w:w="2605" w:type="dxa"/>
          </w:tcPr>
          <w:p w14:paraId="392E3F02" w14:textId="77777777" w:rsidR="00927F06" w:rsidRPr="00E65655" w:rsidDel="007C1EAE" w:rsidRDefault="00927F06" w:rsidP="00853D4F">
            <w:pPr>
              <w:spacing w:before="120" w:after="120" w:line="290" w:lineRule="auto"/>
              <w:jc w:val="center"/>
              <w:rPr>
                <w:rFonts w:cs="Arial"/>
                <w:b/>
                <w:color w:val="000000"/>
                <w:szCs w:val="20"/>
                <w:lang w:val="en-US"/>
              </w:rPr>
            </w:pPr>
            <w:r w:rsidRPr="00E65655" w:rsidDel="007C1EAE">
              <w:rPr>
                <w:rFonts w:cs="Arial"/>
                <w:b/>
                <w:color w:val="000000"/>
                <w:szCs w:val="20"/>
                <w:lang w:val="en-US"/>
              </w:rPr>
              <w:t>Extraordinary Strategy Adjustment for Performance Reasons</w:t>
            </w:r>
          </w:p>
        </w:tc>
        <w:tc>
          <w:tcPr>
            <w:tcW w:w="6953" w:type="dxa"/>
          </w:tcPr>
          <w:p w14:paraId="3E33FFD3" w14:textId="77777777" w:rsidR="00927F06" w:rsidRPr="00E65655" w:rsidDel="007C1EAE" w:rsidRDefault="00927F06" w:rsidP="00853D4F">
            <w:pPr>
              <w:autoSpaceDE w:val="0"/>
              <w:autoSpaceDN w:val="0"/>
              <w:adjustRightInd w:val="0"/>
              <w:spacing w:before="120" w:after="120" w:line="290" w:lineRule="auto"/>
              <w:jc w:val="both"/>
              <w:rPr>
                <w:rFonts w:ascii="Helvetica" w:eastAsia="Calibri" w:hAnsi="Helvetica" w:cs="Helvetica"/>
                <w:szCs w:val="20"/>
                <w:lang w:val="en-US" w:eastAsia="it-IT"/>
              </w:rPr>
            </w:pPr>
            <w:r w:rsidRPr="00E65655" w:rsidDel="007C1EAE">
              <w:rPr>
                <w:rFonts w:ascii="Helvetica" w:eastAsia="Calibri" w:hAnsi="Helvetica" w:cs="Helvetica"/>
                <w:szCs w:val="20"/>
                <w:lang w:val="en-US" w:eastAsia="it-IT"/>
              </w:rPr>
              <w:t xml:space="preserve">If the Calculation Agent determines that an Intraday Restrike Event has occurred during an Observation Date(t) (the </w:t>
            </w:r>
            <w:r w:rsidRPr="00E65655" w:rsidDel="007C1EAE">
              <w:rPr>
                <w:rFonts w:ascii="Helvetica" w:eastAsia="Calibri" w:hAnsi="Helvetica" w:cs="Helvetica"/>
                <w:b/>
                <w:szCs w:val="20"/>
                <w:lang w:val="en-US" w:eastAsia="it-IT"/>
              </w:rPr>
              <w:t xml:space="preserve">Intraday Restrike Date, </w:t>
            </w:r>
            <w:r w:rsidRPr="00E65655" w:rsidDel="007C1EAE">
              <w:rPr>
                <w:rFonts w:ascii="Helvetica" w:eastAsia="Calibri" w:hAnsi="Helvetica" w:cs="Helvetica"/>
                <w:szCs w:val="20"/>
                <w:lang w:val="en-US" w:eastAsia="it-IT"/>
              </w:rPr>
              <w:t xml:space="preserve">noted hereafter </w:t>
            </w:r>
            <w:r w:rsidRPr="00E65655" w:rsidDel="007C1EAE">
              <w:rPr>
                <w:rFonts w:ascii="Helvetica" w:eastAsia="Calibri" w:hAnsi="Helvetica" w:cs="Helvetica"/>
                <w:b/>
                <w:szCs w:val="20"/>
                <w:lang w:val="en-US" w:eastAsia="it-IT"/>
              </w:rPr>
              <w:t>IRD</w:t>
            </w:r>
            <w:r w:rsidRPr="00E65655" w:rsidDel="007C1EAE">
              <w:rPr>
                <w:rFonts w:ascii="Helvetica" w:eastAsia="Calibri" w:hAnsi="Helvetica" w:cs="Helvetica"/>
                <w:szCs w:val="20"/>
                <w:lang w:val="en-US" w:eastAsia="it-IT"/>
              </w:rPr>
              <w:t xml:space="preserve">), an adjustment (an </w:t>
            </w:r>
            <w:r w:rsidRPr="00E65655" w:rsidDel="007C1EAE">
              <w:rPr>
                <w:rFonts w:ascii="Helvetica-Bold" w:eastAsia="Calibri" w:hAnsi="Helvetica-Bold" w:cs="Helvetica-Bold"/>
                <w:b/>
                <w:bCs/>
                <w:szCs w:val="20"/>
                <w:lang w:val="en-US" w:eastAsia="it-IT"/>
              </w:rPr>
              <w:t>Extraordinary Strategy Adjustment for Performance Reasons</w:t>
            </w:r>
            <w:r w:rsidRPr="00E65655" w:rsidDel="007C1EAE">
              <w:rPr>
                <w:rFonts w:ascii="Helvetica" w:eastAsia="Calibri" w:hAnsi="Helvetica" w:cs="Helvetica"/>
                <w:szCs w:val="20"/>
                <w:lang w:val="en-US" w:eastAsia="it-IT"/>
              </w:rPr>
              <w:t>) shall take place during such Observation Date(t) in accordance with the following provisions.</w:t>
            </w:r>
          </w:p>
          <w:p w14:paraId="6BEA2228" w14:textId="77777777" w:rsidR="00927F06" w:rsidRPr="00E65655" w:rsidDel="007C1EAE" w:rsidRDefault="00927F06" w:rsidP="00853D4F">
            <w:pPr>
              <w:autoSpaceDE w:val="0"/>
              <w:autoSpaceDN w:val="0"/>
              <w:adjustRightInd w:val="0"/>
              <w:spacing w:before="120" w:after="120" w:line="290" w:lineRule="auto"/>
              <w:jc w:val="both"/>
              <w:rPr>
                <w:rFonts w:ascii="Helvetica" w:eastAsia="Calibri" w:hAnsi="Helvetica" w:cs="Helvetica"/>
                <w:szCs w:val="20"/>
                <w:lang w:val="en-US" w:eastAsia="it-IT"/>
              </w:rPr>
            </w:pPr>
            <w:r w:rsidRPr="00E65655" w:rsidDel="007C1EAE">
              <w:rPr>
                <w:rFonts w:ascii="Helvetica" w:eastAsia="Calibri" w:hAnsi="Helvetica" w:cs="Helvetica"/>
                <w:szCs w:val="20"/>
                <w:lang w:val="en-US" w:eastAsia="it-IT"/>
              </w:rPr>
              <w:t xml:space="preserve"> (1) Provided the last Intraday Restrike Observation Period as of such Intraday Restrike Date does not end on the TimeReferenceClosing, the </w:t>
            </w:r>
            <w:proofErr w:type="gramStart"/>
            <w:r w:rsidRPr="00E65655" w:rsidDel="007C1EAE">
              <w:rPr>
                <w:rFonts w:ascii="Helvetica" w:eastAsia="Calibri" w:hAnsi="Helvetica" w:cs="Helvetica"/>
                <w:szCs w:val="20"/>
                <w:lang w:val="en-US" w:eastAsia="it-IT"/>
              </w:rPr>
              <w:t>Leverage</w:t>
            </w:r>
            <w:r w:rsidRPr="00E65655">
              <w:rPr>
                <w:rFonts w:ascii="Helvetica" w:eastAsia="Calibri" w:hAnsi="Helvetica" w:cs="Helvetica"/>
                <w:szCs w:val="20"/>
                <w:lang w:val="en-US" w:eastAsia="it-IT"/>
              </w:rPr>
              <w:t xml:space="preserve">  Inverse</w:t>
            </w:r>
            <w:proofErr w:type="gramEnd"/>
            <w:r w:rsidRPr="00E65655">
              <w:rPr>
                <w:rFonts w:ascii="Helvetica" w:eastAsia="Calibri" w:hAnsi="Helvetica" w:cs="Helvetica"/>
                <w:szCs w:val="20"/>
                <w:lang w:val="en-US" w:eastAsia="it-IT"/>
              </w:rPr>
              <w:t xml:space="preserve"> </w:t>
            </w:r>
            <w:r w:rsidRPr="00E65655" w:rsidDel="007C1EAE">
              <w:rPr>
                <w:rFonts w:ascii="Helvetica" w:eastAsia="Calibri" w:hAnsi="Helvetica" w:cs="Helvetica"/>
                <w:szCs w:val="20"/>
                <w:lang w:val="en-US" w:eastAsia="it-IT"/>
              </w:rPr>
              <w:t xml:space="preserve">Strategy Closing Level on the Intraday Restrike Date </w:t>
            </w:r>
            <m:oMath>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(LSL</m:t>
                  </m:r>
                </m:e>
                <m:sub>
                  <m:r>
                    <m:rPr>
                      <m:sty m:val="p"/>
                    </m:rPr>
                    <w:rPr>
                      <w:rFonts w:ascii="Cambria Math" w:eastAsia="Calibri" w:hAnsi="Cambria Math" w:cs="Helvetica-Bold"/>
                      <w:szCs w:val="20"/>
                      <w:lang w:val="en-US" w:eastAsia="it-IT"/>
                    </w:rPr>
                    <m:t>IRD</m:t>
                  </m:r>
                </m:sub>
              </m:sSub>
              <m:r>
                <m:rPr>
                  <m:sty m:val="p"/>
                </m:rPr>
                <w:rPr>
                  <w:rFonts w:ascii="Cambria Math" w:eastAsia="Calibri" w:hAnsi="Cambria Math" w:cs="Helvetica-Bold"/>
                  <w:szCs w:val="20"/>
                  <w:lang w:val="en-US" w:eastAsia="it-IT"/>
                </w:rPr>
                <m:t>)</m:t>
              </m:r>
            </m:oMath>
            <w:r w:rsidRPr="00E65655" w:rsidDel="007C1EAE">
              <w:rPr>
                <w:rFonts w:ascii="Helvetica" w:eastAsia="Calibri" w:hAnsi="Helvetica" w:cs="Helvetica"/>
                <w:bCs/>
                <w:szCs w:val="20"/>
                <w:lang w:val="en-US" w:eastAsia="it-IT"/>
              </w:rPr>
              <w:t xml:space="preserve"> </w:t>
            </w:r>
            <w:r w:rsidRPr="00E65655" w:rsidDel="007C1EAE">
              <w:rPr>
                <w:rFonts w:ascii="Helvetica" w:eastAsia="Calibri" w:hAnsi="Helvetica" w:cs="Helvetica"/>
                <w:szCs w:val="20"/>
                <w:lang w:val="en-US" w:eastAsia="it-IT"/>
              </w:rPr>
              <w:t xml:space="preserve">should be computed as </w:t>
            </w:r>
            <w:proofErr w:type="gramStart"/>
            <w:r w:rsidRPr="00E65655" w:rsidDel="007C1EAE">
              <w:rPr>
                <w:rFonts w:ascii="Helvetica" w:eastAsia="Calibri" w:hAnsi="Helvetica" w:cs="Helvetica"/>
                <w:szCs w:val="20"/>
                <w:lang w:val="en-US" w:eastAsia="it-IT"/>
              </w:rPr>
              <w:t>follows :</w:t>
            </w:r>
            <w:proofErr w:type="gramEnd"/>
          </w:p>
          <w:p w14:paraId="102D56F0" w14:textId="77777777" w:rsidR="00927F06" w:rsidRPr="00E65655" w:rsidDel="007C1EAE" w:rsidRDefault="00187794" w:rsidP="00853D4F">
            <w:pPr>
              <w:autoSpaceDE w:val="0"/>
              <w:autoSpaceDN w:val="0"/>
              <w:adjustRightInd w:val="0"/>
              <w:spacing w:before="120" w:after="120" w:line="290" w:lineRule="auto"/>
              <w:jc w:val="both"/>
              <w:rPr>
                <w:rFonts w:ascii="Helvetica-Bold" w:eastAsia="Calibri" w:hAnsi="Helvetica-Bold" w:cs="Helvetica-Bold"/>
                <w:bCs/>
                <w:szCs w:val="20"/>
                <w:lang w:val="en-US" w:eastAsia="it-IT"/>
              </w:rPr>
            </w:pPr>
            <m:oMathPara>
              <m:oMathParaPr>
                <m:jc m:val="left"/>
              </m:oMathParaPr>
              <m:oMath>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LSL</m:t>
                    </m:r>
                  </m:e>
                  <m:sub>
                    <m:r>
                      <m:rPr>
                        <m:sty m:val="p"/>
                      </m:rPr>
                      <w:rPr>
                        <w:rFonts w:ascii="Cambria Math" w:eastAsia="Calibri" w:hAnsi="Cambria Math" w:cs="Helvetica-Bold"/>
                        <w:szCs w:val="20"/>
                        <w:lang w:val="en-US" w:eastAsia="it-IT"/>
                      </w:rPr>
                      <m:t>IRD</m:t>
                    </m:r>
                  </m:sub>
                </m:sSub>
                <m:r>
                  <m:rPr>
                    <m:sty m:val="p"/>
                  </m:rPr>
                  <w:rPr>
                    <w:rFonts w:ascii="Cambria Math" w:eastAsia="Calibri" w:hAnsi="Cambria Math" w:cs="Helvetica-Bold"/>
                    <w:szCs w:val="20"/>
                    <w:lang w:val="en-US" w:eastAsia="it-IT"/>
                  </w:rPr>
                  <m:t>=Max</m:t>
                </m:r>
                <m:d>
                  <m:dPr>
                    <m:begChr m:val="["/>
                    <m:endChr m:val="]"/>
                    <m:ctrlPr>
                      <w:rPr>
                        <w:rFonts w:ascii="Cambria Math" w:eastAsia="Calibri" w:hAnsi="Cambria Math" w:cs="Helvetica-Bold"/>
                        <w:bCs/>
                        <w:szCs w:val="20"/>
                        <w:lang w:val="en-US" w:eastAsia="it-IT"/>
                      </w:rPr>
                    </m:ctrlPr>
                  </m:dPr>
                  <m:e>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ILSL</m:t>
                        </m:r>
                      </m:e>
                      <m:sub>
                        <m:r>
                          <m:rPr>
                            <m:sty m:val="p"/>
                          </m:rPr>
                          <w:rPr>
                            <w:rFonts w:ascii="Cambria Math" w:eastAsia="Calibri" w:hAnsi="Cambria Math" w:cs="Helvetica-Bold"/>
                            <w:szCs w:val="20"/>
                            <w:lang w:val="en-US" w:eastAsia="it-IT"/>
                          </w:rPr>
                          <m:t>IR(n)</m:t>
                        </m:r>
                      </m:sub>
                    </m:sSub>
                    <m:r>
                      <m:rPr>
                        <m:sty m:val="p"/>
                      </m:rPr>
                      <w:rPr>
                        <w:rFonts w:ascii="Cambria Math" w:eastAsia="Calibri" w:hAnsi="Cambria Math" w:cs="Helvetica-Bold"/>
                        <w:szCs w:val="20"/>
                        <w:lang w:val="en-US" w:eastAsia="it-IT"/>
                      </w:rPr>
                      <m:t>×</m:t>
                    </m:r>
                    <m:d>
                      <m:dPr>
                        <m:ctrlPr>
                          <w:rPr>
                            <w:rFonts w:ascii="Cambria Math" w:eastAsia="Calibri" w:hAnsi="Cambria Math" w:cs="Helvetica-Bold"/>
                            <w:bCs/>
                            <w:szCs w:val="20"/>
                            <w:lang w:val="en-US" w:eastAsia="it-IT"/>
                          </w:rPr>
                        </m:ctrlPr>
                      </m:dPr>
                      <m:e>
                        <m:r>
                          <m:rPr>
                            <m:sty m:val="p"/>
                          </m:rPr>
                          <w:rPr>
                            <w:rFonts w:ascii="Cambria Math" w:eastAsia="Calibri" w:hAnsi="Cambria Math" w:cs="Helvetica-Bold"/>
                            <w:szCs w:val="20"/>
                            <w:lang w:val="en-US" w:eastAsia="it-IT"/>
                          </w:rPr>
                          <m:t>1+</m:t>
                        </m:r>
                        <m:sSub>
                          <m:sSubPr>
                            <m:ctrlPr>
                              <w:rPr>
                                <w:rFonts w:ascii="Cambria Math" w:eastAsia="Calibri" w:hAnsi="Cambria Math" w:cs="Helvetica-Bold"/>
                                <w:szCs w:val="20"/>
                                <w:lang w:val="en-US" w:eastAsia="it-IT"/>
                              </w:rPr>
                            </m:ctrlPr>
                          </m:sSubPr>
                          <m:e>
                            <m:r>
                              <m:rPr>
                                <m:sty m:val="p"/>
                              </m:rPr>
                              <w:rPr>
                                <w:rFonts w:ascii="Cambria Math" w:eastAsia="Calibri" w:hAnsi="Cambria Math" w:cs="Helvetica-Bold"/>
                                <w:szCs w:val="20"/>
                                <w:lang w:val="en-US" w:eastAsia="it-IT"/>
                              </w:rPr>
                              <m:t>ILR</m:t>
                            </m:r>
                          </m:e>
                          <m:sub>
                            <m:r>
                              <m:rPr>
                                <m:sty m:val="p"/>
                              </m:rPr>
                              <w:rPr>
                                <w:rFonts w:ascii="Cambria Math" w:eastAsia="Calibri" w:hAnsi="Cambria Math" w:cs="Helvetica-Bold"/>
                                <w:szCs w:val="20"/>
                                <w:lang w:val="en-US" w:eastAsia="it-IT"/>
                              </w:rPr>
                              <m:t>IR(n),IR(C)</m:t>
                            </m:r>
                          </m:sub>
                        </m:sSub>
                        <m:r>
                          <m:rPr>
                            <m:sty m:val="p"/>
                          </m:rPr>
                          <w:rPr>
                            <w:rFonts w:ascii="Cambria Math" w:eastAsia="Calibri" w:hAnsi="Cambria Math" w:cs="Helvetica-Bold"/>
                            <w:szCs w:val="20"/>
                            <w:lang w:val="en-US" w:eastAsia="it-IT"/>
                          </w:rPr>
                          <m:t>-</m:t>
                        </m:r>
                        <m:sSub>
                          <m:sSubPr>
                            <m:ctrlPr>
                              <w:rPr>
                                <w:rFonts w:ascii="Cambria Math" w:eastAsia="Calibri" w:hAnsi="Cambria Math" w:cs="Helvetica-Bold"/>
                                <w:szCs w:val="20"/>
                                <w:lang w:val="en-US" w:eastAsia="it-IT"/>
                              </w:rPr>
                            </m:ctrlPr>
                          </m:sSubPr>
                          <m:e>
                            <m:r>
                              <m:rPr>
                                <m:sty m:val="p"/>
                              </m:rPr>
                              <w:rPr>
                                <w:rFonts w:ascii="Cambria Math" w:eastAsia="Calibri" w:hAnsi="Cambria Math" w:cs="Helvetica-Bold"/>
                                <w:szCs w:val="20"/>
                                <w:lang w:val="en-US" w:eastAsia="it-IT"/>
                              </w:rPr>
                              <m:t>IRC</m:t>
                            </m:r>
                          </m:e>
                          <m:sub>
                            <m:r>
                              <m:rPr>
                                <m:sty m:val="p"/>
                              </m:rPr>
                              <w:rPr>
                                <w:rFonts w:ascii="Cambria Math" w:eastAsia="Calibri" w:hAnsi="Cambria Math" w:cs="Helvetica-Bold"/>
                                <w:szCs w:val="20"/>
                                <w:lang w:val="en-US" w:eastAsia="it-IT"/>
                              </w:rPr>
                              <m:t>IR(n),IR(C)</m:t>
                            </m:r>
                          </m:sub>
                        </m:sSub>
                      </m:e>
                    </m:d>
                    <m:r>
                      <m:rPr>
                        <m:sty m:val="p"/>
                      </m:rPr>
                      <w:rPr>
                        <w:rFonts w:ascii="Cambria Math" w:eastAsia="Calibri" w:hAnsi="Cambria Math" w:cs="Helvetica-Bold"/>
                        <w:szCs w:val="20"/>
                        <w:lang w:val="en-US" w:eastAsia="it-IT"/>
                      </w:rPr>
                      <m:t>,0</m:t>
                    </m:r>
                  </m:e>
                </m:d>
              </m:oMath>
            </m:oMathPara>
          </w:p>
          <w:p w14:paraId="366CF926" w14:textId="77777777" w:rsidR="00927F06" w:rsidRPr="00E65655" w:rsidDel="007C1EAE" w:rsidRDefault="00927F06" w:rsidP="00853D4F">
            <w:pPr>
              <w:spacing w:before="120" w:after="120" w:line="290" w:lineRule="auto"/>
              <w:ind w:left="24" w:hanging="24"/>
              <w:jc w:val="both"/>
              <w:rPr>
                <w:rFonts w:ascii="Helvetica" w:eastAsia="Calibri" w:hAnsi="Helvetica" w:cs="Helvetica"/>
                <w:bCs/>
                <w:szCs w:val="20"/>
                <w:lang w:val="en-US" w:eastAsia="it-IT"/>
              </w:rPr>
            </w:pPr>
            <w:r w:rsidRPr="00E65655" w:rsidDel="007C1EAE">
              <w:rPr>
                <w:rFonts w:ascii="Helvetica" w:eastAsia="Calibri" w:hAnsi="Helvetica" w:cs="Helvetica"/>
                <w:szCs w:val="20"/>
                <w:lang w:val="en-US" w:eastAsia="it-IT"/>
              </w:rPr>
              <w:t xml:space="preserve"> (2) If the last Intraday Restrike Event Observation Period on the relevant Intraday Restrike Date ends on the TimeReferenceClosing:</w:t>
            </w:r>
          </w:p>
          <w:p w14:paraId="2675BC4C" w14:textId="72CFAC89" w:rsidR="00927F06" w:rsidRPr="00E65655" w:rsidDel="007C1EAE" w:rsidRDefault="00187794" w:rsidP="00853D4F">
            <w:pPr>
              <w:autoSpaceDE w:val="0"/>
              <w:autoSpaceDN w:val="0"/>
              <w:adjustRightInd w:val="0"/>
              <w:spacing w:before="120" w:after="120" w:line="290" w:lineRule="auto"/>
              <w:jc w:val="both"/>
              <w:rPr>
                <w:rFonts w:cs="Arial"/>
                <w:color w:val="000000"/>
                <w:szCs w:val="20"/>
                <w:lang w:val="en-US"/>
              </w:rPr>
            </w:pPr>
            <m:oMathPara>
              <m:oMathParaPr>
                <m:jc m:val="left"/>
              </m:oMathParaPr>
              <m:oMath>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LSL</m:t>
                    </m:r>
                  </m:e>
                  <m:sub>
                    <m:r>
                      <m:rPr>
                        <m:sty m:val="p"/>
                      </m:rPr>
                      <w:rPr>
                        <w:rFonts w:ascii="Cambria Math" w:eastAsia="Calibri" w:hAnsi="Cambria Math" w:cs="Helvetica-Bold"/>
                        <w:szCs w:val="20"/>
                        <w:lang w:val="en-US" w:eastAsia="it-IT"/>
                      </w:rPr>
                      <m:t>IRD</m:t>
                    </m:r>
                  </m:sub>
                </m:sSub>
                <m:r>
                  <m:rPr>
                    <m:sty m:val="p"/>
                  </m:rPr>
                  <w:rPr>
                    <w:rFonts w:ascii="Cambria Math" w:eastAsia="Calibri" w:hAnsi="Cambria Math" w:cs="Helvetica-Bold"/>
                    <w:szCs w:val="20"/>
                    <w:lang w:val="en-US" w:eastAsia="it-IT"/>
                  </w:rPr>
                  <m:t>=Max</m:t>
                </m:r>
                <m:d>
                  <m:dPr>
                    <m:begChr m:val="["/>
                    <m:endChr m:val="]"/>
                    <m:ctrlPr>
                      <w:rPr>
                        <w:rFonts w:ascii="Cambria Math" w:eastAsia="Calibri" w:hAnsi="Cambria Math" w:cs="Helvetica-Bold"/>
                        <w:bCs/>
                        <w:szCs w:val="20"/>
                        <w:lang w:val="en-US" w:eastAsia="it-IT"/>
                      </w:rPr>
                    </m:ctrlPr>
                  </m:dPr>
                  <m:e>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ILSL</m:t>
                        </m:r>
                      </m:e>
                      <m:sub>
                        <m:r>
                          <m:rPr>
                            <m:sty m:val="p"/>
                          </m:rPr>
                          <w:rPr>
                            <w:rFonts w:ascii="Cambria Math" w:eastAsia="Calibri" w:hAnsi="Cambria Math" w:cs="Helvetica-Bold"/>
                            <w:szCs w:val="20"/>
                            <w:lang w:val="en-US" w:eastAsia="it-IT"/>
                          </w:rPr>
                          <m:t>IR(n)</m:t>
                        </m:r>
                      </m:sub>
                    </m:sSub>
                    <m:r>
                      <m:rPr>
                        <m:sty m:val="p"/>
                      </m:rPr>
                      <w:rPr>
                        <w:rFonts w:ascii="Cambria Math" w:eastAsia="Calibri" w:hAnsi="Cambria Math" w:cs="Helvetica-Bold"/>
                        <w:szCs w:val="20"/>
                        <w:lang w:val="en-US" w:eastAsia="it-IT"/>
                      </w:rPr>
                      <m:t>,0</m:t>
                    </m:r>
                  </m:e>
                </m:d>
              </m:oMath>
            </m:oMathPara>
          </w:p>
        </w:tc>
      </w:tr>
      <w:tr w:rsidR="00927F06" w:rsidRPr="00E65655" w:rsidDel="007C1EAE" w14:paraId="73A2436C" w14:textId="77777777" w:rsidTr="00822438">
        <w:trPr>
          <w:jc w:val="center"/>
        </w:trPr>
        <w:tc>
          <w:tcPr>
            <w:tcW w:w="2605" w:type="dxa"/>
          </w:tcPr>
          <w:p w14:paraId="6D53BCAA" w14:textId="77777777" w:rsidR="00927F06" w:rsidRPr="00E65655" w:rsidDel="007C1EAE" w:rsidRDefault="00187794" w:rsidP="00853D4F">
            <w:pPr>
              <w:spacing w:before="120" w:after="120" w:line="290" w:lineRule="auto"/>
              <w:jc w:val="center"/>
              <w:rPr>
                <w:rFonts w:cs="Arial"/>
                <w:b/>
                <w:color w:val="000000"/>
                <w:szCs w:val="20"/>
                <w:lang w:val="en-US"/>
              </w:rPr>
            </w:pPr>
            <m:oMathPara>
              <m:oMath>
                <m:sSub>
                  <m:sSubPr>
                    <m:ctrlPr>
                      <w:rPr>
                        <w:rFonts w:ascii="Cambria Math" w:eastAsia="Calibri" w:hAnsi="Cambria Math" w:cs="Helvetica-Bold"/>
                        <w:b/>
                        <w:bCs/>
                        <w:szCs w:val="20"/>
                        <w:lang w:val="en-US" w:eastAsia="it-IT"/>
                      </w:rPr>
                    </m:ctrlPr>
                  </m:sSubPr>
                  <m:e>
                    <m:r>
                      <m:rPr>
                        <m:sty m:val="b"/>
                      </m:rPr>
                      <w:rPr>
                        <w:rFonts w:ascii="Cambria Math" w:eastAsia="Calibri" w:hAnsi="Cambria Math" w:cs="Helvetica-Bold"/>
                        <w:szCs w:val="20"/>
                        <w:lang w:val="en-US" w:eastAsia="it-IT"/>
                      </w:rPr>
                      <m:t>ILSL</m:t>
                    </m:r>
                  </m:e>
                  <m:sub>
                    <m:r>
                      <m:rPr>
                        <m:sty m:val="b"/>
                      </m:rPr>
                      <w:rPr>
                        <w:rFonts w:ascii="Cambria Math" w:eastAsia="Calibri" w:hAnsi="Cambria Math" w:cs="Helvetica-Bold"/>
                        <w:szCs w:val="20"/>
                        <w:lang w:val="en-US" w:eastAsia="it-IT"/>
                      </w:rPr>
                      <m:t>IR</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k</m:t>
                    </m:r>
                    <m:r>
                      <m:rPr>
                        <m:sty m:val="b"/>
                      </m:rPr>
                      <w:rPr>
                        <w:rFonts w:ascii="Cambria Math" w:eastAsia="Calibri" w:hAnsi="Cambria Math" w:cs="Helvetica-Bold"/>
                        <w:szCs w:val="20"/>
                        <w:lang w:val="en-US" w:eastAsia="it-IT"/>
                      </w:rPr>
                      <m:t>)</m:t>
                    </m:r>
                  </m:sub>
                </m:sSub>
              </m:oMath>
            </m:oMathPara>
          </w:p>
        </w:tc>
        <w:tc>
          <w:tcPr>
            <w:tcW w:w="6953" w:type="dxa"/>
          </w:tcPr>
          <w:p w14:paraId="4079B1CE" w14:textId="77777777" w:rsidR="00927F06" w:rsidRPr="00E65655" w:rsidDel="007C1EAE" w:rsidRDefault="00927F06" w:rsidP="00853D4F">
            <w:pPr>
              <w:spacing w:before="120" w:after="120" w:line="290" w:lineRule="auto"/>
              <w:ind w:left="44"/>
              <w:jc w:val="both"/>
              <w:rPr>
                <w:rFonts w:cs="Arial"/>
                <w:color w:val="000000"/>
                <w:szCs w:val="20"/>
                <w:lang w:val="en-US"/>
              </w:rPr>
            </w:pPr>
            <w:r w:rsidRPr="00E65655" w:rsidDel="007C1EAE">
              <w:rPr>
                <w:rFonts w:cs="Arial"/>
                <w:color w:val="000000"/>
                <w:szCs w:val="20"/>
                <w:lang w:val="en-US"/>
              </w:rPr>
              <w:t>means, in respect of IR(k), the Intraday Leverage</w:t>
            </w:r>
            <w:r w:rsidRPr="00E65655">
              <w:rPr>
                <w:rFonts w:cs="Arial"/>
                <w:color w:val="000000"/>
                <w:szCs w:val="20"/>
                <w:lang w:val="en-US"/>
              </w:rPr>
              <w:t xml:space="preserve"> Inverse</w:t>
            </w:r>
            <w:r w:rsidRPr="00E65655" w:rsidDel="007C1EAE">
              <w:rPr>
                <w:rFonts w:cs="Arial"/>
                <w:color w:val="000000"/>
                <w:szCs w:val="20"/>
                <w:lang w:val="en-US"/>
              </w:rPr>
              <w:t xml:space="preserve"> Strategy Level in accordance with the following </w:t>
            </w:r>
            <w:proofErr w:type="gramStart"/>
            <w:r w:rsidRPr="00E65655" w:rsidDel="007C1EAE">
              <w:rPr>
                <w:rFonts w:cs="Arial"/>
                <w:color w:val="000000"/>
                <w:szCs w:val="20"/>
                <w:lang w:val="en-US"/>
              </w:rPr>
              <w:t>provisions :</w:t>
            </w:r>
            <w:proofErr w:type="gramEnd"/>
          </w:p>
          <w:p w14:paraId="17A702FB" w14:textId="77777777" w:rsidR="00927F06" w:rsidRPr="00E65655" w:rsidRDefault="00927F06" w:rsidP="00853D4F">
            <w:pPr>
              <w:spacing w:before="120" w:after="120" w:line="290" w:lineRule="auto"/>
              <w:ind w:left="44"/>
              <w:jc w:val="both"/>
              <w:rPr>
                <w:rFonts w:cs="Arial"/>
                <w:color w:val="000000"/>
                <w:szCs w:val="20"/>
                <w:lang w:val="en-US"/>
              </w:rPr>
            </w:pPr>
            <w:r w:rsidRPr="00E65655" w:rsidDel="007C1EAE">
              <w:rPr>
                <w:rFonts w:cs="Arial"/>
                <w:color w:val="000000"/>
                <w:szCs w:val="20"/>
                <w:lang w:val="en-US"/>
              </w:rPr>
              <w:t xml:space="preserve">(1) for k = </w:t>
            </w:r>
            <w:proofErr w:type="gramStart"/>
            <w:r w:rsidRPr="00E65655" w:rsidDel="007C1EAE">
              <w:rPr>
                <w:rFonts w:cs="Arial"/>
                <w:color w:val="000000"/>
                <w:szCs w:val="20"/>
                <w:lang w:val="en-US"/>
              </w:rPr>
              <w:t>1 :</w:t>
            </w:r>
            <w:proofErr w:type="gramEnd"/>
          </w:p>
          <w:p w14:paraId="7D2A142C" w14:textId="6DDED771" w:rsidR="00927F06" w:rsidRPr="00E65655" w:rsidRDefault="00187794" w:rsidP="00853D4F">
            <w:pPr>
              <w:spacing w:before="120" w:after="120" w:line="290" w:lineRule="auto"/>
              <w:ind w:left="44"/>
              <w:jc w:val="both"/>
              <w:rPr>
                <w:rFonts w:cs="Arial"/>
                <w:bCs/>
                <w:szCs w:val="20"/>
                <w:lang w:val="en-US" w:eastAsia="it-IT"/>
              </w:rPr>
            </w:pPr>
            <m:oMathPara>
              <m:oMathParaPr>
                <m:jc m:val="left"/>
              </m:oMathParaPr>
              <m:oMath>
                <m:sSub>
                  <m:sSubPr>
                    <m:ctrlPr>
                      <w:rPr>
                        <w:rFonts w:ascii="Cambria Math" w:eastAsia="Calibri" w:hAnsi="Cambria Math" w:cs="Helvetica-Bold"/>
                        <w:bCs/>
                        <w:sz w:val="18"/>
                        <w:szCs w:val="20"/>
                        <w:lang w:val="en-US" w:eastAsia="it-IT"/>
                      </w:rPr>
                    </m:ctrlPr>
                  </m:sSubPr>
                  <m:e>
                    <m:r>
                      <m:rPr>
                        <m:nor/>
                      </m:rPr>
                      <w:rPr>
                        <w:rFonts w:ascii="Cambria Math" w:eastAsia="Calibri" w:hAnsi="Cambria Math" w:cs="Helvetica-Bold"/>
                        <w:sz w:val="18"/>
                        <w:szCs w:val="20"/>
                        <w:lang w:val="en-US" w:eastAsia="it-IT"/>
                      </w:rPr>
                      <m:t>ILSL</m:t>
                    </m:r>
                  </m:e>
                  <m:sub>
                    <m:r>
                      <m:rPr>
                        <m:nor/>
                      </m:rPr>
                      <w:rPr>
                        <w:rFonts w:ascii="Cambria Math" w:eastAsia="Calibri" w:hAnsi="Cambria Math" w:cs="Helvetica-Bold"/>
                        <w:sz w:val="18"/>
                        <w:szCs w:val="20"/>
                        <w:lang w:val="en-US" w:eastAsia="it-IT"/>
                      </w:rPr>
                      <m:t>IR(1)</m:t>
                    </m:r>
                  </m:sub>
                </m:sSub>
                <m:r>
                  <m:rPr>
                    <m:nor/>
                  </m:rPr>
                  <w:rPr>
                    <w:rFonts w:ascii="Cambria Math" w:eastAsia="Calibri" w:hAnsi="Cambria Math" w:cs="Helvetica-Bold"/>
                    <w:b/>
                    <w:sz w:val="18"/>
                    <w:szCs w:val="20"/>
                    <w:lang w:val="en-US" w:eastAsia="it-IT"/>
                  </w:rPr>
                  <m:t xml:space="preserve">= </m:t>
                </m:r>
                <m:r>
                  <m:rPr>
                    <m:nor/>
                  </m:rPr>
                  <w:rPr>
                    <w:rFonts w:ascii="Cambria Math" w:eastAsia="Calibri" w:hAnsi="Cambria Math" w:cs="Helvetica-Bold"/>
                    <w:sz w:val="18"/>
                    <w:szCs w:val="20"/>
                    <w:lang w:val="en-US" w:eastAsia="it-IT"/>
                  </w:rPr>
                  <m:t>Max</m:t>
                </m:r>
                <m:d>
                  <m:dPr>
                    <m:begChr m:val="["/>
                    <m:endChr m:val="]"/>
                    <m:ctrlPr>
                      <w:rPr>
                        <w:rFonts w:ascii="Cambria Math" w:eastAsia="Calibri" w:hAnsi="Cambria Math" w:cs="Helvetica-Bold"/>
                        <w:bCs/>
                        <w:sz w:val="18"/>
                        <w:szCs w:val="20"/>
                        <w:lang w:val="en-US" w:eastAsia="it-IT"/>
                      </w:rPr>
                    </m:ctrlPr>
                  </m:dPr>
                  <m:e>
                    <m:sSub>
                      <m:sSubPr>
                        <m:ctrlPr>
                          <w:rPr>
                            <w:rFonts w:ascii="Cambria Math" w:eastAsia="Calibri" w:hAnsi="Cambria Math" w:cs="Helvetica-Bold"/>
                            <w:bCs/>
                            <w:sz w:val="18"/>
                            <w:szCs w:val="20"/>
                            <w:lang w:val="en-US" w:eastAsia="it-IT"/>
                          </w:rPr>
                        </m:ctrlPr>
                      </m:sSubPr>
                      <m:e>
                        <m:r>
                          <m:rPr>
                            <m:nor/>
                          </m:rPr>
                          <w:rPr>
                            <w:rFonts w:ascii="Cambria Math" w:eastAsia="Calibri" w:hAnsi="Cambria Math" w:cs="Helvetica-Bold"/>
                            <w:sz w:val="18"/>
                            <w:szCs w:val="20"/>
                            <w:lang w:val="en-US" w:eastAsia="it-IT"/>
                          </w:rPr>
                          <m:t>LSL</m:t>
                        </m:r>
                      </m:e>
                      <m:sub>
                        <m:r>
                          <m:rPr>
                            <m:nor/>
                          </m:rPr>
                          <w:rPr>
                            <w:rFonts w:ascii="Cambria Math" w:eastAsia="Calibri" w:hAnsi="Cambria Math" w:cs="Helvetica-Bold"/>
                            <w:sz w:val="18"/>
                            <w:szCs w:val="20"/>
                            <w:lang w:val="en-US" w:eastAsia="it-IT"/>
                          </w:rPr>
                          <m:t>IRD-1</m:t>
                        </m:r>
                      </m:sub>
                    </m:sSub>
                    <m:r>
                      <m:rPr>
                        <m:nor/>
                      </m:rPr>
                      <w:rPr>
                        <w:rFonts w:ascii="Cambria Math" w:eastAsia="Calibri" w:hAnsi="Cambria Math" w:cs="Helvetica-Bold"/>
                        <w:sz w:val="18"/>
                        <w:szCs w:val="20"/>
                        <w:lang w:val="en-US" w:eastAsia="it-IT"/>
                      </w:rPr>
                      <m:t>×</m:t>
                    </m:r>
                    <m:d>
                      <m:dPr>
                        <m:ctrlPr>
                          <w:rPr>
                            <w:rFonts w:ascii="Cambria Math" w:eastAsia="Calibri" w:hAnsi="Cambria Math" w:cs="Helvetica-Bold"/>
                            <w:bCs/>
                            <w:sz w:val="18"/>
                            <w:szCs w:val="20"/>
                            <w:lang w:val="en-US" w:eastAsia="it-IT"/>
                          </w:rPr>
                        </m:ctrlPr>
                      </m:dPr>
                      <m:e>
                        <m:r>
                          <m:rPr>
                            <m:nor/>
                          </m:rPr>
                          <w:rPr>
                            <w:rFonts w:ascii="Cambria Math" w:eastAsia="Calibri" w:hAnsi="Cambria Math" w:cs="Helvetica-Bold"/>
                            <w:sz w:val="18"/>
                            <w:szCs w:val="20"/>
                            <w:lang w:val="en-US" w:eastAsia="it-IT"/>
                          </w:rPr>
                          <m:t>1+</m:t>
                        </m:r>
                        <m:sSub>
                          <m:sSubPr>
                            <m:ctrlPr>
                              <w:rPr>
                                <w:rFonts w:ascii="Cambria Math" w:eastAsia="Calibri" w:hAnsi="Cambria Math" w:cs="Helvetica-Bold"/>
                                <w:sz w:val="18"/>
                                <w:szCs w:val="20"/>
                                <w:lang w:val="en-US" w:eastAsia="it-IT"/>
                              </w:rPr>
                            </m:ctrlPr>
                          </m:sSubPr>
                          <m:e>
                            <m:r>
                              <m:rPr>
                                <m:nor/>
                              </m:rPr>
                              <w:rPr>
                                <w:rFonts w:ascii="Cambria Math" w:eastAsia="Calibri" w:hAnsi="Cambria Math" w:cs="Helvetica-Bold"/>
                                <w:sz w:val="18"/>
                                <w:szCs w:val="20"/>
                                <w:lang w:val="en-US" w:eastAsia="it-IT"/>
                              </w:rPr>
                              <m:t>ILR</m:t>
                            </m:r>
                          </m:e>
                          <m:sub>
                            <m:r>
                              <m:rPr>
                                <m:nor/>
                              </m:rPr>
                              <w:rPr>
                                <w:rFonts w:ascii="Cambria Math" w:eastAsia="Calibri" w:hAnsi="Cambria Math" w:cs="Helvetica-Bold"/>
                                <w:sz w:val="18"/>
                                <w:szCs w:val="20"/>
                                <w:lang w:val="en-US" w:eastAsia="it-IT"/>
                              </w:rPr>
                              <m:t>IR(0),IR(1)</m:t>
                            </m:r>
                          </m:sub>
                        </m:sSub>
                        <m:r>
                          <m:rPr>
                            <m:nor/>
                          </m:rPr>
                          <w:rPr>
                            <w:rFonts w:ascii="Cambria Math" w:eastAsia="Calibri" w:hAnsi="Cambria Math" w:cs="Helvetica-Bold"/>
                            <w:sz w:val="18"/>
                            <w:szCs w:val="20"/>
                            <w:lang w:val="en-US" w:eastAsia="it-IT"/>
                          </w:rPr>
                          <m:t xml:space="preserve">- </m:t>
                        </m:r>
                        <m:sSub>
                          <m:sSubPr>
                            <m:ctrlPr>
                              <w:rPr>
                                <w:rFonts w:ascii="Cambria Math" w:eastAsia="Calibri" w:hAnsi="Cambria Math" w:cs="Helvetica-Bold"/>
                                <w:sz w:val="18"/>
                                <w:szCs w:val="20"/>
                                <w:lang w:val="en-US" w:eastAsia="it-IT"/>
                              </w:rPr>
                            </m:ctrlPr>
                          </m:sSubPr>
                          <m:e>
                            <m:r>
                              <m:rPr>
                                <m:nor/>
                              </m:rPr>
                              <w:rPr>
                                <w:rFonts w:ascii="Cambria Math" w:eastAsia="Calibri" w:hAnsi="Cambria Math" w:cs="Helvetica-Bold"/>
                                <w:sz w:val="18"/>
                                <w:szCs w:val="20"/>
                                <w:lang w:val="en-US" w:eastAsia="it-IT"/>
                              </w:rPr>
                              <m:t>FC</m:t>
                            </m:r>
                          </m:e>
                          <m:sub>
                            <m:r>
                              <m:rPr>
                                <m:nor/>
                              </m:rPr>
                              <w:rPr>
                                <w:rFonts w:ascii="Cambria Math" w:eastAsia="Calibri" w:hAnsi="Cambria Math" w:cs="Helvetica-Bold"/>
                                <w:sz w:val="18"/>
                                <w:szCs w:val="20"/>
                                <w:lang w:val="en-US" w:eastAsia="it-IT"/>
                              </w:rPr>
                              <m:t>IRD-1,IRD</m:t>
                            </m:r>
                          </m:sub>
                        </m:sSub>
                        <m:r>
                          <m:rPr>
                            <m:nor/>
                          </m:rPr>
                          <w:rPr>
                            <w:rFonts w:ascii="Cambria Math" w:eastAsia="Calibri" w:hAnsi="Cambria Math" w:cs="Helvetica-Bold"/>
                            <w:sz w:val="18"/>
                            <w:szCs w:val="20"/>
                            <w:lang w:val="en-US" w:eastAsia="it-IT"/>
                          </w:rPr>
                          <m:t xml:space="preserve">- </m:t>
                        </m:r>
                        <m:sSub>
                          <m:sSubPr>
                            <m:ctrlPr>
                              <w:rPr>
                                <w:rFonts w:ascii="Cambria Math" w:eastAsia="Calibri" w:hAnsi="Cambria Math" w:cs="Helvetica-Bold"/>
                                <w:sz w:val="18"/>
                                <w:szCs w:val="20"/>
                                <w:lang w:val="en-US" w:eastAsia="it-IT"/>
                              </w:rPr>
                            </m:ctrlPr>
                          </m:sSubPr>
                          <m:e>
                            <m:r>
                              <m:rPr>
                                <m:nor/>
                              </m:rPr>
                              <w:rPr>
                                <w:rFonts w:ascii="Cambria Math" w:eastAsia="Calibri" w:hAnsi="Cambria Math" w:cs="Helvetica-Bold"/>
                                <w:sz w:val="18"/>
                                <w:szCs w:val="20"/>
                                <w:lang w:val="en-US" w:eastAsia="it-IT"/>
                              </w:rPr>
                              <m:t>SB</m:t>
                            </m:r>
                          </m:e>
                          <m:sub>
                            <m:r>
                              <m:rPr>
                                <m:nor/>
                              </m:rPr>
                              <w:rPr>
                                <w:rFonts w:ascii="Cambria Math" w:eastAsia="Calibri" w:hAnsi="Cambria Math" w:cs="Helvetica-Bold"/>
                                <w:sz w:val="18"/>
                                <w:szCs w:val="20"/>
                                <w:lang w:val="en-US" w:eastAsia="it-IT"/>
                              </w:rPr>
                              <m:t>IRD-1,IRD</m:t>
                            </m:r>
                          </m:sub>
                        </m:sSub>
                        <m:r>
                          <m:rPr>
                            <m:nor/>
                          </m:rPr>
                          <w:rPr>
                            <w:rFonts w:ascii="Cambria Math" w:eastAsia="Calibri" w:hAnsi="Cambria Math" w:cs="Helvetica-Bold"/>
                            <w:sz w:val="18"/>
                            <w:szCs w:val="20"/>
                            <w:lang w:val="en-US" w:eastAsia="it-IT"/>
                          </w:rPr>
                          <m:t>- I</m:t>
                        </m:r>
                        <m:sSub>
                          <m:sSubPr>
                            <m:ctrlPr>
                              <w:rPr>
                                <w:rFonts w:ascii="Cambria Math" w:eastAsia="Calibri" w:hAnsi="Cambria Math" w:cs="Helvetica-Bold"/>
                                <w:sz w:val="18"/>
                                <w:szCs w:val="20"/>
                                <w:lang w:val="en-US" w:eastAsia="it-IT"/>
                              </w:rPr>
                            </m:ctrlPr>
                          </m:sSubPr>
                          <m:e>
                            <m:r>
                              <m:rPr>
                                <m:nor/>
                              </m:rPr>
                              <w:rPr>
                                <w:rFonts w:ascii="Cambria Math" w:eastAsia="Calibri" w:hAnsi="Cambria Math" w:cs="Helvetica-Bold"/>
                                <w:sz w:val="18"/>
                                <w:szCs w:val="20"/>
                                <w:lang w:val="en-US" w:eastAsia="it-IT"/>
                              </w:rPr>
                              <m:t>RC</m:t>
                            </m:r>
                          </m:e>
                          <m:sub>
                            <m:r>
                              <m:rPr>
                                <m:nor/>
                              </m:rPr>
                              <w:rPr>
                                <w:rFonts w:ascii="Cambria Math" w:eastAsia="Calibri" w:hAnsi="Cambria Math" w:cs="Helvetica-Bold"/>
                                <w:sz w:val="18"/>
                                <w:szCs w:val="20"/>
                                <w:lang w:val="en-US" w:eastAsia="it-IT"/>
                              </w:rPr>
                              <m:t>IR(0),IR(1)</m:t>
                            </m:r>
                          </m:sub>
                        </m:sSub>
                      </m:e>
                    </m:d>
                    <m:r>
                      <m:rPr>
                        <m:nor/>
                      </m:rPr>
                      <w:rPr>
                        <w:rFonts w:ascii="Cambria Math" w:eastAsia="Calibri" w:hAnsi="Cambria Math" w:cs="Helvetica-Bold"/>
                        <w:sz w:val="18"/>
                        <w:szCs w:val="20"/>
                        <w:lang w:val="en-US" w:eastAsia="it-IT"/>
                      </w:rPr>
                      <m:t>,0</m:t>
                    </m:r>
                  </m:e>
                </m:d>
              </m:oMath>
            </m:oMathPara>
          </w:p>
          <w:p w14:paraId="5254D6A4"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bCs/>
                <w:szCs w:val="20"/>
                <w:lang w:val="en-US" w:eastAsia="it-IT"/>
              </w:rPr>
              <w:t>(2</w:t>
            </w:r>
            <w:proofErr w:type="gramStart"/>
            <w:r w:rsidRPr="00E65655" w:rsidDel="007C1EAE">
              <w:rPr>
                <w:rFonts w:cs="Arial"/>
                <w:bCs/>
                <w:szCs w:val="20"/>
                <w:lang w:val="en-US" w:eastAsia="it-IT"/>
              </w:rPr>
              <w:t>)  for</w:t>
            </w:r>
            <w:proofErr w:type="gramEnd"/>
            <w:r w:rsidRPr="00E65655" w:rsidDel="007C1EAE">
              <w:rPr>
                <w:rFonts w:cs="Arial"/>
                <w:bCs/>
                <w:szCs w:val="20"/>
                <w:lang w:val="en-US" w:eastAsia="it-IT"/>
              </w:rPr>
              <w:t xml:space="preserve"> k &gt; </w:t>
            </w:r>
            <w:proofErr w:type="gramStart"/>
            <w:r w:rsidRPr="00E65655" w:rsidDel="007C1EAE">
              <w:rPr>
                <w:rFonts w:cs="Arial"/>
                <w:bCs/>
                <w:szCs w:val="20"/>
                <w:lang w:val="en-US" w:eastAsia="it-IT"/>
              </w:rPr>
              <w:t>1 :</w:t>
            </w:r>
            <w:proofErr w:type="gramEnd"/>
          </w:p>
          <w:p w14:paraId="787D2285" w14:textId="241AFAFC" w:rsidR="00927F06" w:rsidRPr="00E65655" w:rsidDel="007C1EAE" w:rsidRDefault="00187794" w:rsidP="00853D4F">
            <w:pPr>
              <w:autoSpaceDE w:val="0"/>
              <w:autoSpaceDN w:val="0"/>
              <w:adjustRightInd w:val="0"/>
              <w:spacing w:before="120" w:after="120" w:line="290" w:lineRule="auto"/>
              <w:jc w:val="both"/>
              <w:rPr>
                <w:rFonts w:cs="Arial"/>
                <w:color w:val="000000"/>
                <w:szCs w:val="20"/>
                <w:lang w:val="en-US"/>
              </w:rPr>
            </w:pPr>
            <m:oMathPara>
              <m:oMathParaPr>
                <m:jc m:val="left"/>
              </m:oMathParaPr>
              <m:oMath>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ILSL</m:t>
                    </m:r>
                  </m:e>
                  <m:sub>
                    <m:r>
                      <m:rPr>
                        <m:sty m:val="p"/>
                      </m:rPr>
                      <w:rPr>
                        <w:rFonts w:ascii="Cambria Math" w:eastAsia="Calibri" w:hAnsi="Cambria Math" w:cs="Helvetica-Bold"/>
                        <w:szCs w:val="20"/>
                        <w:lang w:val="en-US" w:eastAsia="it-IT"/>
                      </w:rPr>
                      <m:t>IR(k)</m:t>
                    </m:r>
                  </m:sub>
                </m:sSub>
                <m:r>
                  <m:rPr>
                    <m:sty m:val="p"/>
                  </m:rPr>
                  <w:rPr>
                    <w:rFonts w:ascii="Cambria Math" w:eastAsia="Calibri" w:hAnsi="Cambria Math" w:cs="Helvetica-Bold"/>
                    <w:szCs w:val="20"/>
                    <w:lang w:val="en-US" w:eastAsia="it-IT"/>
                  </w:rPr>
                  <m:t>=Max</m:t>
                </m:r>
                <m:d>
                  <m:dPr>
                    <m:begChr m:val="["/>
                    <m:endChr m:val="]"/>
                    <m:ctrlPr>
                      <w:rPr>
                        <w:rFonts w:ascii="Cambria Math" w:eastAsia="Calibri" w:hAnsi="Cambria Math" w:cs="Helvetica-Bold"/>
                        <w:bCs/>
                        <w:szCs w:val="20"/>
                        <w:lang w:val="en-US" w:eastAsia="it-IT"/>
                      </w:rPr>
                    </m:ctrlPr>
                  </m:dPr>
                  <m:e>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ILSL</m:t>
                        </m:r>
                      </m:e>
                      <m:sub>
                        <m:r>
                          <m:rPr>
                            <m:sty m:val="p"/>
                          </m:rPr>
                          <w:rPr>
                            <w:rFonts w:ascii="Cambria Math" w:eastAsia="Calibri" w:hAnsi="Cambria Math" w:cs="Helvetica-Bold"/>
                            <w:szCs w:val="20"/>
                            <w:lang w:val="en-US" w:eastAsia="it-IT"/>
                          </w:rPr>
                          <m:t>IR(k-1)</m:t>
                        </m:r>
                      </m:sub>
                    </m:sSub>
                    <m:r>
                      <m:rPr>
                        <m:sty m:val="p"/>
                      </m:rPr>
                      <w:rPr>
                        <w:rFonts w:ascii="Cambria Math" w:eastAsia="Calibri" w:hAnsi="Cambria Math" w:cs="Helvetica-Bold"/>
                        <w:szCs w:val="20"/>
                        <w:lang w:val="en-US" w:eastAsia="it-IT"/>
                      </w:rPr>
                      <m:t>×</m:t>
                    </m:r>
                    <m:d>
                      <m:dPr>
                        <m:ctrlPr>
                          <w:rPr>
                            <w:rFonts w:ascii="Cambria Math" w:eastAsia="Calibri" w:hAnsi="Cambria Math" w:cs="Helvetica-Bold"/>
                            <w:bCs/>
                            <w:szCs w:val="20"/>
                            <w:lang w:val="en-US" w:eastAsia="it-IT"/>
                          </w:rPr>
                        </m:ctrlPr>
                      </m:dPr>
                      <m:e>
                        <m:r>
                          <m:rPr>
                            <m:sty m:val="p"/>
                          </m:rPr>
                          <w:rPr>
                            <w:rFonts w:ascii="Cambria Math" w:eastAsia="Calibri" w:hAnsi="Cambria Math" w:cs="Helvetica-Bold"/>
                            <w:szCs w:val="20"/>
                            <w:lang w:val="en-US" w:eastAsia="it-IT"/>
                          </w:rPr>
                          <m:t>1+</m:t>
                        </m:r>
                        <m:sSub>
                          <m:sSubPr>
                            <m:ctrlPr>
                              <w:rPr>
                                <w:rFonts w:ascii="Cambria Math" w:eastAsia="Calibri" w:hAnsi="Cambria Math" w:cs="Helvetica-Bold"/>
                                <w:szCs w:val="20"/>
                                <w:lang w:val="en-US" w:eastAsia="it-IT"/>
                              </w:rPr>
                            </m:ctrlPr>
                          </m:sSubPr>
                          <m:e>
                            <m:r>
                              <m:rPr>
                                <m:sty m:val="p"/>
                              </m:rPr>
                              <w:rPr>
                                <w:rFonts w:ascii="Cambria Math" w:eastAsia="Calibri" w:hAnsi="Cambria Math" w:cs="Helvetica-Bold"/>
                                <w:szCs w:val="20"/>
                                <w:lang w:val="en-US" w:eastAsia="it-IT"/>
                              </w:rPr>
                              <m:t>ILR</m:t>
                            </m:r>
                          </m:e>
                          <m:sub>
                            <m:r>
                              <m:rPr>
                                <m:sty m:val="p"/>
                              </m:rPr>
                              <w:rPr>
                                <w:rFonts w:ascii="Cambria Math" w:eastAsia="Calibri" w:hAnsi="Cambria Math" w:cs="Helvetica-Bold"/>
                                <w:szCs w:val="20"/>
                                <w:lang w:val="en-US" w:eastAsia="it-IT"/>
                              </w:rPr>
                              <m:t>IR(k-1),IR(k)</m:t>
                            </m:r>
                          </m:sub>
                        </m:sSub>
                        <m:r>
                          <m:rPr>
                            <m:sty m:val="p"/>
                          </m:rPr>
                          <w:rPr>
                            <w:rFonts w:ascii="Cambria Math" w:eastAsia="Calibri" w:hAnsi="Cambria Math" w:cs="Helvetica-Bold"/>
                            <w:szCs w:val="20"/>
                            <w:lang w:val="en-US" w:eastAsia="it-IT"/>
                          </w:rPr>
                          <m:t>-</m:t>
                        </m:r>
                        <m:r>
                          <m:rPr>
                            <m:sty m:val="p"/>
                          </m:rPr>
                          <w:rPr>
                            <w:rFonts w:ascii="Cambria Math" w:eastAsia="Calibri" w:hAnsi="Cambria Math" w:cs="Helvetica-Bold"/>
                            <w:szCs w:val="20"/>
                            <w:lang w:val="en-US" w:eastAsia="it-IT"/>
                          </w:rPr>
                          <m:t xml:space="preserve"> </m:t>
                        </m:r>
                        <m:sSub>
                          <m:sSubPr>
                            <m:ctrlPr>
                              <w:rPr>
                                <w:rFonts w:ascii="Cambria Math" w:eastAsia="Calibri" w:hAnsi="Cambria Math" w:cs="Helvetica-Bold"/>
                                <w:szCs w:val="20"/>
                                <w:lang w:val="en-US" w:eastAsia="it-IT"/>
                              </w:rPr>
                            </m:ctrlPr>
                          </m:sSubPr>
                          <m:e>
                            <m:r>
                              <m:rPr>
                                <m:sty m:val="p"/>
                              </m:rPr>
                              <w:rPr>
                                <w:rFonts w:ascii="Cambria Math" w:eastAsia="Calibri" w:hAnsi="Cambria Math" w:cs="Helvetica-Bold"/>
                                <w:szCs w:val="20"/>
                                <w:lang w:val="en-US" w:eastAsia="it-IT"/>
                              </w:rPr>
                              <m:t>IRC</m:t>
                            </m:r>
                          </m:e>
                          <m:sub>
                            <m:r>
                              <m:rPr>
                                <m:sty m:val="p"/>
                              </m:rPr>
                              <w:rPr>
                                <w:rFonts w:ascii="Cambria Math" w:eastAsia="Calibri" w:hAnsi="Cambria Math" w:cs="Helvetica-Bold"/>
                                <w:szCs w:val="20"/>
                                <w:lang w:val="en-US" w:eastAsia="it-IT"/>
                              </w:rPr>
                              <m:t>IR(k-1),IR(k)</m:t>
                            </m:r>
                          </m:sub>
                        </m:sSub>
                      </m:e>
                    </m:d>
                    <m:r>
                      <m:rPr>
                        <m:sty m:val="p"/>
                      </m:rPr>
                      <w:rPr>
                        <w:rFonts w:ascii="Cambria Math" w:eastAsia="Calibri" w:hAnsi="Cambria Math" w:cs="Helvetica-Bold"/>
                        <w:szCs w:val="20"/>
                        <w:lang w:val="en-US" w:eastAsia="it-IT"/>
                      </w:rPr>
                      <m:t>,0</m:t>
                    </m:r>
                  </m:e>
                </m:d>
              </m:oMath>
            </m:oMathPara>
          </w:p>
        </w:tc>
      </w:tr>
      <w:tr w:rsidR="00927F06" w:rsidRPr="00E65655" w:rsidDel="007C1EAE" w14:paraId="76042624" w14:textId="77777777" w:rsidTr="00822438">
        <w:trPr>
          <w:jc w:val="center"/>
        </w:trPr>
        <w:tc>
          <w:tcPr>
            <w:tcW w:w="2605" w:type="dxa"/>
          </w:tcPr>
          <w:p w14:paraId="330170DC" w14:textId="77777777" w:rsidR="00927F06" w:rsidRPr="00E65655" w:rsidDel="007C1EAE" w:rsidRDefault="00187794" w:rsidP="00853D4F">
            <w:pPr>
              <w:spacing w:before="120" w:after="120" w:line="290" w:lineRule="auto"/>
              <w:jc w:val="center"/>
              <w:rPr>
                <w:rFonts w:cs="Arial"/>
                <w:b/>
                <w:color w:val="000000"/>
                <w:kern w:val="20"/>
                <w:szCs w:val="20"/>
                <w:lang w:val="en-US"/>
              </w:rPr>
            </w:pPr>
            <m:oMathPara>
              <m:oMathParaPr>
                <m:jc m:val="center"/>
              </m:oMathParaPr>
              <m:oMath>
                <m:sSub>
                  <m:sSubPr>
                    <m:ctrlPr>
                      <w:rPr>
                        <w:rFonts w:ascii="Cambria Math" w:eastAsia="Calibri" w:hAnsi="Cambria Math" w:cs="Helvetica-Bold"/>
                        <w:b/>
                        <w:szCs w:val="20"/>
                        <w:lang w:val="en-US" w:eastAsia="it-IT"/>
                      </w:rPr>
                    </m:ctrlPr>
                  </m:sSubPr>
                  <m:e>
                    <m:r>
                      <m:rPr>
                        <m:sty m:val="b"/>
                      </m:rPr>
                      <w:rPr>
                        <w:rFonts w:ascii="Cambria Math" w:eastAsia="Calibri" w:hAnsi="Cambria Math" w:cs="Helvetica-Bold"/>
                        <w:szCs w:val="20"/>
                        <w:lang w:val="en-US" w:eastAsia="it-IT"/>
                      </w:rPr>
                      <m:t>ILR</m:t>
                    </m:r>
                  </m:e>
                  <m:sub>
                    <m:r>
                      <m:rPr>
                        <m:sty m:val="b"/>
                      </m:rPr>
                      <w:rPr>
                        <w:rFonts w:ascii="Cambria Math" w:eastAsia="Calibri" w:hAnsi="Cambria Math" w:cs="Helvetica-Bold"/>
                        <w:szCs w:val="20"/>
                        <w:lang w:val="en-US" w:eastAsia="it-IT"/>
                      </w:rPr>
                      <m:t>IR</m:t>
                    </m:r>
                    <m:d>
                      <m:dPr>
                        <m:ctrlPr>
                          <w:rPr>
                            <w:rFonts w:ascii="Cambria Math" w:eastAsia="Calibri" w:hAnsi="Cambria Math" w:cs="Helvetica-Bold"/>
                            <w:b/>
                            <w:szCs w:val="20"/>
                            <w:lang w:val="en-US" w:eastAsia="it-IT"/>
                          </w:rPr>
                        </m:ctrlPr>
                      </m:dPr>
                      <m:e>
                        <m:r>
                          <m:rPr>
                            <m:sty m:val="b"/>
                          </m:rPr>
                          <w:rPr>
                            <w:rFonts w:ascii="Cambria Math" w:eastAsia="Calibri" w:hAnsi="Cambria Math" w:cs="Helvetica-Bold"/>
                            <w:szCs w:val="20"/>
                            <w:lang w:val="en-US" w:eastAsia="it-IT"/>
                          </w:rPr>
                          <m:t>k</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1</m:t>
                        </m:r>
                      </m:e>
                    </m:d>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IR</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k</m:t>
                    </m:r>
                    <m:r>
                      <m:rPr>
                        <m:sty m:val="b"/>
                      </m:rPr>
                      <w:rPr>
                        <w:rFonts w:ascii="Cambria Math" w:eastAsia="Calibri" w:hAnsi="Cambria Math" w:cs="Helvetica-Bold"/>
                        <w:szCs w:val="20"/>
                        <w:lang w:val="en-US" w:eastAsia="it-IT"/>
                      </w:rPr>
                      <m:t>)</m:t>
                    </m:r>
                  </m:sub>
                </m:sSub>
              </m:oMath>
            </m:oMathPara>
          </w:p>
        </w:tc>
        <w:tc>
          <w:tcPr>
            <w:tcW w:w="6953" w:type="dxa"/>
          </w:tcPr>
          <w:p w14:paraId="59536DAE" w14:textId="77777777" w:rsidR="00927F06" w:rsidRPr="00E65655" w:rsidRDefault="00927F06" w:rsidP="00853D4F">
            <w:pPr>
              <w:keepNext/>
              <w:widowControl w:val="0"/>
              <w:autoSpaceDE w:val="0"/>
              <w:autoSpaceDN w:val="0"/>
              <w:adjustRightInd w:val="0"/>
              <w:spacing w:before="120" w:after="120" w:line="290" w:lineRule="auto"/>
              <w:jc w:val="both"/>
              <w:outlineLvl w:val="3"/>
              <w:rPr>
                <w:rFonts w:eastAsia="Calibri" w:cs="Arial"/>
                <w:szCs w:val="20"/>
                <w:lang w:val="en-US" w:eastAsia="it-IT"/>
              </w:rPr>
            </w:pPr>
            <w:r w:rsidRPr="00E65655" w:rsidDel="007C1EAE">
              <w:rPr>
                <w:rFonts w:eastAsia="Calibri" w:cs="Arial"/>
                <w:szCs w:val="20"/>
                <w:lang w:val="en-US" w:eastAsia="it-IT"/>
              </w:rPr>
              <w:t xml:space="preserve">means the Intraday Leveraged Return between IR(k-1) and IR(k), calculated as </w:t>
            </w:r>
            <w:proofErr w:type="gramStart"/>
            <w:r w:rsidRPr="00E65655" w:rsidDel="007C1EAE">
              <w:rPr>
                <w:rFonts w:eastAsia="Calibri" w:cs="Arial"/>
                <w:szCs w:val="20"/>
                <w:lang w:val="en-US" w:eastAsia="it-IT"/>
              </w:rPr>
              <w:t>follows :</w:t>
            </w:r>
            <w:proofErr w:type="gramEnd"/>
          </w:p>
          <w:p w14:paraId="4CF88B48" w14:textId="7A8AA905" w:rsidR="00927F06" w:rsidRPr="00E65655" w:rsidDel="007C1EAE" w:rsidRDefault="00927F06" w:rsidP="00853D4F">
            <w:pPr>
              <w:spacing w:before="120" w:after="120" w:line="290" w:lineRule="auto"/>
              <w:jc w:val="both"/>
              <w:rPr>
                <w:rFonts w:cs="Arial"/>
                <w:color w:val="000000"/>
                <w:szCs w:val="20"/>
                <w:lang w:val="en-US"/>
              </w:rPr>
            </w:pPr>
            <m:oMath>
              <m:r>
                <m:rPr>
                  <m:sty m:val="p"/>
                </m:rPr>
                <w:rPr>
                  <w:rFonts w:ascii="Cambria Math" w:eastAsia="Calibri" w:hAnsi="Cambria Math" w:cs="Helvetica-Bold"/>
                  <w:szCs w:val="20"/>
                  <w:lang w:val="en-US" w:eastAsia="it-IT"/>
                </w:rPr>
                <m:t>I</m:t>
              </m:r>
              <m:sSub>
                <m:sSubPr>
                  <m:ctrlPr>
                    <w:rPr>
                      <w:rFonts w:ascii="Cambria Math" w:eastAsia="Calibri" w:hAnsi="Cambria Math" w:cs="Helvetica-Bold"/>
                      <w:szCs w:val="20"/>
                      <w:lang w:val="en-US" w:eastAsia="it-IT"/>
                    </w:rPr>
                  </m:ctrlPr>
                </m:sSubPr>
                <m:e>
                  <m:r>
                    <m:rPr>
                      <m:sty m:val="p"/>
                    </m:rPr>
                    <w:rPr>
                      <w:rFonts w:ascii="Cambria Math" w:eastAsia="Calibri" w:hAnsi="Cambria Math" w:cs="Helvetica-Bold"/>
                      <w:szCs w:val="20"/>
                      <w:lang w:val="en-US" w:eastAsia="it-IT"/>
                    </w:rPr>
                    <m:t>LR</m:t>
                  </m:r>
                </m:e>
                <m:sub>
                  <m:r>
                    <m:rPr>
                      <m:sty m:val="p"/>
                    </m:rPr>
                    <w:rPr>
                      <w:rFonts w:ascii="Cambria Math" w:eastAsia="Calibri" w:hAnsi="Cambria Math" w:cs="Helvetica-Bold"/>
                      <w:szCs w:val="20"/>
                      <w:lang w:val="en-US" w:eastAsia="it-IT"/>
                    </w:rPr>
                    <m:t>IR(k-1),IR(k)</m:t>
                  </m:r>
                </m:sub>
              </m:sSub>
              <m:r>
                <m:rPr>
                  <m:sty m:val="p"/>
                </m:rPr>
                <w:rPr>
                  <w:rFonts w:ascii="Cambria Math" w:eastAsia="Calibri" w:hAnsi="Cambria Math" w:cs="Helvetica-Bold"/>
                  <w:szCs w:val="20"/>
                  <w:lang w:val="en-US" w:eastAsia="it-IT"/>
                </w:rPr>
                <m:t xml:space="preserve">=Leverage × </m:t>
              </m:r>
              <m:d>
                <m:dPr>
                  <m:ctrlPr>
                    <w:rPr>
                      <w:rFonts w:ascii="Cambria Math" w:eastAsia="Calibri" w:hAnsi="Cambria Math" w:cs="Helvetica-Bold"/>
                      <w:bCs/>
                      <w:szCs w:val="20"/>
                      <w:lang w:val="en-US" w:eastAsia="it-IT"/>
                    </w:rPr>
                  </m:ctrlPr>
                </m:dPr>
                <m:e>
                  <m:f>
                    <m:fPr>
                      <m:ctrlPr>
                        <w:rPr>
                          <w:rFonts w:ascii="Cambria Math" w:eastAsia="Calibri" w:hAnsi="Cambria Math" w:cs="Helvetica-Bold"/>
                          <w:bCs/>
                          <w:szCs w:val="20"/>
                          <w:lang w:val="en-US" w:eastAsia="it-IT"/>
                        </w:rPr>
                      </m:ctrlPr>
                    </m:fPr>
                    <m:num>
                      <m:r>
                        <m:rPr>
                          <m:sty m:val="p"/>
                        </m:rPr>
                        <w:rPr>
                          <w:rFonts w:ascii="Cambria Math" w:eastAsia="Calibri" w:hAnsi="Cambria Math" w:cs="Helvetica-Bold"/>
                          <w:szCs w:val="20"/>
                          <w:lang w:val="en-US" w:eastAsia="it-IT"/>
                        </w:rPr>
                        <m:t>I</m:t>
                      </m:r>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S</m:t>
                          </m:r>
                        </m:e>
                        <m:sub>
                          <m:r>
                            <m:rPr>
                              <m:sty m:val="p"/>
                            </m:rPr>
                            <w:rPr>
                              <w:rFonts w:ascii="Cambria Math" w:eastAsia="Calibri" w:hAnsi="Cambria Math" w:cs="Helvetica-Bold"/>
                              <w:szCs w:val="20"/>
                              <w:lang w:val="en-US" w:eastAsia="it-IT"/>
                            </w:rPr>
                            <m:t>IR(k)</m:t>
                          </m:r>
                        </m:sub>
                      </m:sSub>
                    </m:num>
                    <m:den>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IS</m:t>
                          </m:r>
                        </m:e>
                        <m:sub>
                          <m:r>
                            <m:rPr>
                              <m:sty m:val="p"/>
                            </m:rPr>
                            <w:rPr>
                              <w:rFonts w:ascii="Cambria Math" w:eastAsia="Calibri" w:hAnsi="Cambria Math" w:cs="Helvetica-Bold"/>
                              <w:szCs w:val="20"/>
                              <w:lang w:val="en-US" w:eastAsia="it-IT"/>
                            </w:rPr>
                            <m:t>IR(k-1)</m:t>
                          </m:r>
                        </m:sub>
                      </m:sSub>
                    </m:den>
                  </m:f>
                  <m:r>
                    <m:rPr>
                      <m:sty m:val="p"/>
                    </m:rPr>
                    <w:rPr>
                      <w:rFonts w:ascii="Cambria Math" w:eastAsia="Calibri" w:hAnsi="Cambria Math" w:cs="Helvetica-Bold"/>
                      <w:szCs w:val="20"/>
                      <w:lang w:val="en-US" w:eastAsia="it-IT"/>
                    </w:rPr>
                    <m:t>-1</m:t>
                  </m:r>
                </m:e>
              </m:d>
            </m:oMath>
            <w:r w:rsidR="00853D4F" w:rsidRPr="00E65655">
              <w:rPr>
                <w:rFonts w:cs="Arial"/>
                <w:bCs/>
                <w:szCs w:val="20"/>
                <w:lang w:val="en-US" w:eastAsia="it-IT"/>
              </w:rPr>
              <w:t xml:space="preserve"> </w:t>
            </w:r>
          </w:p>
        </w:tc>
      </w:tr>
      <w:tr w:rsidR="00927F06" w:rsidRPr="00E65655" w:rsidDel="007C1EAE" w14:paraId="018CCF62" w14:textId="77777777" w:rsidTr="00822438">
        <w:trPr>
          <w:jc w:val="center"/>
        </w:trPr>
        <w:tc>
          <w:tcPr>
            <w:tcW w:w="2605" w:type="dxa"/>
          </w:tcPr>
          <w:p w14:paraId="18381CE1" w14:textId="77777777" w:rsidR="00927F06" w:rsidRPr="00E65655" w:rsidDel="007C1EAE" w:rsidRDefault="00187794" w:rsidP="00853D4F">
            <w:pPr>
              <w:spacing w:before="120" w:after="120" w:line="290" w:lineRule="auto"/>
              <w:jc w:val="center"/>
              <w:rPr>
                <w:rFonts w:cs="Arial"/>
                <w:b/>
                <w:color w:val="000000"/>
                <w:szCs w:val="20"/>
                <w:lang w:val="en-US"/>
              </w:rPr>
            </w:pPr>
            <m:oMathPara>
              <m:oMath>
                <m:sSub>
                  <m:sSubPr>
                    <m:ctrlPr>
                      <w:rPr>
                        <w:rFonts w:ascii="Cambria Math" w:eastAsia="Calibri" w:hAnsi="Cambria Math" w:cs="Helvetica-Bold"/>
                        <w:b/>
                        <w:szCs w:val="20"/>
                        <w:lang w:val="en-US" w:eastAsia="it-IT"/>
                      </w:rPr>
                    </m:ctrlPr>
                  </m:sSubPr>
                  <m:e>
                    <m:r>
                      <m:rPr>
                        <m:sty m:val="b"/>
                      </m:rPr>
                      <w:rPr>
                        <w:rFonts w:ascii="Cambria Math" w:eastAsia="Calibri" w:hAnsi="Cambria Math" w:cs="Helvetica-Bold"/>
                        <w:szCs w:val="20"/>
                        <w:lang w:val="en-US" w:eastAsia="it-IT"/>
                      </w:rPr>
                      <m:t>IRC</m:t>
                    </m:r>
                  </m:e>
                  <m:sub>
                    <m:r>
                      <m:rPr>
                        <m:sty m:val="b"/>
                      </m:rPr>
                      <w:rPr>
                        <w:rFonts w:ascii="Cambria Math" w:eastAsia="Calibri" w:hAnsi="Cambria Math" w:cs="Helvetica-Bold"/>
                        <w:szCs w:val="20"/>
                        <w:lang w:val="en-US" w:eastAsia="it-IT"/>
                      </w:rPr>
                      <m:t>IR</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k</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1</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IR</m:t>
                    </m:r>
                    <m:r>
                      <m:rPr>
                        <m:sty m:val="b"/>
                      </m:rPr>
                      <w:rPr>
                        <w:rFonts w:ascii="Cambria Math" w:eastAsia="Calibri" w:hAnsi="Cambria Math" w:cs="Helvetica-Bold"/>
                        <w:szCs w:val="20"/>
                        <w:lang w:val="en-US" w:eastAsia="it-IT"/>
                      </w:rPr>
                      <m:t>(</m:t>
                    </m:r>
                    <m:r>
                      <m:rPr>
                        <m:sty m:val="b"/>
                      </m:rPr>
                      <w:rPr>
                        <w:rFonts w:ascii="Cambria Math" w:eastAsia="Calibri" w:hAnsi="Cambria Math" w:cs="Helvetica-Bold"/>
                        <w:szCs w:val="20"/>
                        <w:lang w:val="en-US" w:eastAsia="it-IT"/>
                      </w:rPr>
                      <m:t>k</m:t>
                    </m:r>
                    <m:r>
                      <m:rPr>
                        <m:sty m:val="b"/>
                      </m:rPr>
                      <w:rPr>
                        <w:rFonts w:ascii="Cambria Math" w:eastAsia="Calibri" w:hAnsi="Cambria Math" w:cs="Helvetica-Bold"/>
                        <w:szCs w:val="20"/>
                        <w:lang w:val="en-US" w:eastAsia="it-IT"/>
                      </w:rPr>
                      <m:t>)</m:t>
                    </m:r>
                  </m:sub>
                </m:sSub>
              </m:oMath>
            </m:oMathPara>
          </w:p>
        </w:tc>
        <w:tc>
          <w:tcPr>
            <w:tcW w:w="6953" w:type="dxa"/>
          </w:tcPr>
          <w:p w14:paraId="3BB8A97F" w14:textId="77777777" w:rsidR="00927F06" w:rsidRPr="00E65655" w:rsidRDefault="00927F06" w:rsidP="00853D4F">
            <w:pPr>
              <w:spacing w:before="120" w:after="120" w:line="290" w:lineRule="auto"/>
              <w:jc w:val="both"/>
              <w:rPr>
                <w:rFonts w:eastAsia="Calibri" w:cs="Arial"/>
                <w:szCs w:val="20"/>
                <w:lang w:val="en-US" w:eastAsia="it-IT"/>
              </w:rPr>
            </w:pPr>
            <w:r w:rsidRPr="00E65655" w:rsidDel="007C1EAE">
              <w:rPr>
                <w:rFonts w:eastAsia="Calibri" w:cs="Arial"/>
                <w:szCs w:val="20"/>
                <w:lang w:val="en-US" w:eastAsia="it-IT"/>
              </w:rPr>
              <w:t xml:space="preserve">means the Intraday Rebalancing Cost of the </w:t>
            </w:r>
            <w:r w:rsidRPr="00E65655">
              <w:rPr>
                <w:rFonts w:eastAsia="Calibri" w:cs="Arial"/>
                <w:szCs w:val="20"/>
                <w:lang w:val="en-US" w:eastAsia="it-IT"/>
              </w:rPr>
              <w:t>L</w:t>
            </w:r>
            <w:r w:rsidRPr="00E65655" w:rsidDel="007C1EAE">
              <w:rPr>
                <w:rFonts w:eastAsia="Calibri" w:cs="Arial"/>
                <w:szCs w:val="20"/>
                <w:lang w:val="en-US" w:eastAsia="it-IT"/>
              </w:rPr>
              <w:t xml:space="preserve">everage </w:t>
            </w:r>
            <w:r w:rsidRPr="00E65655">
              <w:rPr>
                <w:rFonts w:cs="Arial"/>
                <w:color w:val="000000"/>
                <w:szCs w:val="20"/>
                <w:lang w:val="en-US"/>
              </w:rPr>
              <w:t xml:space="preserve">Inverse </w:t>
            </w:r>
            <w:r w:rsidRPr="00E65655">
              <w:rPr>
                <w:rFonts w:eastAsia="Calibri" w:cs="Arial"/>
                <w:szCs w:val="20"/>
                <w:lang w:val="en-US" w:eastAsia="it-IT"/>
              </w:rPr>
              <w:t>S</w:t>
            </w:r>
            <w:r w:rsidRPr="00E65655" w:rsidDel="007C1EAE">
              <w:rPr>
                <w:rFonts w:eastAsia="Calibri" w:cs="Arial"/>
                <w:szCs w:val="20"/>
                <w:lang w:val="en-US" w:eastAsia="it-IT"/>
              </w:rPr>
              <w:t xml:space="preserve">trategy in respect of IR(k) on a given Intraday Restrike Date, calculated as </w:t>
            </w:r>
            <w:proofErr w:type="gramStart"/>
            <w:r w:rsidRPr="00E65655" w:rsidDel="007C1EAE">
              <w:rPr>
                <w:rFonts w:eastAsia="Calibri" w:cs="Arial"/>
                <w:szCs w:val="20"/>
                <w:lang w:val="en-US" w:eastAsia="it-IT"/>
              </w:rPr>
              <w:t>follows :</w:t>
            </w:r>
            <w:proofErr w:type="gramEnd"/>
          </w:p>
          <w:p w14:paraId="364B4B19" w14:textId="19DD6057" w:rsidR="00927F06" w:rsidRPr="00E65655" w:rsidDel="007C1EAE" w:rsidRDefault="00187794" w:rsidP="00853D4F">
            <w:pPr>
              <w:spacing w:before="120" w:after="120" w:line="290" w:lineRule="auto"/>
              <w:jc w:val="both"/>
              <w:rPr>
                <w:rFonts w:ascii="Cambria Math" w:eastAsia="Calibri" w:hAnsi="Cambria Math" w:cs="Helvetica-Bold"/>
                <w:bCs/>
                <w:szCs w:val="20"/>
                <w:lang w:val="en-US" w:eastAsia="it-IT"/>
              </w:rPr>
            </w:pPr>
            <m:oMathPara>
              <m:oMath>
                <m:sSub>
                  <m:sSubPr>
                    <m:ctrlPr>
                      <w:rPr>
                        <w:rFonts w:ascii="Cambria Math" w:eastAsia="Calibri" w:hAnsi="Cambria Math" w:cs="Helvetica-Bold"/>
                        <w:bCs/>
                        <w:szCs w:val="20"/>
                        <w:lang w:val="en-US" w:eastAsia="it-IT"/>
                      </w:rPr>
                    </m:ctrlPr>
                  </m:sSubPr>
                  <m:e>
                    <m:r>
                      <m:rPr>
                        <m:nor/>
                      </m:rPr>
                      <w:rPr>
                        <w:rFonts w:ascii="Cambria Math" w:eastAsia="Calibri" w:hAnsi="Cambria Math" w:cs="Helvetica-Bold"/>
                        <w:szCs w:val="20"/>
                        <w:lang w:val="en-US" w:eastAsia="it-IT"/>
                      </w:rPr>
                      <m:t>IRC</m:t>
                    </m:r>
                  </m:e>
                  <m:sub>
                    <m:r>
                      <m:rPr>
                        <m:nor/>
                      </m:rPr>
                      <w:rPr>
                        <w:rFonts w:ascii="Cambria Math" w:eastAsia="Calibri" w:hAnsi="Cambria Math" w:cs="Helvetica-Bold"/>
                        <w:szCs w:val="20"/>
                        <w:lang w:val="en-US" w:eastAsia="it-IT"/>
                      </w:rPr>
                      <m:t>IR(k-1),IR(k)</m:t>
                    </m:r>
                  </m:sub>
                </m:sSub>
                <m:r>
                  <m:rPr>
                    <m:nor/>
                  </m:rPr>
                  <w:rPr>
                    <w:rFonts w:ascii="Cambria Math" w:eastAsia="Calibri" w:hAnsi="Cambria Math" w:cs="Helvetica-Bold"/>
                    <w:szCs w:val="20"/>
                    <w:lang w:val="en-US" w:eastAsia="it-IT"/>
                  </w:rPr>
                  <m:t>= Leverage ×</m:t>
                </m:r>
                <m:d>
                  <m:dPr>
                    <m:ctrlPr>
                      <w:rPr>
                        <w:rFonts w:ascii="Cambria Math" w:eastAsia="Calibri" w:hAnsi="Cambria Math" w:cs="Helvetica-Bold"/>
                        <w:bCs/>
                        <w:szCs w:val="20"/>
                        <w:lang w:val="en-US" w:eastAsia="it-IT"/>
                      </w:rPr>
                    </m:ctrlPr>
                  </m:dPr>
                  <m:e>
                    <m:r>
                      <m:rPr>
                        <m:nor/>
                      </m:rPr>
                      <w:rPr>
                        <w:rFonts w:ascii="Cambria Math" w:eastAsia="Calibri" w:hAnsi="Cambria Math" w:cs="Helvetica-Bold"/>
                        <w:szCs w:val="20"/>
                        <w:lang w:val="en-US" w:eastAsia="it-IT"/>
                      </w:rPr>
                      <m:t>Leverage-1</m:t>
                    </m:r>
                  </m:e>
                </m:d>
                <m:r>
                  <m:rPr>
                    <m:nor/>
                  </m:rPr>
                  <w:rPr>
                    <w:rFonts w:ascii="Cambria Math" w:eastAsia="Calibri" w:hAnsi="Cambria Math" w:cs="Helvetica-Bold"/>
                    <w:szCs w:val="20"/>
                    <w:lang w:val="en-US" w:eastAsia="it-IT"/>
                  </w:rPr>
                  <m:t>×</m:t>
                </m:r>
                <m:d>
                  <m:dPr>
                    <m:ctrlPr>
                      <w:rPr>
                        <w:rFonts w:ascii="Cambria Math" w:eastAsia="Calibri" w:hAnsi="Cambria Math" w:cs="Helvetica-Bold"/>
                        <w:bCs/>
                        <w:szCs w:val="20"/>
                        <w:lang w:val="en-US" w:eastAsia="it-IT"/>
                      </w:rPr>
                    </m:ctrlPr>
                  </m:dPr>
                  <m:e>
                    <m:d>
                      <m:dPr>
                        <m:begChr m:val="|"/>
                        <m:endChr m:val="|"/>
                        <m:ctrlPr>
                          <w:rPr>
                            <w:rFonts w:ascii="Cambria Math" w:eastAsia="Calibri" w:hAnsi="Cambria Math" w:cs="Helvetica-Bold"/>
                            <w:bCs/>
                            <w:szCs w:val="20"/>
                            <w:lang w:val="en-US" w:eastAsia="it-IT"/>
                          </w:rPr>
                        </m:ctrlPr>
                      </m:dPr>
                      <m:e>
                        <m:f>
                          <m:fPr>
                            <m:ctrlPr>
                              <w:rPr>
                                <w:rFonts w:ascii="Cambria Math" w:eastAsia="Calibri" w:hAnsi="Cambria Math" w:cs="Helvetica-Bold"/>
                                <w:bCs/>
                                <w:szCs w:val="20"/>
                                <w:lang w:val="en-US" w:eastAsia="it-IT"/>
                              </w:rPr>
                            </m:ctrlPr>
                          </m:fPr>
                          <m:num>
                            <m:sSub>
                              <m:sSubPr>
                                <m:ctrlPr>
                                  <w:rPr>
                                    <w:rFonts w:ascii="Cambria Math" w:eastAsia="Calibri" w:hAnsi="Cambria Math" w:cs="Helvetica-Bold"/>
                                    <w:bCs/>
                                    <w:szCs w:val="20"/>
                                    <w:lang w:val="en-US" w:eastAsia="it-IT"/>
                                  </w:rPr>
                                </m:ctrlPr>
                              </m:sSubPr>
                              <m:e>
                                <m:r>
                                  <m:rPr>
                                    <m:nor/>
                                  </m:rPr>
                                  <w:rPr>
                                    <w:rFonts w:ascii="Cambria Math" w:eastAsia="Calibri" w:hAnsi="Cambria Math" w:cs="Helvetica-Bold"/>
                                    <w:szCs w:val="20"/>
                                    <w:lang w:val="en-US" w:eastAsia="it-IT"/>
                                  </w:rPr>
                                  <m:t>IS</m:t>
                                </m:r>
                              </m:e>
                              <m:sub>
                                <m:r>
                                  <m:rPr>
                                    <m:nor/>
                                  </m:rPr>
                                  <w:rPr>
                                    <w:rFonts w:ascii="Cambria Math" w:eastAsia="Calibri" w:hAnsi="Cambria Math" w:cs="Helvetica-Bold"/>
                                    <w:szCs w:val="20"/>
                                    <w:lang w:val="en-US" w:eastAsia="it-IT"/>
                                  </w:rPr>
                                  <m:t>IR(k)</m:t>
                                </m:r>
                              </m:sub>
                            </m:sSub>
                          </m:num>
                          <m:den>
                            <m:sSub>
                              <m:sSubPr>
                                <m:ctrlPr>
                                  <w:rPr>
                                    <w:rFonts w:ascii="Cambria Math" w:eastAsia="Calibri" w:hAnsi="Cambria Math" w:cs="Helvetica-Bold"/>
                                    <w:bCs/>
                                    <w:szCs w:val="20"/>
                                    <w:lang w:val="en-US" w:eastAsia="it-IT"/>
                                  </w:rPr>
                                </m:ctrlPr>
                              </m:sSubPr>
                              <m:e>
                                <m:r>
                                  <m:rPr>
                                    <m:nor/>
                                  </m:rPr>
                                  <w:rPr>
                                    <w:rFonts w:ascii="Cambria Math" w:eastAsia="Calibri" w:hAnsi="Cambria Math" w:cs="Helvetica-Bold"/>
                                    <w:szCs w:val="20"/>
                                    <w:lang w:val="en-US" w:eastAsia="it-IT"/>
                                  </w:rPr>
                                  <m:t>IS</m:t>
                                </m:r>
                              </m:e>
                              <m:sub>
                                <m:r>
                                  <m:rPr>
                                    <m:nor/>
                                  </m:rPr>
                                  <w:rPr>
                                    <w:rFonts w:ascii="Cambria Math" w:eastAsia="Calibri" w:hAnsi="Cambria Math" w:cs="Helvetica-Bold"/>
                                    <w:szCs w:val="20"/>
                                    <w:lang w:val="en-US" w:eastAsia="it-IT"/>
                                  </w:rPr>
                                  <m:t>IR(k-1)</m:t>
                                </m:r>
                              </m:sub>
                            </m:sSub>
                          </m:den>
                        </m:f>
                        <m:r>
                          <m:rPr>
                            <m:nor/>
                          </m:rPr>
                          <w:rPr>
                            <w:rFonts w:ascii="Cambria Math" w:eastAsia="Calibri" w:hAnsi="Cambria Math" w:cs="Helvetica-Bold"/>
                            <w:szCs w:val="20"/>
                            <w:lang w:val="en-US" w:eastAsia="it-IT"/>
                          </w:rPr>
                          <m:t>-1</m:t>
                        </m:r>
                      </m:e>
                    </m:d>
                  </m:e>
                </m:d>
                <m:r>
                  <m:rPr>
                    <m:nor/>
                  </m:rPr>
                  <w:rPr>
                    <w:rFonts w:ascii="Cambria Math" w:eastAsia="Calibri" w:hAnsi="Cambria Math" w:cs="Helvetica-Bold"/>
                    <w:szCs w:val="20"/>
                    <w:lang w:val="en-US" w:eastAsia="it-IT"/>
                  </w:rPr>
                  <m:t>×TC</m:t>
                </m:r>
              </m:oMath>
            </m:oMathPara>
          </w:p>
        </w:tc>
      </w:tr>
      <w:tr w:rsidR="00927F06" w:rsidRPr="00E65655" w:rsidDel="007C1EAE" w14:paraId="521ECFFD" w14:textId="77777777" w:rsidTr="00822438">
        <w:trPr>
          <w:jc w:val="center"/>
        </w:trPr>
        <w:tc>
          <w:tcPr>
            <w:tcW w:w="2605" w:type="dxa"/>
          </w:tcPr>
          <w:p w14:paraId="11FC9927" w14:textId="780F19CA" w:rsidR="00927F06" w:rsidRPr="00E65655" w:rsidDel="007C1EAE" w:rsidRDefault="00927F06" w:rsidP="00853D4F">
            <w:pPr>
              <w:spacing w:before="120" w:after="120" w:line="290" w:lineRule="auto"/>
              <w:jc w:val="center"/>
              <w:rPr>
                <w:rFonts w:cs="Arial"/>
                <w:b/>
                <w:bCs/>
                <w:szCs w:val="20"/>
                <w:lang w:val="en-US" w:eastAsia="it-IT"/>
              </w:rPr>
            </w:pPr>
            <m:oMathPara>
              <m:oMath>
                <m:r>
                  <m:rPr>
                    <m:sty m:val="b"/>
                  </m:rPr>
                  <w:rPr>
                    <w:rFonts w:ascii="Cambria Math" w:eastAsia="Calibri" w:hAnsi="Cambria Math" w:cs="Helvetica-Bold"/>
                    <w:szCs w:val="20"/>
                    <w:lang w:val="en-US" w:eastAsia="it-IT"/>
                  </w:rPr>
                  <m:t>I</m:t>
                </m:r>
                <m:sSub>
                  <m:sSubPr>
                    <m:ctrlPr>
                      <w:rPr>
                        <w:rFonts w:ascii="Cambria Math" w:eastAsia="Calibri" w:hAnsi="Cambria Math" w:cs="Helvetica-Bold"/>
                        <w:b/>
                        <w:bCs/>
                        <w:szCs w:val="20"/>
                        <w:lang w:val="en-US" w:eastAsia="it-IT"/>
                      </w:rPr>
                    </m:ctrlPr>
                  </m:sSubPr>
                  <m:e>
                    <m:r>
                      <m:rPr>
                        <m:sty m:val="b"/>
                      </m:rPr>
                      <w:rPr>
                        <w:rFonts w:ascii="Cambria Math" w:eastAsia="Calibri" w:hAnsi="Cambria Math" w:cs="Helvetica-Bold"/>
                        <w:szCs w:val="20"/>
                        <w:lang w:val="en-US" w:eastAsia="it-IT"/>
                      </w:rPr>
                      <m:t>S</m:t>
                    </m:r>
                  </m:e>
                  <m:sub>
                    <m:r>
                      <m:rPr>
                        <m:sty m:val="b"/>
                      </m:rPr>
                      <w:rPr>
                        <w:rFonts w:ascii="Cambria Math" w:eastAsia="Calibri" w:hAnsi="Cambria Math" w:cs="Helvetica-Bold"/>
                        <w:szCs w:val="20"/>
                        <w:lang w:val="en-US" w:eastAsia="it-IT"/>
                      </w:rPr>
                      <m:t>IR(k)</m:t>
                    </m:r>
                  </m:sub>
                </m:sSub>
              </m:oMath>
            </m:oMathPara>
          </w:p>
        </w:tc>
        <w:tc>
          <w:tcPr>
            <w:tcW w:w="6953" w:type="dxa"/>
          </w:tcPr>
          <w:p w14:paraId="228C29A3"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color w:val="000000"/>
                <w:szCs w:val="20"/>
                <w:lang w:val="en-US"/>
              </w:rPr>
              <w:t>m</w:t>
            </w:r>
            <w:r w:rsidRPr="00E65655">
              <w:rPr>
                <w:rFonts w:cs="Arial"/>
                <w:color w:val="000000"/>
                <w:szCs w:val="20"/>
                <w:lang w:val="en-US"/>
              </w:rPr>
              <w:t>eans the Underlying Stock</w:t>
            </w:r>
            <w:r w:rsidRPr="00E65655" w:rsidDel="007C1EAE">
              <w:rPr>
                <w:rFonts w:cs="Arial"/>
                <w:color w:val="000000"/>
                <w:szCs w:val="20"/>
                <w:lang w:val="en-US"/>
              </w:rPr>
              <w:t xml:space="preserve"> Price in respect of IR(k) computed as </w:t>
            </w:r>
            <w:proofErr w:type="gramStart"/>
            <w:r w:rsidRPr="00E65655" w:rsidDel="007C1EAE">
              <w:rPr>
                <w:rFonts w:cs="Arial"/>
                <w:color w:val="000000"/>
                <w:szCs w:val="20"/>
                <w:lang w:val="en-US"/>
              </w:rPr>
              <w:t>follows :</w:t>
            </w:r>
            <w:proofErr w:type="gramEnd"/>
          </w:p>
          <w:p w14:paraId="76262798"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color w:val="000000"/>
                <w:szCs w:val="20"/>
                <w:lang w:val="en-US"/>
              </w:rPr>
              <w:t>(1) for k=0</w:t>
            </w:r>
          </w:p>
          <w:p w14:paraId="30C9DE74" w14:textId="75FEA2F2" w:rsidR="00927F06" w:rsidRPr="00E65655" w:rsidDel="007C1EAE" w:rsidRDefault="00187794" w:rsidP="00853D4F">
            <w:pPr>
              <w:spacing w:before="120" w:after="120" w:line="290" w:lineRule="auto"/>
              <w:ind w:left="44"/>
              <w:jc w:val="both"/>
              <w:rPr>
                <w:rFonts w:cs="Arial"/>
                <w:color w:val="000000"/>
                <w:szCs w:val="20"/>
                <w:lang w:val="en-US"/>
              </w:rPr>
            </w:pPr>
            <m:oMathPara>
              <m:oMathParaPr>
                <m:jc m:val="left"/>
              </m:oMathParaPr>
              <m:oMath>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IS</m:t>
                    </m:r>
                  </m:e>
                  <m:sub>
                    <m:r>
                      <m:rPr>
                        <m:sty m:val="p"/>
                      </m:rPr>
                      <w:rPr>
                        <w:rFonts w:ascii="Cambria Math" w:eastAsia="Calibri" w:hAnsi="Cambria Math" w:cs="Helvetica-Bold"/>
                        <w:szCs w:val="20"/>
                        <w:lang w:val="en-US" w:eastAsia="it-IT"/>
                      </w:rPr>
                      <m:t>IR</m:t>
                    </m:r>
                    <m:d>
                      <m:dPr>
                        <m:ctrlPr>
                          <w:rPr>
                            <w:rFonts w:ascii="Cambria Math" w:eastAsia="Calibri" w:hAnsi="Cambria Math" w:cs="Helvetica-Bold"/>
                            <w:szCs w:val="20"/>
                            <w:lang w:val="en-US" w:eastAsia="it-IT"/>
                          </w:rPr>
                        </m:ctrlPr>
                      </m:dPr>
                      <m:e>
                        <m:r>
                          <m:rPr>
                            <m:sty m:val="p"/>
                          </m:rPr>
                          <w:rPr>
                            <w:rFonts w:ascii="Cambria Math" w:eastAsia="Calibri" w:hAnsi="Cambria Math" w:cs="Helvetica-Bold"/>
                            <w:szCs w:val="20"/>
                            <w:lang w:val="en-US" w:eastAsia="it-IT"/>
                          </w:rPr>
                          <m:t>0</m:t>
                        </m:r>
                      </m:e>
                    </m:d>
                  </m:sub>
                </m:sSub>
                <m:r>
                  <m:rPr>
                    <m:sty m:val="p"/>
                  </m:rPr>
                  <w:rPr>
                    <w:rFonts w:ascii="Cambria Math" w:eastAsia="Calibri" w:hAnsi="Cambria Math" w:cs="Helvetica-Bold"/>
                    <w:szCs w:val="20"/>
                    <w:lang w:val="en-US" w:eastAsia="it-IT"/>
                  </w:rPr>
                  <m:t>=</m:t>
                </m:r>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S</m:t>
                    </m:r>
                  </m:e>
                  <m:sub>
                    <m:r>
                      <m:rPr>
                        <m:sty m:val="p"/>
                      </m:rPr>
                      <w:rPr>
                        <w:rFonts w:ascii="Cambria Math" w:eastAsia="Calibri" w:hAnsi="Cambria Math" w:cs="Helvetica-Bold"/>
                        <w:szCs w:val="20"/>
                        <w:lang w:val="en-US" w:eastAsia="it-IT"/>
                      </w:rPr>
                      <m:t>IRD-1</m:t>
                    </m:r>
                  </m:sub>
                </m:sSub>
                <m:r>
                  <m:rPr>
                    <m:sty m:val="p"/>
                  </m:rPr>
                  <w:rPr>
                    <w:rFonts w:ascii="Cambria Math" w:eastAsia="Calibri" w:hAnsi="Cambria Math" w:cs="Helvetica-Bold"/>
                    <w:szCs w:val="20"/>
                    <w:lang w:val="en-US" w:eastAsia="it-IT"/>
                  </w:rPr>
                  <m:t>×</m:t>
                </m:r>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Rfactor</m:t>
                    </m:r>
                  </m:e>
                  <m:sub>
                    <m:r>
                      <m:rPr>
                        <m:sty m:val="p"/>
                      </m:rPr>
                      <w:rPr>
                        <w:rFonts w:ascii="Cambria Math" w:eastAsia="Calibri" w:hAnsi="Cambria Math" w:cs="Helvetica-Bold"/>
                        <w:szCs w:val="20"/>
                        <w:lang w:val="en-US" w:eastAsia="it-IT"/>
                      </w:rPr>
                      <m:t>IRD</m:t>
                    </m:r>
                  </m:sub>
                </m:sSub>
              </m:oMath>
            </m:oMathPara>
          </w:p>
          <w:p w14:paraId="4B67DD7C"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color w:val="000000"/>
                <w:szCs w:val="20"/>
                <w:lang w:val="en-US"/>
              </w:rPr>
              <w:lastRenderedPageBreak/>
              <w:t>(2) for k=1 to n</w:t>
            </w:r>
          </w:p>
          <w:p w14:paraId="6AA8B39D" w14:textId="0A9D8BE8" w:rsidR="00927F06" w:rsidRPr="00E65655" w:rsidRDefault="00927F06" w:rsidP="00853D4F">
            <w:pPr>
              <w:spacing w:before="120" w:after="120" w:line="290" w:lineRule="auto"/>
              <w:ind w:left="44"/>
              <w:jc w:val="both"/>
              <w:rPr>
                <w:rFonts w:cs="Arial"/>
                <w:szCs w:val="20"/>
              </w:rPr>
            </w:pPr>
            <w:r w:rsidRPr="00E65655">
              <w:rPr>
                <w:rFonts w:cs="Arial"/>
                <w:szCs w:val="20"/>
              </w:rPr>
              <w:t xml:space="preserve">means </w:t>
            </w:r>
            <w:r w:rsidRPr="00E65655" w:rsidDel="007C1EAE">
              <w:rPr>
                <w:rFonts w:cs="Arial"/>
                <w:szCs w:val="20"/>
              </w:rPr>
              <w:t xml:space="preserve">in respect of IR(k), the </w:t>
            </w:r>
            <w:r w:rsidR="00450011" w:rsidRPr="00E65655">
              <w:rPr>
                <w:rFonts w:cs="Arial"/>
                <w:szCs w:val="20"/>
              </w:rPr>
              <w:t>high</w:t>
            </w:r>
            <w:r w:rsidRPr="00E65655">
              <w:rPr>
                <w:rFonts w:cs="Arial"/>
                <w:szCs w:val="20"/>
              </w:rPr>
              <w:t xml:space="preserve">est </w:t>
            </w:r>
            <w:r w:rsidRPr="00E65655" w:rsidDel="007C1EAE">
              <w:rPr>
                <w:rFonts w:cs="Arial"/>
                <w:szCs w:val="20"/>
              </w:rPr>
              <w:t xml:space="preserve">price of the </w:t>
            </w:r>
            <w:r w:rsidRPr="00E65655">
              <w:rPr>
                <w:rFonts w:cs="Arial"/>
                <w:szCs w:val="20"/>
              </w:rPr>
              <w:t>Underlying Stock</w:t>
            </w:r>
            <w:r w:rsidRPr="00E65655" w:rsidDel="007C1EAE">
              <w:rPr>
                <w:rFonts w:cs="Arial"/>
                <w:szCs w:val="20"/>
              </w:rPr>
              <w:t xml:space="preserve"> during the respective Intraday Restrike Observation Period</w:t>
            </w:r>
          </w:p>
          <w:p w14:paraId="64FF7882"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color w:val="000000"/>
                <w:szCs w:val="20"/>
                <w:lang w:val="en-US"/>
              </w:rPr>
              <w:t>(3) with respect to IR(C)</w:t>
            </w:r>
          </w:p>
          <w:p w14:paraId="37BEF156" w14:textId="2552E1B4" w:rsidR="00927F06" w:rsidRPr="00E65655" w:rsidRDefault="00C6230D" w:rsidP="00853D4F">
            <w:pPr>
              <w:spacing w:before="120" w:after="120" w:line="290" w:lineRule="auto"/>
              <w:ind w:left="44"/>
              <w:jc w:val="both"/>
              <w:rPr>
                <w:rFonts w:cs="Arial"/>
                <w:szCs w:val="20"/>
              </w:rPr>
            </w:pPr>
            <m:oMathPara>
              <m:oMath>
                <m:r>
                  <m:rPr>
                    <m:sty m:val="p"/>
                  </m:rPr>
                  <w:rPr>
                    <w:rFonts w:ascii="Cambria Math" w:eastAsia="Calibri" w:hAnsi="Cambria Math" w:cs="Helvetica-Bold"/>
                    <w:szCs w:val="20"/>
                    <w:lang w:val="en-US" w:eastAsia="it-IT"/>
                  </w:rPr>
                  <m:t>I</m:t>
                </m:r>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S</m:t>
                    </m:r>
                  </m:e>
                  <m:sub>
                    <m:r>
                      <m:rPr>
                        <m:sty m:val="p"/>
                      </m:rPr>
                      <w:rPr>
                        <w:rFonts w:ascii="Cambria Math" w:eastAsia="Calibri" w:hAnsi="Cambria Math" w:cs="Helvetica-Bold"/>
                        <w:szCs w:val="20"/>
                        <w:lang w:val="en-US" w:eastAsia="it-IT"/>
                      </w:rPr>
                      <m:t>IR</m:t>
                    </m:r>
                    <m:d>
                      <m:dPr>
                        <m:ctrlPr>
                          <w:rPr>
                            <w:rFonts w:ascii="Cambria Math" w:eastAsia="Calibri" w:hAnsi="Cambria Math" w:cs="Helvetica-Bold"/>
                            <w:szCs w:val="20"/>
                            <w:lang w:val="en-US" w:eastAsia="it-IT"/>
                          </w:rPr>
                        </m:ctrlPr>
                      </m:dPr>
                      <m:e>
                        <m:r>
                          <m:rPr>
                            <m:sty m:val="p"/>
                          </m:rPr>
                          <w:rPr>
                            <w:rFonts w:ascii="Cambria Math" w:eastAsia="Calibri" w:hAnsi="Cambria Math" w:cs="Helvetica-Bold"/>
                            <w:szCs w:val="20"/>
                            <w:lang w:val="en-US" w:eastAsia="it-IT"/>
                          </w:rPr>
                          <m:t>C</m:t>
                        </m:r>
                      </m:e>
                    </m:d>
                  </m:sub>
                </m:sSub>
                <m:r>
                  <m:rPr>
                    <m:sty m:val="p"/>
                  </m:rPr>
                  <w:rPr>
                    <w:rFonts w:ascii="Cambria Math" w:eastAsia="Calibri" w:hAnsi="Cambria Math" w:cs="Helvetica-Bold"/>
                    <w:szCs w:val="20"/>
                    <w:lang w:val="en-US" w:eastAsia="it-IT"/>
                  </w:rPr>
                  <m:t>=</m:t>
                </m:r>
                <m:sSub>
                  <m:sSubPr>
                    <m:ctrlPr>
                      <w:rPr>
                        <w:rFonts w:ascii="Cambria Math" w:eastAsia="Calibri" w:hAnsi="Cambria Math" w:cs="Helvetica-Bold"/>
                        <w:bCs/>
                        <w:szCs w:val="20"/>
                        <w:lang w:val="en-US" w:eastAsia="it-IT"/>
                      </w:rPr>
                    </m:ctrlPr>
                  </m:sSubPr>
                  <m:e>
                    <m:r>
                      <m:rPr>
                        <m:sty m:val="p"/>
                      </m:rPr>
                      <w:rPr>
                        <w:rFonts w:ascii="Cambria Math" w:eastAsia="Calibri" w:hAnsi="Cambria Math" w:cs="Helvetica-Bold"/>
                        <w:szCs w:val="20"/>
                        <w:lang w:val="en-US" w:eastAsia="it-IT"/>
                      </w:rPr>
                      <m:t>S</m:t>
                    </m:r>
                  </m:e>
                  <m:sub>
                    <m:r>
                      <m:rPr>
                        <m:sty m:val="p"/>
                      </m:rPr>
                      <w:rPr>
                        <w:rFonts w:ascii="Cambria Math" w:eastAsia="Calibri" w:hAnsi="Cambria Math" w:cs="Helvetica-Bold"/>
                        <w:szCs w:val="20"/>
                        <w:lang w:val="en-US" w:eastAsia="it-IT"/>
                      </w:rPr>
                      <m:t>IRD</m:t>
                    </m:r>
                  </m:sub>
                </m:sSub>
              </m:oMath>
            </m:oMathPara>
          </w:p>
          <w:p w14:paraId="333D4F7A" w14:textId="77777777" w:rsidR="00927F06" w:rsidRPr="00E65655" w:rsidDel="007C1EAE" w:rsidRDefault="00927F06" w:rsidP="00853D4F">
            <w:pPr>
              <w:spacing w:before="120" w:after="120" w:line="290" w:lineRule="auto"/>
              <w:ind w:left="44"/>
              <w:jc w:val="both"/>
              <w:rPr>
                <w:rFonts w:cs="Arial"/>
                <w:color w:val="000000"/>
                <w:szCs w:val="20"/>
                <w:lang w:val="en-US"/>
              </w:rPr>
            </w:pPr>
            <w:r w:rsidRPr="00E65655">
              <w:rPr>
                <w:rFonts w:cs="Arial"/>
                <w:szCs w:val="20"/>
              </w:rPr>
              <w:t xml:space="preserve">In each case, </w:t>
            </w:r>
            <w:r w:rsidRPr="00E65655" w:rsidDel="007C1EAE">
              <w:rPr>
                <w:rFonts w:cs="Arial"/>
                <w:szCs w:val="20"/>
              </w:rPr>
              <w:t>subject to the adjustments and provisions of the Conditions</w:t>
            </w:r>
            <w:r w:rsidRPr="00E65655">
              <w:rPr>
                <w:rFonts w:cs="Arial"/>
                <w:szCs w:val="20"/>
              </w:rPr>
              <w:t>.</w:t>
            </w:r>
          </w:p>
        </w:tc>
      </w:tr>
      <w:tr w:rsidR="00927F06" w:rsidRPr="00E65655" w:rsidDel="007C1EAE" w14:paraId="5B89DEB6" w14:textId="77777777" w:rsidTr="00822438">
        <w:trPr>
          <w:jc w:val="center"/>
        </w:trPr>
        <w:tc>
          <w:tcPr>
            <w:tcW w:w="2605" w:type="dxa"/>
          </w:tcPr>
          <w:p w14:paraId="031E007E" w14:textId="77777777" w:rsidR="00927F06" w:rsidRPr="00E65655" w:rsidDel="007C1EAE" w:rsidRDefault="00927F06" w:rsidP="00853D4F">
            <w:pPr>
              <w:spacing w:before="120" w:after="120" w:line="290" w:lineRule="auto"/>
              <w:jc w:val="center"/>
              <w:rPr>
                <w:rFonts w:cs="Arial"/>
                <w:b/>
                <w:color w:val="000000"/>
                <w:szCs w:val="20"/>
                <w:lang w:val="en-US"/>
              </w:rPr>
            </w:pPr>
            <w:r w:rsidRPr="00E65655" w:rsidDel="007C1EAE">
              <w:rPr>
                <w:rFonts w:cs="Arial"/>
                <w:b/>
                <w:color w:val="000000"/>
                <w:szCs w:val="20"/>
                <w:lang w:val="en-US"/>
              </w:rPr>
              <w:lastRenderedPageBreak/>
              <w:t>IR(k)</w:t>
            </w:r>
          </w:p>
        </w:tc>
        <w:tc>
          <w:tcPr>
            <w:tcW w:w="6953" w:type="dxa"/>
          </w:tcPr>
          <w:p w14:paraId="3105A49C"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color w:val="000000"/>
                <w:szCs w:val="20"/>
                <w:lang w:val="en-US"/>
              </w:rPr>
              <w:t xml:space="preserve">For k=0, means the scheduled close for the Relevant Stock Exchange for the </w:t>
            </w:r>
            <w:r w:rsidRPr="00E65655">
              <w:rPr>
                <w:rFonts w:cs="Arial"/>
                <w:color w:val="000000"/>
                <w:szCs w:val="20"/>
                <w:lang w:val="en-US"/>
              </w:rPr>
              <w:t>Underlying Stock</w:t>
            </w:r>
            <w:r w:rsidRPr="00E65655" w:rsidDel="007C1EAE">
              <w:rPr>
                <w:rFonts w:cs="Arial"/>
                <w:color w:val="000000"/>
                <w:szCs w:val="20"/>
                <w:lang w:val="en-US"/>
              </w:rPr>
              <w:t xml:space="preserve"> (or any successor</w:t>
            </w:r>
            <w:r w:rsidRPr="00E65655">
              <w:rPr>
                <w:rFonts w:cs="Arial"/>
                <w:color w:val="000000"/>
                <w:szCs w:val="20"/>
                <w:lang w:val="en-US"/>
              </w:rPr>
              <w:t xml:space="preserve"> thereto) on the Observation Date</w:t>
            </w:r>
            <w:r w:rsidRPr="00E65655" w:rsidDel="007C1EAE">
              <w:rPr>
                <w:rFonts w:cs="Arial"/>
                <w:color w:val="000000"/>
                <w:szCs w:val="20"/>
                <w:lang w:val="en-US"/>
              </w:rPr>
              <w:t xml:space="preserve"> immediately preceding the relevant Intraday Restrike </w:t>
            </w:r>
            <w:proofErr w:type="gramStart"/>
            <w:r w:rsidRPr="00E65655" w:rsidDel="007C1EAE">
              <w:rPr>
                <w:rFonts w:cs="Arial"/>
                <w:color w:val="000000"/>
                <w:szCs w:val="20"/>
                <w:lang w:val="en-US"/>
              </w:rPr>
              <w:t>Date;</w:t>
            </w:r>
            <w:proofErr w:type="gramEnd"/>
          </w:p>
          <w:p w14:paraId="4088CF6A" w14:textId="77777777" w:rsidR="00927F06" w:rsidRPr="00E65655" w:rsidDel="007C1EAE" w:rsidRDefault="00927F06" w:rsidP="00853D4F">
            <w:pPr>
              <w:spacing w:before="120" w:after="120" w:line="290" w:lineRule="auto"/>
              <w:ind w:left="44"/>
              <w:jc w:val="both"/>
              <w:rPr>
                <w:rFonts w:cs="Arial"/>
                <w:color w:val="000000"/>
                <w:szCs w:val="20"/>
              </w:rPr>
            </w:pPr>
            <w:r w:rsidRPr="00E65655" w:rsidDel="007C1EAE">
              <w:rPr>
                <w:rFonts w:cs="Arial"/>
                <w:color w:val="000000"/>
                <w:szCs w:val="20"/>
                <w:lang w:val="en-US"/>
              </w:rPr>
              <w:t>For k=1 to n, means the k</w:t>
            </w:r>
            <w:r w:rsidRPr="00E65655" w:rsidDel="007C1EAE">
              <w:rPr>
                <w:rFonts w:cs="Arial"/>
                <w:color w:val="000000"/>
                <w:szCs w:val="20"/>
                <w:vertAlign w:val="superscript"/>
                <w:lang w:val="en-US"/>
              </w:rPr>
              <w:t>th</w:t>
            </w:r>
            <w:r w:rsidRPr="00E65655" w:rsidDel="007C1EAE">
              <w:rPr>
                <w:rFonts w:cs="Arial"/>
                <w:color w:val="000000"/>
                <w:szCs w:val="20"/>
                <w:lang w:val="en-US"/>
              </w:rPr>
              <w:t xml:space="preserve"> Intraday Restrike Event on the relevant Intraday Restrike Date.</w:t>
            </w:r>
          </w:p>
        </w:tc>
      </w:tr>
      <w:tr w:rsidR="00927F06" w:rsidRPr="00E65655" w:rsidDel="007C1EAE" w14:paraId="7909E352" w14:textId="77777777" w:rsidTr="00822438">
        <w:trPr>
          <w:jc w:val="center"/>
        </w:trPr>
        <w:tc>
          <w:tcPr>
            <w:tcW w:w="2605" w:type="dxa"/>
          </w:tcPr>
          <w:p w14:paraId="5331D7B7" w14:textId="77777777" w:rsidR="00927F06" w:rsidRPr="00E65655" w:rsidDel="007C1EAE" w:rsidRDefault="00927F06" w:rsidP="00853D4F">
            <w:pPr>
              <w:spacing w:before="120" w:after="120" w:line="290" w:lineRule="auto"/>
              <w:jc w:val="center"/>
              <w:rPr>
                <w:rFonts w:cs="Arial"/>
                <w:b/>
                <w:color w:val="000000"/>
                <w:szCs w:val="20"/>
                <w:lang w:val="en-US"/>
              </w:rPr>
            </w:pPr>
            <w:r w:rsidRPr="00E65655" w:rsidDel="007C1EAE">
              <w:rPr>
                <w:rFonts w:cs="Arial"/>
                <w:b/>
                <w:color w:val="000000"/>
                <w:szCs w:val="20"/>
                <w:lang w:val="en-US"/>
              </w:rPr>
              <w:t>IR(C)</w:t>
            </w:r>
          </w:p>
        </w:tc>
        <w:tc>
          <w:tcPr>
            <w:tcW w:w="6953" w:type="dxa"/>
          </w:tcPr>
          <w:p w14:paraId="3A2D5B07" w14:textId="77777777" w:rsidR="00927F06" w:rsidRPr="00E65655" w:rsidDel="007C1EAE" w:rsidRDefault="00927F06" w:rsidP="00853D4F">
            <w:pPr>
              <w:spacing w:before="120" w:after="120" w:line="290" w:lineRule="auto"/>
              <w:ind w:left="44"/>
              <w:jc w:val="both"/>
              <w:rPr>
                <w:rFonts w:cs="Arial"/>
                <w:color w:val="000000"/>
                <w:szCs w:val="20"/>
                <w:lang w:val="en-US"/>
              </w:rPr>
            </w:pPr>
            <w:r w:rsidRPr="00E65655" w:rsidDel="007C1EAE">
              <w:rPr>
                <w:rFonts w:cs="Arial"/>
                <w:color w:val="000000"/>
                <w:szCs w:val="20"/>
                <w:lang w:val="en-US"/>
              </w:rPr>
              <w:t xml:space="preserve">means the scheduled close for the Relevant Stock Exchange for the </w:t>
            </w:r>
            <w:r w:rsidRPr="00E65655">
              <w:rPr>
                <w:rFonts w:cs="Arial"/>
                <w:color w:val="000000"/>
                <w:szCs w:val="20"/>
                <w:lang w:val="en-US"/>
              </w:rPr>
              <w:t>Underlying Stock</w:t>
            </w:r>
            <w:r w:rsidRPr="00E65655" w:rsidDel="007C1EAE">
              <w:rPr>
                <w:rFonts w:cs="Arial"/>
                <w:color w:val="000000"/>
                <w:szCs w:val="20"/>
                <w:lang w:val="en-US"/>
              </w:rPr>
              <w:t xml:space="preserve"> (or any successor thereto) on the relevant Intraday Restrike Date.</w:t>
            </w:r>
          </w:p>
        </w:tc>
      </w:tr>
      <w:tr w:rsidR="00927F06" w:rsidRPr="00E65655" w:rsidDel="007C1EAE" w14:paraId="3804F585" w14:textId="77777777" w:rsidTr="00822438">
        <w:trPr>
          <w:jc w:val="center"/>
        </w:trPr>
        <w:tc>
          <w:tcPr>
            <w:tcW w:w="2605" w:type="dxa"/>
          </w:tcPr>
          <w:p w14:paraId="0B62C172" w14:textId="77777777" w:rsidR="00927F06" w:rsidRPr="00E65655" w:rsidDel="007C1EAE" w:rsidRDefault="00927F06" w:rsidP="00853D4F">
            <w:pPr>
              <w:spacing w:before="120" w:after="120" w:line="290" w:lineRule="auto"/>
              <w:jc w:val="center"/>
              <w:rPr>
                <w:rFonts w:cs="Arial"/>
                <w:b/>
                <w:bCs/>
                <w:color w:val="000000"/>
                <w:szCs w:val="20"/>
                <w:lang w:val="en-US"/>
              </w:rPr>
            </w:pPr>
            <w:r w:rsidRPr="00E65655" w:rsidDel="007C1EAE">
              <w:rPr>
                <w:rFonts w:cs="Arial"/>
                <w:b/>
                <w:color w:val="000000"/>
                <w:szCs w:val="20"/>
                <w:lang w:val="en-US"/>
              </w:rPr>
              <w:t>n</w:t>
            </w:r>
          </w:p>
        </w:tc>
        <w:tc>
          <w:tcPr>
            <w:tcW w:w="6953" w:type="dxa"/>
          </w:tcPr>
          <w:p w14:paraId="66A3E13E" w14:textId="77777777" w:rsidR="00927F06" w:rsidRPr="00E65655" w:rsidDel="007C1EAE" w:rsidRDefault="00927F06" w:rsidP="00853D4F">
            <w:pPr>
              <w:spacing w:before="120" w:after="120" w:line="290" w:lineRule="auto"/>
              <w:ind w:left="44"/>
              <w:jc w:val="both"/>
              <w:rPr>
                <w:rFonts w:cs="Arial"/>
                <w:bCs/>
                <w:color w:val="000000"/>
                <w:szCs w:val="20"/>
                <w:lang w:val="en-US"/>
              </w:rPr>
            </w:pPr>
            <w:r w:rsidRPr="00E65655" w:rsidDel="007C1EAE">
              <w:rPr>
                <w:rFonts w:cs="Arial"/>
                <w:color w:val="000000"/>
                <w:szCs w:val="20"/>
                <w:lang w:val="en-US"/>
              </w:rPr>
              <w:t>means the number of Intraday Restrike Events that occurred on the relevant Intraday Restrike Date.</w:t>
            </w:r>
          </w:p>
        </w:tc>
      </w:tr>
      <w:tr w:rsidR="00927F06" w:rsidRPr="00E65655" w:rsidDel="007C1EAE" w14:paraId="2D0B31F0" w14:textId="77777777" w:rsidTr="00822438">
        <w:trPr>
          <w:jc w:val="center"/>
        </w:trPr>
        <w:tc>
          <w:tcPr>
            <w:tcW w:w="2605" w:type="dxa"/>
          </w:tcPr>
          <w:p w14:paraId="314BBBAB" w14:textId="77777777" w:rsidR="00927F06" w:rsidRPr="00E65655" w:rsidDel="007C1EAE" w:rsidRDefault="00927F06" w:rsidP="00853D4F">
            <w:pPr>
              <w:spacing w:before="120" w:after="120" w:line="290" w:lineRule="auto"/>
              <w:ind w:left="44"/>
              <w:jc w:val="center"/>
              <w:rPr>
                <w:rFonts w:cs="Arial"/>
                <w:b/>
                <w:bCs/>
                <w:color w:val="000000"/>
                <w:szCs w:val="20"/>
                <w:lang w:val="en-US"/>
              </w:rPr>
            </w:pPr>
            <w:r w:rsidRPr="00E65655" w:rsidDel="007C1EAE">
              <w:rPr>
                <w:rFonts w:cs="Arial"/>
                <w:b/>
                <w:color w:val="000000"/>
                <w:szCs w:val="20"/>
                <w:lang w:val="en-US"/>
              </w:rPr>
              <w:t>Intraday Restrike Event</w:t>
            </w:r>
          </w:p>
        </w:tc>
        <w:tc>
          <w:tcPr>
            <w:tcW w:w="6953" w:type="dxa"/>
          </w:tcPr>
          <w:p w14:paraId="416B6C7B" w14:textId="17D7371B" w:rsidR="00927F06" w:rsidRPr="00E65655" w:rsidRDefault="00927F06" w:rsidP="00853D4F">
            <w:pPr>
              <w:spacing w:before="120" w:after="120" w:line="290" w:lineRule="auto"/>
              <w:ind w:left="44"/>
              <w:jc w:val="both"/>
              <w:rPr>
                <w:rFonts w:cs="Arial"/>
                <w:color w:val="000000"/>
                <w:szCs w:val="20"/>
                <w:lang w:val="en-US"/>
              </w:rPr>
            </w:pPr>
            <w:r w:rsidRPr="00E65655" w:rsidDel="007C1EAE">
              <w:rPr>
                <w:rFonts w:cs="Arial"/>
                <w:color w:val="000000"/>
                <w:szCs w:val="20"/>
                <w:lang w:val="en-US"/>
              </w:rPr>
              <w:t>means in respect of an Observation Date(t</w:t>
            </w:r>
            <w:r w:rsidR="00DF7F3F" w:rsidRPr="00E65655" w:rsidDel="007C1EAE">
              <w:rPr>
                <w:rFonts w:cs="Arial"/>
                <w:color w:val="000000"/>
                <w:szCs w:val="20"/>
                <w:lang w:val="en-US"/>
              </w:rPr>
              <w:t>)</w:t>
            </w:r>
            <w:r w:rsidR="00DF7F3F" w:rsidRPr="00E65655">
              <w:rPr>
                <w:rFonts w:cs="Arial"/>
                <w:color w:val="000000"/>
                <w:szCs w:val="20"/>
                <w:lang w:val="en-US"/>
              </w:rPr>
              <w:t>:</w:t>
            </w:r>
          </w:p>
          <w:p w14:paraId="512D90F6" w14:textId="2452BD42" w:rsidR="00927F06" w:rsidRPr="00E65655" w:rsidRDefault="00927F06" w:rsidP="00853D4F">
            <w:pPr>
              <w:spacing w:before="120" w:after="120" w:line="290" w:lineRule="auto"/>
              <w:ind w:left="44"/>
              <w:jc w:val="both"/>
              <w:rPr>
                <w:rFonts w:cs="Arial"/>
                <w:color w:val="000000"/>
                <w:szCs w:val="20"/>
                <w:lang w:val="en-US"/>
              </w:rPr>
            </w:pPr>
            <w:r w:rsidRPr="00E65655">
              <w:rPr>
                <w:rFonts w:cs="Arial"/>
                <w:color w:val="000000"/>
                <w:szCs w:val="20"/>
                <w:lang w:val="en-US"/>
              </w:rPr>
              <w:t>(1) provided no Intraday Restrike Event has previously occurred on such Observation Date (t)</w:t>
            </w:r>
            <w:r w:rsidRPr="00E65655" w:rsidDel="007C1EAE">
              <w:rPr>
                <w:rFonts w:cs="Arial"/>
                <w:color w:val="000000"/>
                <w:szCs w:val="20"/>
                <w:lang w:val="en-US"/>
              </w:rPr>
              <w:t xml:space="preserve">, the </w:t>
            </w:r>
            <w:r w:rsidRPr="00E65655">
              <w:rPr>
                <w:rFonts w:cs="Arial"/>
                <w:szCs w:val="20"/>
                <w:lang w:val="en-US" w:eastAsia="it-IT"/>
              </w:rPr>
              <w:t>increase</w:t>
            </w:r>
            <w:r w:rsidRPr="00E65655" w:rsidDel="007C1EAE">
              <w:rPr>
                <w:rFonts w:cs="Arial"/>
                <w:color w:val="000000"/>
                <w:szCs w:val="20"/>
                <w:lang w:val="en-US"/>
              </w:rPr>
              <w:t xml:space="preserve"> at any Calculation Time of the</w:t>
            </w:r>
            <w:r w:rsidRPr="00E65655">
              <w:rPr>
                <w:rFonts w:cs="Arial"/>
                <w:color w:val="000000"/>
                <w:szCs w:val="20"/>
                <w:lang w:val="en-US"/>
              </w:rPr>
              <w:t xml:space="preserve"> Underlying Stock</w:t>
            </w:r>
            <w:r w:rsidRPr="00E65655" w:rsidDel="007C1EAE">
              <w:rPr>
                <w:rFonts w:cs="Arial"/>
                <w:color w:val="000000"/>
                <w:szCs w:val="20"/>
                <w:lang w:val="en-US"/>
              </w:rPr>
              <w:t xml:space="preserve"> </w:t>
            </w:r>
            <w:r w:rsidRPr="00E65655">
              <w:rPr>
                <w:rFonts w:cs="Arial"/>
                <w:color w:val="000000"/>
                <w:szCs w:val="20"/>
                <w:lang w:val="en-US"/>
              </w:rPr>
              <w:t>price</w:t>
            </w:r>
            <w:r w:rsidRPr="00E65655" w:rsidDel="007C1EAE">
              <w:rPr>
                <w:rFonts w:cs="Arial"/>
                <w:color w:val="000000"/>
                <w:szCs w:val="20"/>
                <w:lang w:val="en-US"/>
              </w:rPr>
              <w:t xml:space="preserve"> by </w:t>
            </w:r>
            <w:r w:rsidRPr="00E65655">
              <w:rPr>
                <w:rFonts w:cs="Arial"/>
                <w:color w:val="000000"/>
                <w:szCs w:val="20"/>
                <w:lang w:val="en-US"/>
              </w:rPr>
              <w:t>15</w:t>
            </w:r>
            <w:r w:rsidR="00DF7F3F" w:rsidRPr="00E65655">
              <w:rPr>
                <w:rFonts w:cs="Arial"/>
                <w:color w:val="000000"/>
                <w:szCs w:val="20"/>
                <w:lang w:val="en-US"/>
              </w:rPr>
              <w:t>%</w:t>
            </w:r>
            <w:r w:rsidR="00DF7F3F" w:rsidRPr="00E65655" w:rsidDel="007C1EAE">
              <w:rPr>
                <w:rFonts w:cs="Arial"/>
                <w:color w:val="000000"/>
                <w:szCs w:val="20"/>
                <w:lang w:val="en-US"/>
              </w:rPr>
              <w:t xml:space="preserve"> </w:t>
            </w:r>
            <w:r w:rsidR="00DF7F3F" w:rsidRPr="00E65655">
              <w:rPr>
                <w:rFonts w:cs="Arial"/>
                <w:color w:val="000000"/>
                <w:szCs w:val="20"/>
                <w:lang w:val="en-US"/>
              </w:rPr>
              <w:t>or</w:t>
            </w:r>
            <w:r w:rsidRPr="00E65655" w:rsidDel="007C1EAE">
              <w:rPr>
                <w:rFonts w:cs="Arial"/>
                <w:color w:val="000000"/>
                <w:szCs w:val="20"/>
                <w:lang w:val="en-US"/>
              </w:rPr>
              <w:t xml:space="preserve"> more compared with the relevant </w:t>
            </w:r>
            <w:r w:rsidRPr="00E65655">
              <w:rPr>
                <w:rFonts w:cs="Arial"/>
                <w:color w:val="000000"/>
                <w:szCs w:val="20"/>
                <w:lang w:val="en-US"/>
              </w:rPr>
              <w:t>Underlying Stock Price</w:t>
            </w:r>
            <w:r w:rsidRPr="00E65655" w:rsidDel="007C1EAE">
              <w:rPr>
                <w:rFonts w:cs="Arial"/>
                <w:color w:val="000000"/>
                <w:szCs w:val="20"/>
                <w:lang w:val="en-US"/>
              </w:rPr>
              <w:t xml:space="preserve"> </w:t>
            </w:r>
            <m:oMath>
              <m:sSub>
                <m:sSubPr>
                  <m:ctrlPr>
                    <w:rPr>
                      <w:rFonts w:ascii="Cambria Math" w:hAnsi="Cambria Math" w:cs="Arial"/>
                      <w:color w:val="000000"/>
                      <w:szCs w:val="20"/>
                      <w:lang w:val="en-US"/>
                    </w:rPr>
                  </m:ctrlPr>
                </m:sSubPr>
                <m:e>
                  <m:r>
                    <m:rPr>
                      <m:sty m:val="b"/>
                    </m:rPr>
                    <w:rPr>
                      <w:rFonts w:ascii="Cambria Math" w:hAnsi="Cambria Math" w:cs="Arial"/>
                      <w:color w:val="000000"/>
                      <w:szCs w:val="20"/>
                      <w:lang w:val="en-US"/>
                    </w:rPr>
                    <m:t>IS</m:t>
                  </m:r>
                </m:e>
                <m:sub>
                  <m:r>
                    <m:rPr>
                      <m:sty m:val="b"/>
                    </m:rPr>
                    <w:rPr>
                      <w:rFonts w:ascii="Cambria Math" w:hAnsi="Cambria Math" w:cs="Arial"/>
                      <w:color w:val="000000"/>
                      <w:szCs w:val="20"/>
                      <w:lang w:val="en-US"/>
                    </w:rPr>
                    <m:t>IR</m:t>
                  </m:r>
                  <m:r>
                    <m:rPr>
                      <m:sty m:val="p"/>
                    </m:rPr>
                    <w:rPr>
                      <w:rFonts w:ascii="Cambria Math" w:hAnsi="Cambria Math" w:cs="Arial"/>
                      <w:color w:val="000000"/>
                      <w:szCs w:val="20"/>
                      <w:lang w:val="en-US"/>
                    </w:rPr>
                    <m:t>(</m:t>
                  </m:r>
                  <m:r>
                    <m:rPr>
                      <m:sty m:val="b"/>
                    </m:rPr>
                    <w:rPr>
                      <w:rFonts w:ascii="Cambria Math" w:hAnsi="Cambria Math" w:cs="Arial"/>
                      <w:color w:val="000000"/>
                      <w:szCs w:val="20"/>
                      <w:lang w:val="en-US"/>
                    </w:rPr>
                    <m:t>0</m:t>
                  </m:r>
                  <m:r>
                    <m:rPr>
                      <m:sty m:val="p"/>
                    </m:rPr>
                    <w:rPr>
                      <w:rFonts w:ascii="Cambria Math" w:hAnsi="Cambria Math" w:cs="Arial"/>
                      <w:color w:val="000000"/>
                      <w:szCs w:val="20"/>
                      <w:lang w:val="en-US"/>
                    </w:rPr>
                    <m:t>)</m:t>
                  </m:r>
                </m:sub>
              </m:sSub>
            </m:oMath>
            <w:r w:rsidRPr="00E65655">
              <w:rPr>
                <w:rFonts w:cs="Arial"/>
                <w:color w:val="000000"/>
                <w:szCs w:val="20"/>
                <w:lang w:val="en-US"/>
              </w:rPr>
              <w:t xml:space="preserve"> </w:t>
            </w:r>
            <w:r w:rsidRPr="00E65655" w:rsidDel="007C1EAE">
              <w:rPr>
                <w:rFonts w:cs="Arial"/>
                <w:color w:val="000000"/>
                <w:szCs w:val="20"/>
                <w:lang w:val="en-US"/>
              </w:rPr>
              <w:t>as of such Calculation Time.</w:t>
            </w:r>
          </w:p>
          <w:p w14:paraId="5C1F04E2" w14:textId="6F0E220C" w:rsidR="00927F06" w:rsidRPr="00E65655" w:rsidDel="007C1EAE" w:rsidRDefault="00927F06" w:rsidP="00853D4F">
            <w:pPr>
              <w:spacing w:before="120" w:after="120" w:line="290" w:lineRule="auto"/>
              <w:ind w:left="44"/>
              <w:jc w:val="both"/>
              <w:rPr>
                <w:rFonts w:cs="Arial"/>
                <w:color w:val="000000"/>
                <w:szCs w:val="20"/>
                <w:lang w:val="en-US"/>
              </w:rPr>
            </w:pPr>
            <w:r w:rsidRPr="00E65655">
              <w:rPr>
                <w:rFonts w:cs="Arial"/>
                <w:color w:val="000000"/>
                <w:szCs w:val="20"/>
                <w:lang w:val="en-US"/>
              </w:rPr>
              <w:t>(2) if k Intraday Restrike Events have occurred on the relevant In</w:t>
            </w:r>
            <w:r w:rsidR="001A75F8" w:rsidRPr="00E65655">
              <w:rPr>
                <w:rFonts w:cs="Arial"/>
                <w:color w:val="000000"/>
                <w:szCs w:val="20"/>
                <w:lang w:val="en-US"/>
              </w:rPr>
              <w:t>t</w:t>
            </w:r>
            <w:r w:rsidRPr="00E65655">
              <w:rPr>
                <w:rFonts w:cs="Arial"/>
                <w:color w:val="000000"/>
                <w:szCs w:val="20"/>
                <w:lang w:val="en-US"/>
              </w:rPr>
              <w:t xml:space="preserve">raday Restrike Date, </w:t>
            </w:r>
            <w:r w:rsidRPr="00E65655" w:rsidDel="007C1EAE">
              <w:rPr>
                <w:rFonts w:cs="Arial"/>
                <w:color w:val="000000"/>
                <w:szCs w:val="20"/>
                <w:lang w:val="en-US"/>
              </w:rPr>
              <w:t xml:space="preserve">the </w:t>
            </w:r>
            <w:r w:rsidRPr="00E65655">
              <w:rPr>
                <w:rFonts w:cs="Arial"/>
                <w:szCs w:val="20"/>
                <w:lang w:val="en-US" w:eastAsia="it-IT"/>
              </w:rPr>
              <w:t>increase</w:t>
            </w:r>
            <w:r w:rsidRPr="00E65655" w:rsidDel="007C1EAE">
              <w:rPr>
                <w:rFonts w:cs="Arial"/>
                <w:color w:val="000000"/>
                <w:szCs w:val="20"/>
                <w:lang w:val="en-US"/>
              </w:rPr>
              <w:t xml:space="preserve"> at any Calculation Time of the</w:t>
            </w:r>
            <w:r w:rsidRPr="00E65655">
              <w:rPr>
                <w:rFonts w:cs="Arial"/>
                <w:color w:val="000000"/>
                <w:szCs w:val="20"/>
                <w:lang w:val="en-US"/>
              </w:rPr>
              <w:t xml:space="preserve"> Underlying Stock</w:t>
            </w:r>
            <w:r w:rsidRPr="00E65655" w:rsidDel="007C1EAE">
              <w:rPr>
                <w:rFonts w:cs="Arial"/>
                <w:color w:val="000000"/>
                <w:szCs w:val="20"/>
                <w:lang w:val="en-US"/>
              </w:rPr>
              <w:t xml:space="preserve"> </w:t>
            </w:r>
            <w:r w:rsidRPr="00E65655">
              <w:rPr>
                <w:rFonts w:cs="Arial"/>
                <w:color w:val="000000"/>
                <w:szCs w:val="20"/>
                <w:lang w:val="en-US"/>
              </w:rPr>
              <w:t>price</w:t>
            </w:r>
            <w:r w:rsidRPr="00E65655" w:rsidDel="007C1EAE">
              <w:rPr>
                <w:rFonts w:cs="Arial"/>
                <w:color w:val="000000"/>
                <w:szCs w:val="20"/>
                <w:lang w:val="en-US"/>
              </w:rPr>
              <w:t xml:space="preserve"> by </w:t>
            </w:r>
            <w:r w:rsidRPr="00E65655">
              <w:rPr>
                <w:rFonts w:cs="Arial"/>
                <w:color w:val="000000"/>
                <w:szCs w:val="20"/>
                <w:lang w:val="en-US"/>
              </w:rPr>
              <w:t>15</w:t>
            </w:r>
            <w:r w:rsidR="00DF7F3F" w:rsidRPr="00E65655">
              <w:rPr>
                <w:rFonts w:cs="Arial"/>
                <w:color w:val="000000"/>
                <w:szCs w:val="20"/>
                <w:lang w:val="en-US"/>
              </w:rPr>
              <w:t>%</w:t>
            </w:r>
            <w:r w:rsidR="00DF7F3F" w:rsidRPr="00E65655" w:rsidDel="007C1EAE">
              <w:rPr>
                <w:rFonts w:cs="Arial"/>
                <w:color w:val="000000"/>
                <w:szCs w:val="20"/>
                <w:lang w:val="en-US"/>
              </w:rPr>
              <w:t xml:space="preserve"> or</w:t>
            </w:r>
            <w:r w:rsidRPr="00E65655" w:rsidDel="007C1EAE">
              <w:rPr>
                <w:rFonts w:cs="Arial"/>
                <w:color w:val="000000"/>
                <w:szCs w:val="20"/>
                <w:lang w:val="en-US"/>
              </w:rPr>
              <w:t xml:space="preserve"> more compared with the relevant </w:t>
            </w:r>
            <w:r w:rsidRPr="00E65655">
              <w:rPr>
                <w:rFonts w:cs="Arial"/>
                <w:color w:val="000000"/>
                <w:szCs w:val="20"/>
                <w:lang w:val="en-US"/>
              </w:rPr>
              <w:t>Underlying Stock Price</w:t>
            </w:r>
            <w:r w:rsidRPr="00E65655" w:rsidDel="007C1EAE">
              <w:rPr>
                <w:rFonts w:cs="Arial"/>
                <w:color w:val="000000"/>
                <w:szCs w:val="20"/>
                <w:lang w:val="en-US"/>
              </w:rPr>
              <w:t xml:space="preserve"> </w:t>
            </w:r>
            <m:oMath>
              <m:sSub>
                <m:sSubPr>
                  <m:ctrlPr>
                    <w:rPr>
                      <w:rFonts w:ascii="Cambria Math" w:hAnsi="Cambria Math" w:cs="Arial"/>
                      <w:color w:val="000000"/>
                      <w:szCs w:val="20"/>
                      <w:lang w:val="en-US"/>
                    </w:rPr>
                  </m:ctrlPr>
                </m:sSubPr>
                <m:e>
                  <m:r>
                    <m:rPr>
                      <m:sty m:val="b"/>
                    </m:rPr>
                    <w:rPr>
                      <w:rFonts w:ascii="Cambria Math" w:hAnsi="Cambria Math" w:cs="Arial"/>
                      <w:color w:val="000000"/>
                      <w:szCs w:val="20"/>
                      <w:lang w:val="en-US"/>
                    </w:rPr>
                    <m:t>IS</m:t>
                  </m:r>
                </m:e>
                <m:sub>
                  <m:r>
                    <m:rPr>
                      <m:sty m:val="b"/>
                    </m:rPr>
                    <w:rPr>
                      <w:rFonts w:ascii="Cambria Math" w:hAnsi="Cambria Math" w:cs="Arial"/>
                      <w:color w:val="000000"/>
                      <w:szCs w:val="20"/>
                      <w:lang w:val="en-US"/>
                    </w:rPr>
                    <m:t>IR</m:t>
                  </m:r>
                  <m:r>
                    <m:rPr>
                      <m:sty m:val="p"/>
                    </m:rPr>
                    <w:rPr>
                      <w:rFonts w:ascii="Cambria Math" w:hAnsi="Cambria Math" w:cs="Arial"/>
                      <w:color w:val="000000"/>
                      <w:szCs w:val="20"/>
                      <w:lang w:val="en-US"/>
                    </w:rPr>
                    <m:t>(</m:t>
                  </m:r>
                  <m:r>
                    <m:rPr>
                      <m:sty m:val="b"/>
                    </m:rPr>
                    <w:rPr>
                      <w:rFonts w:ascii="Cambria Math" w:hAnsi="Cambria Math" w:cs="Arial"/>
                      <w:color w:val="000000"/>
                      <w:szCs w:val="20"/>
                      <w:lang w:val="en-US"/>
                    </w:rPr>
                    <m:t>k</m:t>
                  </m:r>
                  <m:r>
                    <m:rPr>
                      <m:sty m:val="p"/>
                    </m:rPr>
                    <w:rPr>
                      <w:rFonts w:ascii="Cambria Math" w:hAnsi="Cambria Math" w:cs="Arial"/>
                      <w:color w:val="000000"/>
                      <w:szCs w:val="20"/>
                      <w:lang w:val="en-US"/>
                    </w:rPr>
                    <m:t>)</m:t>
                  </m:r>
                </m:sub>
              </m:sSub>
            </m:oMath>
            <w:r w:rsidRPr="00E65655">
              <w:rPr>
                <w:rFonts w:cs="Arial"/>
                <w:color w:val="000000"/>
                <w:szCs w:val="20"/>
                <w:lang w:val="en-US"/>
              </w:rPr>
              <w:t xml:space="preserve"> </w:t>
            </w:r>
            <w:r w:rsidRPr="00E65655" w:rsidDel="007C1EAE">
              <w:rPr>
                <w:rFonts w:cs="Arial"/>
                <w:color w:val="000000"/>
                <w:szCs w:val="20"/>
                <w:lang w:val="en-US"/>
              </w:rPr>
              <w:t>as of such Calculation Time.</w:t>
            </w:r>
          </w:p>
        </w:tc>
      </w:tr>
      <w:tr w:rsidR="00927F06" w:rsidRPr="00E65655" w:rsidDel="007C1EAE" w14:paraId="7D356F86" w14:textId="77777777" w:rsidTr="00822438">
        <w:trPr>
          <w:jc w:val="center"/>
        </w:trPr>
        <w:tc>
          <w:tcPr>
            <w:tcW w:w="2605" w:type="dxa"/>
          </w:tcPr>
          <w:p w14:paraId="218783E1" w14:textId="77777777" w:rsidR="00927F06" w:rsidRPr="00E65655" w:rsidDel="007C1EAE" w:rsidRDefault="00927F06" w:rsidP="00853D4F">
            <w:pPr>
              <w:spacing w:before="120" w:after="120" w:line="290" w:lineRule="auto"/>
              <w:jc w:val="center"/>
              <w:rPr>
                <w:rFonts w:cs="Arial"/>
                <w:b/>
                <w:color w:val="000000"/>
                <w:kern w:val="20"/>
                <w:szCs w:val="20"/>
                <w:lang w:val="en-US"/>
              </w:rPr>
            </w:pPr>
            <w:r w:rsidRPr="00E65655" w:rsidDel="007C1EAE">
              <w:rPr>
                <w:rFonts w:cs="Arial"/>
                <w:b/>
                <w:color w:val="000000"/>
                <w:szCs w:val="20"/>
                <w:lang w:val="en-US"/>
              </w:rPr>
              <w:t>Calculation Time</w:t>
            </w:r>
          </w:p>
        </w:tc>
        <w:tc>
          <w:tcPr>
            <w:tcW w:w="6953" w:type="dxa"/>
          </w:tcPr>
          <w:p w14:paraId="66DB1159" w14:textId="77777777" w:rsidR="00927F06" w:rsidRPr="00E65655" w:rsidDel="007C1EAE" w:rsidRDefault="00927F06" w:rsidP="00853D4F">
            <w:pPr>
              <w:spacing w:before="120" w:after="120" w:line="290" w:lineRule="auto"/>
              <w:ind w:left="44"/>
              <w:jc w:val="both"/>
              <w:rPr>
                <w:rFonts w:cs="Arial"/>
                <w:color w:val="000000"/>
                <w:szCs w:val="20"/>
                <w:lang w:val="en-US"/>
              </w:rPr>
            </w:pPr>
            <w:r w:rsidRPr="00E65655" w:rsidDel="007C1EAE">
              <w:rPr>
                <w:rFonts w:ascii="Helvetica" w:eastAsia="Calibri" w:hAnsi="Helvetica" w:cs="Helvetica"/>
                <w:szCs w:val="20"/>
                <w:lang w:val="en-US" w:eastAsia="it-IT"/>
              </w:rPr>
              <w:t xml:space="preserve">means any time between the TimeReferenceOpening and the TimeReferenceClosing, provided that the relevant data is available to enable the Calculation Agent to determine the Leverage </w:t>
            </w:r>
            <w:r w:rsidRPr="00E65655">
              <w:rPr>
                <w:rFonts w:cs="Arial"/>
                <w:color w:val="000000"/>
                <w:szCs w:val="20"/>
                <w:lang w:val="en-US"/>
              </w:rPr>
              <w:t>Inverse</w:t>
            </w:r>
            <w:r w:rsidRPr="00E65655">
              <w:rPr>
                <w:rFonts w:cs="Arial"/>
                <w:b/>
                <w:szCs w:val="20"/>
                <w:lang w:val="en-US" w:eastAsia="it-IT"/>
              </w:rPr>
              <w:t xml:space="preserve"> </w:t>
            </w:r>
            <w:r w:rsidRPr="00E65655" w:rsidDel="007C1EAE">
              <w:rPr>
                <w:rFonts w:ascii="Helvetica" w:eastAsia="Calibri" w:hAnsi="Helvetica" w:cs="Helvetica"/>
                <w:szCs w:val="20"/>
                <w:lang w:val="en-US" w:eastAsia="it-IT"/>
              </w:rPr>
              <w:t>Strategy Level.</w:t>
            </w:r>
          </w:p>
        </w:tc>
      </w:tr>
      <w:tr w:rsidR="00927F06" w:rsidRPr="00E65655" w:rsidDel="007C1EAE" w14:paraId="7C520F01" w14:textId="77777777" w:rsidTr="00822438">
        <w:trPr>
          <w:jc w:val="center"/>
        </w:trPr>
        <w:tc>
          <w:tcPr>
            <w:tcW w:w="2605" w:type="dxa"/>
          </w:tcPr>
          <w:p w14:paraId="060472FA" w14:textId="77777777" w:rsidR="00927F06" w:rsidRPr="00E65655" w:rsidDel="007C1EAE" w:rsidRDefault="00927F06" w:rsidP="00853D4F">
            <w:pPr>
              <w:spacing w:before="120" w:after="120" w:line="290" w:lineRule="auto"/>
              <w:jc w:val="center"/>
              <w:rPr>
                <w:rFonts w:cs="Arial"/>
                <w:b/>
                <w:bCs/>
                <w:color w:val="000000"/>
                <w:kern w:val="20"/>
                <w:szCs w:val="20"/>
                <w:lang w:val="en-US"/>
              </w:rPr>
            </w:pPr>
            <w:r w:rsidRPr="00E65655" w:rsidDel="007C1EAE">
              <w:rPr>
                <w:rFonts w:cs="Arial"/>
                <w:b/>
                <w:szCs w:val="20"/>
              </w:rPr>
              <w:t>TimeReferenceOpening</w:t>
            </w:r>
          </w:p>
        </w:tc>
        <w:tc>
          <w:tcPr>
            <w:tcW w:w="6953" w:type="dxa"/>
          </w:tcPr>
          <w:p w14:paraId="73BB87B5" w14:textId="5DF553EE" w:rsidR="00927F06" w:rsidRPr="00E65655" w:rsidDel="007C1EAE" w:rsidRDefault="00927F06" w:rsidP="00853D4F">
            <w:pPr>
              <w:spacing w:before="120" w:after="120" w:line="290" w:lineRule="auto"/>
              <w:ind w:left="44"/>
              <w:jc w:val="both"/>
              <w:rPr>
                <w:rFonts w:cs="Arial"/>
                <w:color w:val="000000"/>
                <w:szCs w:val="20"/>
                <w:lang w:val="en-US"/>
              </w:rPr>
            </w:pPr>
            <w:r w:rsidRPr="00E65655" w:rsidDel="007C1EAE">
              <w:rPr>
                <w:szCs w:val="20"/>
                <w:lang w:val="en-US"/>
              </w:rPr>
              <w:t>means the scheduled opening time</w:t>
            </w:r>
            <w:r w:rsidR="00561092" w:rsidRPr="00E65655">
              <w:rPr>
                <w:szCs w:val="20"/>
                <w:lang w:val="en-US"/>
              </w:rPr>
              <w:t xml:space="preserve"> (including pre-opening session</w:t>
            </w:r>
            <w:r w:rsidR="007B6169" w:rsidRPr="00E65655">
              <w:rPr>
                <w:szCs w:val="20"/>
                <w:lang w:val="en-US"/>
              </w:rPr>
              <w:t xml:space="preserve"> or opening auction, as the case may be</w:t>
            </w:r>
            <w:r w:rsidR="00561092" w:rsidRPr="00E65655">
              <w:rPr>
                <w:szCs w:val="20"/>
                <w:lang w:val="en-US"/>
              </w:rPr>
              <w:t>)</w:t>
            </w:r>
            <w:r w:rsidRPr="00E65655" w:rsidDel="007C1EAE">
              <w:rPr>
                <w:szCs w:val="20"/>
                <w:lang w:val="en-US"/>
              </w:rPr>
              <w:t xml:space="preserve"> for the Relevant Stock Exchange for the </w:t>
            </w:r>
            <w:r w:rsidRPr="00E65655">
              <w:rPr>
                <w:szCs w:val="20"/>
                <w:lang w:val="en-US"/>
              </w:rPr>
              <w:t>Underlying Stock</w:t>
            </w:r>
            <w:r w:rsidRPr="00E65655" w:rsidDel="007C1EAE">
              <w:rPr>
                <w:szCs w:val="20"/>
                <w:lang w:val="en-US"/>
              </w:rPr>
              <w:t xml:space="preserve"> (or any successor thereto). </w:t>
            </w:r>
          </w:p>
        </w:tc>
      </w:tr>
      <w:tr w:rsidR="00927F06" w:rsidRPr="00E65655" w:rsidDel="007C1EAE" w14:paraId="67A5527A" w14:textId="77777777" w:rsidTr="00822438">
        <w:trPr>
          <w:jc w:val="center"/>
        </w:trPr>
        <w:tc>
          <w:tcPr>
            <w:tcW w:w="2605" w:type="dxa"/>
          </w:tcPr>
          <w:p w14:paraId="73169B10" w14:textId="77777777" w:rsidR="00927F06" w:rsidRPr="00E65655" w:rsidDel="007C1EAE" w:rsidRDefault="00927F06" w:rsidP="00853D4F">
            <w:pPr>
              <w:spacing w:before="120" w:after="120" w:line="290" w:lineRule="auto"/>
              <w:jc w:val="center"/>
              <w:rPr>
                <w:rFonts w:cs="Arial"/>
                <w:b/>
                <w:color w:val="000000"/>
                <w:kern w:val="20"/>
                <w:szCs w:val="20"/>
                <w:lang w:val="en-US"/>
              </w:rPr>
            </w:pPr>
            <w:r w:rsidRPr="00E65655" w:rsidDel="007C1EAE">
              <w:rPr>
                <w:rFonts w:cs="Arial"/>
                <w:b/>
                <w:szCs w:val="20"/>
              </w:rPr>
              <w:t>TimeReferenceClosing</w:t>
            </w:r>
          </w:p>
        </w:tc>
        <w:tc>
          <w:tcPr>
            <w:tcW w:w="6953" w:type="dxa"/>
          </w:tcPr>
          <w:p w14:paraId="45479ED6" w14:textId="70B13C6A" w:rsidR="00927F06" w:rsidRPr="00E65655" w:rsidDel="007C1EAE" w:rsidRDefault="00927F06" w:rsidP="00853D4F">
            <w:pPr>
              <w:pStyle w:val="ListParagraph"/>
              <w:spacing w:before="120" w:after="120" w:line="290" w:lineRule="auto"/>
              <w:ind w:left="44"/>
              <w:jc w:val="both"/>
              <w:rPr>
                <w:color w:val="000000"/>
                <w:szCs w:val="20"/>
                <w:lang w:val="en-US"/>
              </w:rPr>
            </w:pPr>
            <w:r w:rsidRPr="00E65655" w:rsidDel="007C1EAE">
              <w:rPr>
                <w:szCs w:val="20"/>
                <w:lang w:val="en-US"/>
              </w:rPr>
              <w:t xml:space="preserve">means the scheduled closing time </w:t>
            </w:r>
            <w:r w:rsidR="00F15CF4" w:rsidRPr="00E65655">
              <w:rPr>
                <w:szCs w:val="20"/>
                <w:lang w:val="en-US"/>
              </w:rPr>
              <w:t xml:space="preserve">(including closing auction session) </w:t>
            </w:r>
            <w:r w:rsidRPr="00E65655" w:rsidDel="007C1EAE">
              <w:rPr>
                <w:szCs w:val="20"/>
                <w:lang w:val="en-US"/>
              </w:rPr>
              <w:t xml:space="preserve">for </w:t>
            </w:r>
            <w:r w:rsidRPr="00E65655" w:rsidDel="007C1EAE">
              <w:rPr>
                <w:rFonts w:ascii="Helvetica" w:eastAsia="Calibri" w:hAnsi="Helvetica" w:cs="Helvetica"/>
                <w:szCs w:val="20"/>
                <w:lang w:val="en-US" w:eastAsia="it-IT"/>
              </w:rPr>
              <w:t xml:space="preserve">the Relevant Stock Exchange for the </w:t>
            </w:r>
            <w:r w:rsidRPr="00E65655">
              <w:rPr>
                <w:szCs w:val="20"/>
                <w:lang w:val="en-US"/>
              </w:rPr>
              <w:t>Underlying Stock</w:t>
            </w:r>
            <w:r w:rsidRPr="00E65655" w:rsidDel="007C1EAE">
              <w:rPr>
                <w:szCs w:val="20"/>
                <w:lang w:val="en-US"/>
              </w:rPr>
              <w:t xml:space="preserve"> (or any successor thereto).</w:t>
            </w:r>
          </w:p>
        </w:tc>
      </w:tr>
      <w:tr w:rsidR="00927F06" w:rsidRPr="00E65655" w:rsidDel="007C1EAE" w14:paraId="06C8F4C6" w14:textId="77777777" w:rsidTr="00822438">
        <w:trPr>
          <w:jc w:val="center"/>
        </w:trPr>
        <w:tc>
          <w:tcPr>
            <w:tcW w:w="2605" w:type="dxa"/>
          </w:tcPr>
          <w:p w14:paraId="4C5A1140" w14:textId="77777777" w:rsidR="00927F06" w:rsidRPr="00E65655" w:rsidDel="007C1EAE" w:rsidRDefault="00927F06" w:rsidP="00853D4F">
            <w:pPr>
              <w:spacing w:before="120" w:after="120" w:line="290" w:lineRule="auto"/>
              <w:jc w:val="center"/>
              <w:rPr>
                <w:rFonts w:cs="Arial"/>
                <w:b/>
                <w:color w:val="000000"/>
                <w:szCs w:val="20"/>
                <w:lang w:val="en-US"/>
              </w:rPr>
            </w:pPr>
            <w:r w:rsidRPr="00E65655" w:rsidDel="007C1EAE">
              <w:rPr>
                <w:rFonts w:cs="Arial"/>
                <w:b/>
                <w:color w:val="000000"/>
                <w:szCs w:val="20"/>
                <w:lang w:val="en-US"/>
              </w:rPr>
              <w:t>Intraday Restrike Event Observation Period</w:t>
            </w:r>
          </w:p>
        </w:tc>
        <w:tc>
          <w:tcPr>
            <w:tcW w:w="6953" w:type="dxa"/>
          </w:tcPr>
          <w:p w14:paraId="3654928D" w14:textId="103481E6" w:rsidR="00927F06" w:rsidRPr="00E65655" w:rsidDel="007C1EAE" w:rsidRDefault="00927F06" w:rsidP="00853D4F">
            <w:pPr>
              <w:autoSpaceDE w:val="0"/>
              <w:autoSpaceDN w:val="0"/>
              <w:adjustRightInd w:val="0"/>
              <w:spacing w:before="120" w:after="120" w:line="290" w:lineRule="auto"/>
              <w:jc w:val="both"/>
              <w:rPr>
                <w:rFonts w:ascii="Helvetica" w:eastAsia="Calibri" w:hAnsi="Helvetica" w:cs="Helvetica"/>
                <w:szCs w:val="20"/>
                <w:lang w:val="en-US" w:eastAsia="it-IT"/>
              </w:rPr>
            </w:pPr>
            <w:r w:rsidRPr="00E65655" w:rsidDel="007C1EAE">
              <w:rPr>
                <w:rFonts w:ascii="Helvetica" w:eastAsia="Calibri" w:hAnsi="Helvetica" w:cs="Helvetica"/>
                <w:szCs w:val="20"/>
                <w:lang w:val="en-US" w:eastAsia="it-IT"/>
              </w:rPr>
              <w:t xml:space="preserve">means in respect of an Intraday Restrike Event, the period starting on and excluding the Intraday Restrike Event Time and finishing on and including the sooner between (1) the time falling 15 minutes </w:t>
            </w:r>
            <w:r w:rsidR="007B6169" w:rsidRPr="00E65655">
              <w:rPr>
                <w:rFonts w:ascii="Helvetica" w:eastAsia="Calibri" w:hAnsi="Helvetica" w:cs="Helvetica"/>
                <w:szCs w:val="20"/>
                <w:lang w:val="en-US" w:eastAsia="it-IT"/>
              </w:rPr>
              <w:t xml:space="preserve">of continuous trading </w:t>
            </w:r>
            <w:r w:rsidRPr="00E65655" w:rsidDel="007C1EAE">
              <w:rPr>
                <w:rFonts w:ascii="Helvetica" w:eastAsia="Calibri" w:hAnsi="Helvetica" w:cs="Helvetica"/>
                <w:szCs w:val="20"/>
                <w:lang w:val="en-US" w:eastAsia="it-IT"/>
              </w:rPr>
              <w:t>after the Intraday Restrike Event Time and (2) the TimeReferenceClosing.</w:t>
            </w:r>
          </w:p>
          <w:p w14:paraId="6586FDF1" w14:textId="77777777" w:rsidR="00927F06" w:rsidRPr="00E65655" w:rsidDel="007C1EAE" w:rsidRDefault="00927F06" w:rsidP="00853D4F">
            <w:pPr>
              <w:spacing w:before="120" w:after="120" w:line="290" w:lineRule="auto"/>
              <w:jc w:val="both"/>
              <w:rPr>
                <w:rFonts w:cs="Arial"/>
                <w:color w:val="000000"/>
                <w:szCs w:val="20"/>
                <w:lang w:val="en-US"/>
              </w:rPr>
            </w:pPr>
            <w:r w:rsidRPr="00E65655" w:rsidDel="007C1EAE">
              <w:rPr>
                <w:rFonts w:ascii="Helvetica" w:eastAsia="Calibri" w:hAnsi="Helvetica" w:cs="Helvetica"/>
                <w:szCs w:val="20"/>
                <w:lang w:val="en-US" w:eastAsia="it-IT"/>
              </w:rPr>
              <w:lastRenderedPageBreak/>
              <w:t>Where, during such period, the Calculation Agent determines that (1) the</w:t>
            </w:r>
            <w:r w:rsidRPr="00E65655">
              <w:rPr>
                <w:rFonts w:ascii="Helvetica" w:eastAsia="Calibri" w:hAnsi="Helvetica" w:cs="Helvetica"/>
                <w:szCs w:val="20"/>
                <w:lang w:val="en-US" w:eastAsia="it-IT"/>
              </w:rPr>
              <w:t xml:space="preserve"> trading in the Underlying Stock is disrupted or subject to suspension or limitation </w:t>
            </w:r>
            <w:r w:rsidRPr="00E65655" w:rsidDel="007C1EAE">
              <w:rPr>
                <w:rFonts w:ascii="Helvetica" w:eastAsia="Calibri" w:hAnsi="Helvetica" w:cs="Helvetica"/>
                <w:szCs w:val="20"/>
                <w:lang w:val="en-US" w:eastAsia="it-IT"/>
              </w:rPr>
              <w:t xml:space="preserve">or (2) the Relevant Stock Exchange for the </w:t>
            </w:r>
            <w:r w:rsidRPr="00E65655">
              <w:rPr>
                <w:rFonts w:ascii="Helvetica" w:eastAsia="Calibri" w:hAnsi="Helvetica" w:cs="Helvetica"/>
                <w:szCs w:val="20"/>
                <w:lang w:val="en-US" w:eastAsia="it-IT"/>
              </w:rPr>
              <w:t>Underlying Stock</w:t>
            </w:r>
            <w:r w:rsidRPr="00E65655" w:rsidDel="007C1EAE">
              <w:rPr>
                <w:rFonts w:ascii="Helvetica" w:eastAsia="Calibri" w:hAnsi="Helvetica" w:cs="Helvetica"/>
                <w:szCs w:val="20"/>
                <w:lang w:val="en-US" w:eastAsia="it-IT"/>
              </w:rPr>
              <w:t xml:space="preserve"> is not op</w:t>
            </w:r>
            <w:r w:rsidRPr="00E65655">
              <w:rPr>
                <w:rFonts w:ascii="Helvetica" w:eastAsia="Calibri" w:hAnsi="Helvetica" w:cs="Helvetica"/>
                <w:szCs w:val="20"/>
                <w:lang w:val="en-US" w:eastAsia="it-IT"/>
              </w:rPr>
              <w:t>e</w:t>
            </w:r>
            <w:r w:rsidRPr="00E65655" w:rsidDel="007C1EAE">
              <w:rPr>
                <w:rFonts w:ascii="Helvetica" w:eastAsia="Calibri" w:hAnsi="Helvetica" w:cs="Helvetica"/>
                <w:szCs w:val="20"/>
                <w:lang w:val="en-US" w:eastAsia="it-IT"/>
              </w:rPr>
              <w:t>n for continuous trading, the Intraday Restrike Event Observation Period will be extended to the extent necessary until (1) the</w:t>
            </w:r>
            <w:r w:rsidRPr="00E65655">
              <w:rPr>
                <w:rFonts w:ascii="Helvetica" w:eastAsia="Calibri" w:hAnsi="Helvetica" w:cs="Helvetica"/>
                <w:szCs w:val="20"/>
                <w:lang w:val="en-US" w:eastAsia="it-IT"/>
              </w:rPr>
              <w:t xml:space="preserve"> trading in the Underlying Stock is no longer disrupted, suspended or limited</w:t>
            </w:r>
            <w:r w:rsidRPr="00E65655" w:rsidDel="007C1EAE">
              <w:rPr>
                <w:rFonts w:ascii="Helvetica" w:eastAsia="Calibri" w:hAnsi="Helvetica" w:cs="Helvetica"/>
                <w:szCs w:val="20"/>
                <w:lang w:val="en-US" w:eastAsia="it-IT"/>
              </w:rPr>
              <w:t xml:space="preserve"> and (2) the Relevant Stock Exchange for the </w:t>
            </w:r>
            <w:r w:rsidRPr="00E65655">
              <w:rPr>
                <w:rFonts w:ascii="Helvetica" w:eastAsia="Calibri" w:hAnsi="Helvetica" w:cs="Helvetica"/>
                <w:szCs w:val="20"/>
                <w:lang w:val="en-US" w:eastAsia="it-IT"/>
              </w:rPr>
              <w:t>Underlying Stock</w:t>
            </w:r>
            <w:r w:rsidRPr="00E65655" w:rsidDel="007C1EAE">
              <w:rPr>
                <w:rFonts w:ascii="Helvetica" w:eastAsia="Calibri" w:hAnsi="Helvetica" w:cs="Helvetica"/>
                <w:szCs w:val="20"/>
                <w:lang w:val="en-US" w:eastAsia="it-IT"/>
              </w:rPr>
              <w:t xml:space="preserve"> is open for continuous trading.</w:t>
            </w:r>
          </w:p>
        </w:tc>
      </w:tr>
      <w:tr w:rsidR="00927F06" w:rsidRPr="00E65655" w:rsidDel="007C1EAE" w14:paraId="0AE8F4B6" w14:textId="77777777" w:rsidTr="00822438">
        <w:trPr>
          <w:jc w:val="center"/>
        </w:trPr>
        <w:tc>
          <w:tcPr>
            <w:tcW w:w="2605" w:type="dxa"/>
          </w:tcPr>
          <w:p w14:paraId="66630AD2" w14:textId="77777777" w:rsidR="00927F06" w:rsidRPr="00E65655" w:rsidDel="007C1EAE" w:rsidRDefault="00927F06" w:rsidP="00853D4F">
            <w:pPr>
              <w:spacing w:before="120" w:after="120" w:line="290" w:lineRule="auto"/>
              <w:jc w:val="center"/>
              <w:rPr>
                <w:rFonts w:cs="Arial"/>
                <w:b/>
                <w:color w:val="000000"/>
                <w:szCs w:val="20"/>
                <w:lang w:val="en-US"/>
              </w:rPr>
            </w:pPr>
            <w:r w:rsidRPr="00E65655" w:rsidDel="007C1EAE">
              <w:rPr>
                <w:rFonts w:cs="Arial"/>
                <w:b/>
                <w:color w:val="000000"/>
                <w:szCs w:val="20"/>
                <w:lang w:val="en-US"/>
              </w:rPr>
              <w:lastRenderedPageBreak/>
              <w:t>Intraday Restrike Event Time</w:t>
            </w:r>
          </w:p>
        </w:tc>
        <w:tc>
          <w:tcPr>
            <w:tcW w:w="6953" w:type="dxa"/>
          </w:tcPr>
          <w:p w14:paraId="00A311A7" w14:textId="77777777" w:rsidR="00927F06" w:rsidRPr="00E65655" w:rsidDel="007C1EAE" w:rsidRDefault="00927F06" w:rsidP="00853D4F">
            <w:pPr>
              <w:pStyle w:val="ListParagraph"/>
              <w:spacing w:before="120" w:after="120" w:line="290" w:lineRule="auto"/>
              <w:ind w:left="0"/>
              <w:jc w:val="both"/>
              <w:rPr>
                <w:color w:val="000000"/>
                <w:szCs w:val="20"/>
                <w:lang w:val="en-US"/>
              </w:rPr>
            </w:pPr>
            <w:r w:rsidRPr="00E65655" w:rsidDel="007C1EAE">
              <w:rPr>
                <w:color w:val="000000"/>
                <w:szCs w:val="20"/>
                <w:lang w:val="en-US"/>
              </w:rPr>
              <w:t>means in respect of an Intraday Restrike Event, the Calculation Time on which such event occurs.</w:t>
            </w:r>
          </w:p>
        </w:tc>
      </w:tr>
    </w:tbl>
    <w:p w14:paraId="467D6817" w14:textId="5E3A4CDD" w:rsidR="00F766F7" w:rsidRPr="00E65655" w:rsidRDefault="005F450C" w:rsidP="00F766F7">
      <w:pPr>
        <w:widowControl w:val="0"/>
        <w:spacing w:after="140" w:line="290" w:lineRule="auto"/>
        <w:jc w:val="both"/>
        <w:rPr>
          <w:rFonts w:cs="Arial"/>
          <w:bCs/>
          <w:i/>
          <w:iCs/>
          <w:szCs w:val="20"/>
          <w:lang w:val="en-US"/>
        </w:rPr>
      </w:pPr>
      <w:r w:rsidRPr="00E65655">
        <w:rPr>
          <w:rFonts w:cs="Arial"/>
          <w:b/>
          <w:i/>
          <w:iCs/>
          <w:szCs w:val="20"/>
        </w:rPr>
        <w:br w:type="page"/>
      </w:r>
      <w:r w:rsidR="003B11EA" w:rsidRPr="00E65655">
        <w:rPr>
          <w:rFonts w:cs="Arial"/>
          <w:i/>
          <w:iCs/>
          <w:szCs w:val="20"/>
        </w:rPr>
        <w:lastRenderedPageBreak/>
        <w:t xml:space="preserve"> </w:t>
      </w:r>
      <w:r w:rsidR="00F766F7" w:rsidRPr="00E65655">
        <w:rPr>
          <w:rFonts w:cs="Arial"/>
          <w:i/>
          <w:iCs/>
          <w:szCs w:val="20"/>
        </w:rPr>
        <w:t xml:space="preserve">The Conditions set out in the section headed “Terms and Conditions of the European Style Cash Settled Long/Short Certificates on Single Equities” in the </w:t>
      </w:r>
      <w:r w:rsidR="00206AC4" w:rsidRPr="00E65655">
        <w:rPr>
          <w:rFonts w:cs="Arial"/>
          <w:i/>
          <w:iCs/>
          <w:szCs w:val="20"/>
        </w:rPr>
        <w:t xml:space="preserve">Base Listing Document </w:t>
      </w:r>
      <w:r w:rsidR="00F766F7" w:rsidRPr="00E65655">
        <w:rPr>
          <w:rFonts w:cs="Arial"/>
          <w:i/>
          <w:iCs/>
          <w:szCs w:val="20"/>
        </w:rPr>
        <w:t>are set out below. This section is qualified in its entirety by reference to the detailed information appearing elsewhere in this document which shall, to the extent so specified or to the extent inconsistent with the relevant Conditions set out below, replace or modify the relevant Conditions for the purpose of the Certificates.</w:t>
      </w:r>
    </w:p>
    <w:p w14:paraId="540F01B9" w14:textId="77777777" w:rsidR="00F766F7" w:rsidRPr="00E65655" w:rsidRDefault="00F766F7" w:rsidP="00F766F7">
      <w:pPr>
        <w:pStyle w:val="Heading4"/>
        <w:keepNext w:val="0"/>
        <w:spacing w:after="140" w:line="290" w:lineRule="auto"/>
        <w:rPr>
          <w:rFonts w:ascii="Arial" w:hAnsi="Arial" w:cs="Arial"/>
          <w:sz w:val="20"/>
          <w:szCs w:val="20"/>
        </w:rPr>
      </w:pPr>
    </w:p>
    <w:p w14:paraId="5EC203C0" w14:textId="77777777" w:rsidR="00F766F7" w:rsidRPr="00E65655" w:rsidRDefault="00F766F7" w:rsidP="00F766F7">
      <w:pPr>
        <w:pStyle w:val="Heading4"/>
        <w:keepNext w:val="0"/>
        <w:spacing w:after="140" w:line="290" w:lineRule="auto"/>
        <w:rPr>
          <w:rFonts w:ascii="Arial" w:hAnsi="Arial" w:cs="Arial"/>
          <w:sz w:val="20"/>
          <w:szCs w:val="20"/>
        </w:rPr>
      </w:pPr>
      <w:r w:rsidRPr="00E65655">
        <w:rPr>
          <w:rFonts w:ascii="Arial" w:hAnsi="Arial" w:cs="Arial"/>
          <w:sz w:val="20"/>
          <w:szCs w:val="20"/>
        </w:rPr>
        <w:t>TERMS AND CONDITIONS OF</w:t>
      </w:r>
    </w:p>
    <w:p w14:paraId="5416CC05" w14:textId="77777777" w:rsidR="00F766F7" w:rsidRPr="00E65655" w:rsidRDefault="00F766F7" w:rsidP="00F766F7">
      <w:pPr>
        <w:pStyle w:val="Heading4"/>
        <w:keepNext w:val="0"/>
        <w:spacing w:after="140" w:line="290" w:lineRule="auto"/>
        <w:rPr>
          <w:rFonts w:ascii="Arial" w:hAnsi="Arial" w:cs="Arial"/>
          <w:sz w:val="20"/>
          <w:szCs w:val="20"/>
        </w:rPr>
      </w:pPr>
      <w:bookmarkStart w:id="16" w:name="_DV_M266"/>
      <w:bookmarkEnd w:id="16"/>
      <w:r w:rsidRPr="00E65655">
        <w:rPr>
          <w:rFonts w:ascii="Arial" w:hAnsi="Arial" w:cs="Arial"/>
          <w:sz w:val="20"/>
          <w:szCs w:val="20"/>
        </w:rPr>
        <w:t>THE EUROPEAN STYLE CASH SETTLED LONG/SHORT CERTIFICATES</w:t>
      </w:r>
      <w:r w:rsidRPr="00E65655">
        <w:rPr>
          <w:rFonts w:ascii="Arial" w:hAnsi="Arial" w:cs="Arial" w:hint="eastAsia"/>
          <w:sz w:val="20"/>
          <w:szCs w:val="20"/>
        </w:rPr>
        <w:t xml:space="preserve"> </w:t>
      </w:r>
      <w:r w:rsidRPr="00E65655">
        <w:rPr>
          <w:rFonts w:ascii="Arial" w:hAnsi="Arial" w:cs="Arial"/>
          <w:sz w:val="20"/>
          <w:szCs w:val="20"/>
        </w:rPr>
        <w:t>ON SINGLE EQUITIES</w:t>
      </w:r>
    </w:p>
    <w:p w14:paraId="15C88A07" w14:textId="77777777" w:rsidR="00B756B4" w:rsidRPr="00E65655" w:rsidRDefault="00B756B4" w:rsidP="00B756B4">
      <w:pPr>
        <w:widowControl w:val="0"/>
        <w:spacing w:after="140" w:line="290" w:lineRule="auto"/>
        <w:jc w:val="both"/>
        <w:outlineLvl w:val="0"/>
        <w:rPr>
          <w:rFonts w:cs="Arial"/>
          <w:b/>
          <w:bCs/>
          <w:szCs w:val="20"/>
        </w:rPr>
      </w:pPr>
      <w:r w:rsidRPr="00E65655">
        <w:rPr>
          <w:rFonts w:cs="Arial"/>
          <w:b/>
          <w:bCs/>
          <w:szCs w:val="20"/>
        </w:rPr>
        <w:t>1.</w:t>
      </w:r>
      <w:r w:rsidRPr="00E65655">
        <w:rPr>
          <w:rFonts w:cs="Arial"/>
          <w:b/>
          <w:bCs/>
          <w:szCs w:val="20"/>
        </w:rPr>
        <w:tab/>
        <w:t>Form, Status and Guarantee, Transfer and Title</w:t>
      </w:r>
    </w:p>
    <w:p w14:paraId="4963FDF7"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17" w:name="_DV_M268"/>
      <w:bookmarkEnd w:id="17"/>
      <w:r w:rsidRPr="00E65655">
        <w:rPr>
          <w:rFonts w:ascii="Arial" w:hAnsi="Arial" w:cs="Arial"/>
        </w:rPr>
        <w:t>(a)</w:t>
      </w:r>
      <w:r w:rsidRPr="00E65655">
        <w:rPr>
          <w:rFonts w:ascii="Arial" w:hAnsi="Arial" w:cs="Arial"/>
        </w:rPr>
        <w:tab/>
      </w:r>
      <w:r w:rsidRPr="00E65655">
        <w:rPr>
          <w:rFonts w:ascii="Arial" w:hAnsi="Arial" w:cs="Arial"/>
          <w:i/>
          <w:iCs/>
        </w:rPr>
        <w:t>Form</w:t>
      </w:r>
      <w:r w:rsidRPr="00E65655">
        <w:rPr>
          <w:rFonts w:ascii="Arial" w:hAnsi="Arial" w:cs="Arial"/>
        </w:rPr>
        <w:t>. The Certificates (which expression shall, unless the context otherwise requires, include any further certificates issued pursuant to Condition 11) are issued subject to and with the benefit of: -</w:t>
      </w:r>
    </w:p>
    <w:p w14:paraId="1C12DB41" w14:textId="49E3D4E3" w:rsidR="00B756B4" w:rsidRPr="00E65655" w:rsidRDefault="00B756B4" w:rsidP="00B756B4">
      <w:pPr>
        <w:pStyle w:val="ABCD"/>
        <w:tabs>
          <w:tab w:val="clear" w:pos="1701"/>
        </w:tabs>
        <w:spacing w:after="140" w:line="290" w:lineRule="auto"/>
        <w:ind w:left="2160" w:hanging="720"/>
        <w:rPr>
          <w:rFonts w:ascii="Arial" w:hAnsi="Arial" w:cs="Arial"/>
        </w:rPr>
      </w:pPr>
      <w:bookmarkStart w:id="18" w:name="_DV_M269"/>
      <w:bookmarkEnd w:id="18"/>
      <w:r w:rsidRPr="00E65655">
        <w:rPr>
          <w:rFonts w:ascii="Arial" w:hAnsi="Arial" w:cs="Arial"/>
        </w:rPr>
        <w:t>(i)</w:t>
      </w:r>
      <w:r w:rsidRPr="00E65655">
        <w:rPr>
          <w:rFonts w:ascii="Arial" w:hAnsi="Arial" w:cs="Arial"/>
        </w:rPr>
        <w:tab/>
        <w:t>a master instrument by way of deed poll (the “</w:t>
      </w:r>
      <w:r w:rsidRPr="00E65655">
        <w:rPr>
          <w:rFonts w:ascii="Arial" w:hAnsi="Arial" w:cs="Arial"/>
          <w:b/>
        </w:rPr>
        <w:t>Master Instrument</w:t>
      </w:r>
      <w:r w:rsidRPr="00E65655">
        <w:rPr>
          <w:rFonts w:ascii="Arial" w:hAnsi="Arial" w:cs="Arial"/>
        </w:rPr>
        <w:t xml:space="preserve">”) dated </w:t>
      </w:r>
      <w:r w:rsidR="00E37576" w:rsidRPr="00E65655">
        <w:rPr>
          <w:rFonts w:ascii="Arial" w:hAnsi="Arial" w:cs="Arial"/>
        </w:rPr>
        <w:t>1</w:t>
      </w:r>
      <w:r w:rsidR="007F6676" w:rsidRPr="00E65655">
        <w:rPr>
          <w:rFonts w:ascii="Arial" w:hAnsi="Arial" w:cs="Arial"/>
        </w:rPr>
        <w:t>3</w:t>
      </w:r>
      <w:r w:rsidR="00E37576" w:rsidRPr="00E65655">
        <w:rPr>
          <w:rFonts w:ascii="Arial" w:hAnsi="Arial" w:cs="Arial"/>
        </w:rPr>
        <w:t xml:space="preserve"> June 202</w:t>
      </w:r>
      <w:r w:rsidR="007F6676" w:rsidRPr="00E65655">
        <w:rPr>
          <w:rFonts w:ascii="Arial" w:hAnsi="Arial" w:cs="Arial"/>
        </w:rPr>
        <w:t>5</w:t>
      </w:r>
      <w:r w:rsidRPr="00E65655">
        <w:rPr>
          <w:rFonts w:ascii="Arial" w:hAnsi="Arial" w:cs="Arial"/>
        </w:rPr>
        <w:t>, made by SG Issuer (the “</w:t>
      </w:r>
      <w:r w:rsidRPr="00E65655">
        <w:rPr>
          <w:rFonts w:ascii="Arial" w:hAnsi="Arial" w:cs="Arial"/>
          <w:b/>
        </w:rPr>
        <w:t>Issuer</w:t>
      </w:r>
      <w:r w:rsidRPr="00E65655">
        <w:rPr>
          <w:rFonts w:ascii="Arial" w:hAnsi="Arial" w:cs="Arial"/>
        </w:rPr>
        <w:t xml:space="preserve">”) and </w:t>
      </w:r>
      <w:r w:rsidR="007F6676" w:rsidRPr="00E65655">
        <w:rPr>
          <w:rFonts w:ascii="Arial" w:hAnsi="Arial" w:cs="Arial"/>
        </w:rPr>
        <w:t>Societe Generale</w:t>
      </w:r>
      <w:r w:rsidRPr="00E65655">
        <w:rPr>
          <w:rFonts w:ascii="Arial" w:hAnsi="Arial" w:cs="Arial"/>
        </w:rPr>
        <w:t xml:space="preserve"> (the “</w:t>
      </w:r>
      <w:r w:rsidRPr="00E65655">
        <w:rPr>
          <w:rFonts w:ascii="Arial" w:hAnsi="Arial" w:cs="Arial"/>
          <w:b/>
        </w:rPr>
        <w:t>Guarantor</w:t>
      </w:r>
      <w:r w:rsidRPr="00E65655">
        <w:rPr>
          <w:rFonts w:ascii="Arial" w:hAnsi="Arial" w:cs="Arial"/>
        </w:rPr>
        <w:t>”); and</w:t>
      </w:r>
    </w:p>
    <w:p w14:paraId="1A71FD05" w14:textId="77777777" w:rsidR="00B756B4" w:rsidRPr="00E65655" w:rsidRDefault="00B756B4" w:rsidP="00B756B4">
      <w:pPr>
        <w:pStyle w:val="ABCD"/>
        <w:tabs>
          <w:tab w:val="clear" w:pos="1701"/>
        </w:tabs>
        <w:spacing w:after="140" w:line="290" w:lineRule="auto"/>
        <w:ind w:left="2160" w:hanging="720"/>
        <w:rPr>
          <w:rFonts w:ascii="Arial" w:hAnsi="Arial" w:cs="Arial"/>
        </w:rPr>
      </w:pPr>
      <w:bookmarkStart w:id="19" w:name="_DV_M270"/>
      <w:bookmarkEnd w:id="19"/>
      <w:r w:rsidRPr="00E65655">
        <w:rPr>
          <w:rFonts w:ascii="Arial" w:hAnsi="Arial" w:cs="Arial"/>
        </w:rPr>
        <w:t>(ii)</w:t>
      </w:r>
      <w:r w:rsidRPr="00E65655">
        <w:rPr>
          <w:rFonts w:ascii="Arial" w:hAnsi="Arial" w:cs="Arial"/>
        </w:rPr>
        <w:tab/>
        <w:t>a warrant agent agreement (the “</w:t>
      </w:r>
      <w:r w:rsidRPr="00E65655">
        <w:rPr>
          <w:rFonts w:ascii="Arial" w:hAnsi="Arial" w:cs="Arial"/>
          <w:b/>
        </w:rPr>
        <w:t>Master Warrant Agent Agreement</w:t>
      </w:r>
      <w:r w:rsidRPr="00E65655">
        <w:rPr>
          <w:rFonts w:ascii="Arial" w:hAnsi="Arial" w:cs="Arial"/>
        </w:rPr>
        <w:t>” or “</w:t>
      </w:r>
      <w:r w:rsidRPr="00E65655">
        <w:rPr>
          <w:rFonts w:ascii="Arial" w:hAnsi="Arial" w:cs="Arial"/>
          <w:b/>
        </w:rPr>
        <w:t>Warrant Agent Agreement</w:t>
      </w:r>
      <w:r w:rsidRPr="00E65655">
        <w:rPr>
          <w:rFonts w:ascii="Arial" w:hAnsi="Arial" w:cs="Arial"/>
        </w:rPr>
        <w:t>”) dated any time before or on the Closing Date, made between the Issuer and the Warrant Agent for the Certificates.</w:t>
      </w:r>
    </w:p>
    <w:p w14:paraId="22046955" w14:textId="77777777" w:rsidR="00B756B4" w:rsidRPr="00E65655" w:rsidRDefault="00B756B4" w:rsidP="00B756B4">
      <w:pPr>
        <w:pStyle w:val="ABCD"/>
        <w:tabs>
          <w:tab w:val="clear" w:pos="1701"/>
        </w:tabs>
        <w:spacing w:after="140" w:line="290" w:lineRule="auto"/>
        <w:ind w:left="1440" w:firstLine="0"/>
        <w:rPr>
          <w:rFonts w:ascii="Arial" w:hAnsi="Arial" w:cs="Arial"/>
        </w:rPr>
      </w:pPr>
      <w:bookmarkStart w:id="20" w:name="_DV_M271"/>
      <w:bookmarkEnd w:id="20"/>
      <w:r w:rsidRPr="00E65655">
        <w:rPr>
          <w:rFonts w:ascii="Arial" w:hAnsi="Arial" w:cs="Arial"/>
        </w:rPr>
        <w:t>Copies of the Master Instrument and the Master Warrant Agent Agreement or Warrant Agent Agreement are available for inspection at the specified office of the Warrant Agent.</w:t>
      </w:r>
    </w:p>
    <w:p w14:paraId="1E49A46B" w14:textId="77777777" w:rsidR="00B756B4" w:rsidRPr="00E65655" w:rsidRDefault="00B756B4" w:rsidP="00B756B4">
      <w:pPr>
        <w:pStyle w:val="ABCD"/>
        <w:tabs>
          <w:tab w:val="clear" w:pos="1701"/>
        </w:tabs>
        <w:spacing w:after="140" w:line="290" w:lineRule="auto"/>
        <w:ind w:left="1440" w:firstLine="0"/>
        <w:rPr>
          <w:rFonts w:ascii="Arial" w:hAnsi="Arial" w:cs="Arial"/>
        </w:rPr>
      </w:pPr>
      <w:bookmarkStart w:id="21" w:name="_DV_M272"/>
      <w:bookmarkEnd w:id="21"/>
      <w:r w:rsidRPr="00E65655">
        <w:rPr>
          <w:rFonts w:ascii="Arial" w:hAnsi="Arial" w:cs="Arial"/>
        </w:rPr>
        <w:t>The holders of the Certificates (the “</w:t>
      </w:r>
      <w:r w:rsidRPr="00E65655">
        <w:rPr>
          <w:rFonts w:ascii="Arial" w:hAnsi="Arial" w:cs="Arial"/>
          <w:b/>
        </w:rPr>
        <w:t>Certificate Holders</w:t>
      </w:r>
      <w:r w:rsidRPr="00E65655">
        <w:rPr>
          <w:rFonts w:ascii="Arial" w:hAnsi="Arial" w:cs="Arial"/>
        </w:rPr>
        <w:t>”) are entitled to the benefit of, are bound by and are deemed to have notice of all the provisions of the Master Instrument and the Master Warrant Agent Agreement or Warrant Agent Agreement.</w:t>
      </w:r>
    </w:p>
    <w:p w14:paraId="0A355BBD" w14:textId="77777777" w:rsidR="00B756B4" w:rsidRPr="00E65655" w:rsidRDefault="00B756B4" w:rsidP="00B756B4">
      <w:pPr>
        <w:pStyle w:val="abcde"/>
        <w:tabs>
          <w:tab w:val="clear" w:pos="1276"/>
        </w:tabs>
        <w:spacing w:after="140" w:line="290" w:lineRule="auto"/>
        <w:ind w:left="1440" w:hanging="725"/>
        <w:rPr>
          <w:rFonts w:ascii="Arial" w:hAnsi="Arial" w:cs="Arial"/>
        </w:rPr>
      </w:pPr>
      <w:bookmarkStart w:id="22" w:name="_DV_M273"/>
      <w:bookmarkEnd w:id="22"/>
      <w:r w:rsidRPr="00E65655">
        <w:rPr>
          <w:rFonts w:ascii="Arial" w:hAnsi="Arial" w:cs="Arial"/>
        </w:rPr>
        <w:t>(b)</w:t>
      </w:r>
      <w:r w:rsidRPr="00E65655">
        <w:rPr>
          <w:rFonts w:ascii="Arial" w:hAnsi="Arial" w:cs="Arial"/>
        </w:rPr>
        <w:tab/>
      </w:r>
      <w:r w:rsidRPr="00E65655">
        <w:rPr>
          <w:rFonts w:ascii="Arial" w:hAnsi="Arial" w:cs="Arial"/>
          <w:i/>
          <w:iCs/>
        </w:rPr>
        <w:t>Status and Guarantee</w:t>
      </w:r>
      <w:r w:rsidRPr="00E65655">
        <w:rPr>
          <w:rFonts w:ascii="Arial" w:hAnsi="Arial" w:cs="Arial"/>
        </w:rPr>
        <w:t xml:space="preserve">. The Certificates constitute direct, general and unsecured obligations of the Issuer and rank, and will rank, equally among themselves and </w:t>
      </w:r>
      <w:r w:rsidRPr="00E65655">
        <w:rPr>
          <w:rFonts w:ascii="Arial" w:hAnsi="Arial" w:cs="Arial"/>
          <w:i/>
          <w:iCs/>
        </w:rPr>
        <w:t>pari passu</w:t>
      </w:r>
      <w:r w:rsidRPr="00E65655">
        <w:rPr>
          <w:rFonts w:ascii="Arial" w:hAnsi="Arial" w:cs="Arial"/>
        </w:rPr>
        <w:t xml:space="preserve"> with all other present and future unsecured and unsubordinated obligations of the Issuer (save for statutorily preferred exceptions). The Certificates provide for cash settlement on exercise. The Certificates do not entitle Certificate Holders to the delivery of any Underlying Stock, are not secured by the Underlying Stock and do not entitle Certificate Holders to any interest in any Underlying Stock.</w:t>
      </w:r>
    </w:p>
    <w:p w14:paraId="3C0D2459" w14:textId="77777777" w:rsidR="00B756B4" w:rsidRPr="00E65655" w:rsidRDefault="00B756B4" w:rsidP="00B756B4">
      <w:pPr>
        <w:pStyle w:val="abcde"/>
        <w:tabs>
          <w:tab w:val="clear" w:pos="1276"/>
        </w:tabs>
        <w:spacing w:after="140" w:line="290" w:lineRule="auto"/>
        <w:ind w:left="1440" w:firstLine="0"/>
        <w:rPr>
          <w:rFonts w:ascii="Arial" w:eastAsia="Times New Roman" w:hAnsi="Arial" w:cs="Arial"/>
        </w:rPr>
      </w:pPr>
      <w:bookmarkStart w:id="23" w:name="_DV_M274"/>
      <w:bookmarkStart w:id="24" w:name="_DV_M275"/>
      <w:bookmarkEnd w:id="23"/>
      <w:bookmarkEnd w:id="24"/>
      <w:r w:rsidRPr="00E65655">
        <w:rPr>
          <w:rFonts w:ascii="Arial" w:eastAsia="Times New Roman" w:hAnsi="Arial" w:cs="Arial"/>
        </w:rPr>
        <w:t>The due and punctual payment of any amounts due by the Issuer in respect of the Certificates issued by the Issuer is unconditionally and irrevocably guaranteed by the Guarantor as provided in the Guarantee (each such amount payable under the Guarantee, a “</w:t>
      </w:r>
      <w:r w:rsidRPr="00E65655">
        <w:rPr>
          <w:rFonts w:ascii="Arial" w:eastAsia="Times New Roman" w:hAnsi="Arial" w:cs="Arial"/>
          <w:b/>
        </w:rPr>
        <w:t>Guarantee Obligation</w:t>
      </w:r>
      <w:r w:rsidRPr="00E65655">
        <w:rPr>
          <w:rFonts w:ascii="Arial" w:eastAsia="Times New Roman" w:hAnsi="Arial" w:cs="Arial"/>
        </w:rPr>
        <w:t>”).</w:t>
      </w:r>
    </w:p>
    <w:p w14:paraId="5F383722" w14:textId="77777777" w:rsidR="00B756B4" w:rsidRPr="00E65655" w:rsidRDefault="00B756B4" w:rsidP="00B756B4">
      <w:pPr>
        <w:pStyle w:val="abcde"/>
        <w:tabs>
          <w:tab w:val="clear" w:pos="1276"/>
        </w:tabs>
        <w:spacing w:after="140" w:line="290" w:lineRule="auto"/>
        <w:ind w:left="1440" w:firstLine="0"/>
        <w:rPr>
          <w:rFonts w:ascii="Arial" w:eastAsia="Times New Roman" w:hAnsi="Arial" w:cs="Arial"/>
        </w:rPr>
      </w:pPr>
      <w:r w:rsidRPr="00E65655">
        <w:rPr>
          <w:rFonts w:ascii="Arial" w:eastAsia="Times New Roman" w:hAnsi="Arial" w:cs="Arial"/>
        </w:rPr>
        <w:t xml:space="preserve">The Guarantee Obligations will constitute direct, unconditional, unsecured and unsubordinated obligations of the Guarantor ranking as senior preferred obligations as provided for in Article L. 613-30-3 I 3° of the French Code </w:t>
      </w:r>
      <w:r w:rsidRPr="00E65655">
        <w:rPr>
          <w:rFonts w:ascii="Arial" w:eastAsia="Times New Roman" w:hAnsi="Arial" w:cs="Arial"/>
          <w:i/>
        </w:rPr>
        <w:t>Monétaire et Financier</w:t>
      </w:r>
      <w:r w:rsidRPr="00E65655">
        <w:rPr>
          <w:rFonts w:ascii="Arial" w:eastAsia="Times New Roman" w:hAnsi="Arial" w:cs="Arial"/>
        </w:rPr>
        <w:t xml:space="preserve"> (the “</w:t>
      </w:r>
      <w:r w:rsidRPr="00E65655">
        <w:rPr>
          <w:rFonts w:ascii="Arial" w:eastAsia="Times New Roman" w:hAnsi="Arial" w:cs="Arial"/>
          <w:b/>
        </w:rPr>
        <w:t>Code</w:t>
      </w:r>
      <w:r w:rsidRPr="00E65655">
        <w:rPr>
          <w:rFonts w:ascii="Arial" w:eastAsia="Times New Roman" w:hAnsi="Arial" w:cs="Arial"/>
        </w:rPr>
        <w:t>”).</w:t>
      </w:r>
    </w:p>
    <w:p w14:paraId="0AA7F42A" w14:textId="77777777" w:rsidR="00B756B4" w:rsidRPr="00E65655" w:rsidRDefault="00B756B4" w:rsidP="00B756B4">
      <w:pPr>
        <w:pStyle w:val="abcde"/>
        <w:tabs>
          <w:tab w:val="clear" w:pos="1276"/>
        </w:tabs>
        <w:spacing w:after="140" w:line="290" w:lineRule="auto"/>
        <w:ind w:left="1440" w:firstLine="0"/>
        <w:rPr>
          <w:rFonts w:ascii="Arial" w:eastAsia="Times New Roman" w:hAnsi="Arial" w:cs="Arial"/>
        </w:rPr>
      </w:pPr>
      <w:r w:rsidRPr="00E65655">
        <w:rPr>
          <w:rFonts w:ascii="Arial" w:eastAsia="Times New Roman" w:hAnsi="Arial" w:cs="Arial"/>
        </w:rPr>
        <w:t>Such Guarantee Obligations rank and will rank equally and rateably without any preference or priority among themselves and:</w:t>
      </w:r>
    </w:p>
    <w:p w14:paraId="684E9671" w14:textId="77777777" w:rsidR="00B756B4" w:rsidRPr="00E65655" w:rsidRDefault="00B756B4">
      <w:pPr>
        <w:pStyle w:val="abcde"/>
        <w:widowControl/>
        <w:numPr>
          <w:ilvl w:val="0"/>
          <w:numId w:val="25"/>
        </w:numPr>
        <w:tabs>
          <w:tab w:val="clear" w:pos="1276"/>
        </w:tabs>
        <w:spacing w:after="140" w:line="290" w:lineRule="auto"/>
        <w:ind w:left="2160"/>
        <w:rPr>
          <w:rFonts w:ascii="Arial" w:eastAsia="Times New Roman" w:hAnsi="Arial" w:cs="Arial"/>
        </w:rPr>
      </w:pPr>
      <w:r w:rsidRPr="00E65655">
        <w:rPr>
          <w:rFonts w:ascii="Arial" w:eastAsia="Times New Roman" w:hAnsi="Arial" w:cs="Arial"/>
          <w:i/>
        </w:rPr>
        <w:lastRenderedPageBreak/>
        <w:t>pari passu</w:t>
      </w:r>
      <w:r w:rsidRPr="00E65655">
        <w:rPr>
          <w:rFonts w:ascii="Arial" w:eastAsia="Times New Roman" w:hAnsi="Arial" w:cs="Arial"/>
        </w:rPr>
        <w:t xml:space="preserve"> with all other direct, unconditional, unsecured and unsubordinated obligations of the Guarantor outstanding as of the date of the entry into force of the law no. 2016-1691 (the “</w:t>
      </w:r>
      <w:r w:rsidRPr="00E65655">
        <w:rPr>
          <w:rFonts w:ascii="Arial" w:eastAsia="Times New Roman" w:hAnsi="Arial" w:cs="Arial"/>
          <w:b/>
        </w:rPr>
        <w:t>Law</w:t>
      </w:r>
      <w:r w:rsidRPr="00E65655">
        <w:rPr>
          <w:rFonts w:ascii="Arial" w:eastAsia="Times New Roman" w:hAnsi="Arial" w:cs="Arial"/>
        </w:rPr>
        <w:t xml:space="preserve">”) on 11 December </w:t>
      </w:r>
      <w:proofErr w:type="gramStart"/>
      <w:r w:rsidRPr="00E65655">
        <w:rPr>
          <w:rFonts w:ascii="Arial" w:eastAsia="Times New Roman" w:hAnsi="Arial" w:cs="Arial"/>
        </w:rPr>
        <w:t>2016;</w:t>
      </w:r>
      <w:proofErr w:type="gramEnd"/>
    </w:p>
    <w:p w14:paraId="29EE6D2E" w14:textId="77777777" w:rsidR="00B756B4" w:rsidRPr="00E65655" w:rsidRDefault="00B756B4">
      <w:pPr>
        <w:pStyle w:val="abcde"/>
        <w:numPr>
          <w:ilvl w:val="0"/>
          <w:numId w:val="25"/>
        </w:numPr>
        <w:tabs>
          <w:tab w:val="clear" w:pos="1276"/>
        </w:tabs>
        <w:spacing w:after="140" w:line="290" w:lineRule="auto"/>
        <w:ind w:left="2160"/>
        <w:rPr>
          <w:rFonts w:ascii="Arial" w:eastAsia="Times New Roman" w:hAnsi="Arial" w:cs="Arial"/>
        </w:rPr>
      </w:pPr>
      <w:r w:rsidRPr="00E65655">
        <w:rPr>
          <w:rFonts w:ascii="Arial" w:eastAsia="Times New Roman" w:hAnsi="Arial" w:cs="Arial"/>
          <w:i/>
        </w:rPr>
        <w:t>pari passu</w:t>
      </w:r>
      <w:r w:rsidRPr="00E65655">
        <w:rPr>
          <w:rFonts w:ascii="Arial" w:eastAsia="Times New Roman" w:hAnsi="Arial" w:cs="Arial"/>
        </w:rPr>
        <w:t xml:space="preserve"> with all other present or future direct, unconditional, unsecured and senior preferred obligations (as provided for in Article L. 613-30-3 I 3° of the Code) of the Guarantor issued after the date of the entry into force of the Law on 11 December </w:t>
      </w:r>
      <w:proofErr w:type="gramStart"/>
      <w:r w:rsidRPr="00E65655">
        <w:rPr>
          <w:rFonts w:ascii="Arial" w:eastAsia="Times New Roman" w:hAnsi="Arial" w:cs="Arial"/>
        </w:rPr>
        <w:t>2016;</w:t>
      </w:r>
      <w:proofErr w:type="gramEnd"/>
    </w:p>
    <w:p w14:paraId="3ADF486A" w14:textId="77777777" w:rsidR="00B756B4" w:rsidRPr="00E65655" w:rsidRDefault="00B756B4">
      <w:pPr>
        <w:pStyle w:val="abcde"/>
        <w:numPr>
          <w:ilvl w:val="0"/>
          <w:numId w:val="25"/>
        </w:numPr>
        <w:tabs>
          <w:tab w:val="clear" w:pos="1276"/>
        </w:tabs>
        <w:spacing w:after="140" w:line="290" w:lineRule="auto"/>
        <w:ind w:left="2160"/>
        <w:rPr>
          <w:rFonts w:ascii="Arial" w:eastAsia="Times New Roman" w:hAnsi="Arial" w:cs="Arial"/>
        </w:rPr>
      </w:pPr>
      <w:r w:rsidRPr="00E65655">
        <w:rPr>
          <w:rFonts w:ascii="Arial" w:eastAsia="Times New Roman" w:hAnsi="Arial" w:cs="Arial"/>
        </w:rPr>
        <w:t>junior to all present or future claims of the Guarantor benefiting from the statutorily preferred exceptions; and</w:t>
      </w:r>
    </w:p>
    <w:p w14:paraId="22E9E805" w14:textId="77777777" w:rsidR="00B756B4" w:rsidRPr="00E65655" w:rsidRDefault="00B756B4">
      <w:pPr>
        <w:pStyle w:val="abcde"/>
        <w:numPr>
          <w:ilvl w:val="0"/>
          <w:numId w:val="25"/>
        </w:numPr>
        <w:tabs>
          <w:tab w:val="clear" w:pos="1276"/>
        </w:tabs>
        <w:spacing w:after="140" w:line="290" w:lineRule="auto"/>
        <w:ind w:left="2160"/>
        <w:rPr>
          <w:rFonts w:ascii="Arial" w:hAnsi="Arial" w:cs="Arial"/>
        </w:rPr>
      </w:pPr>
      <w:r w:rsidRPr="00E65655">
        <w:rPr>
          <w:rFonts w:ascii="Arial" w:eastAsia="Times New Roman" w:hAnsi="Arial" w:cs="Arial"/>
        </w:rPr>
        <w:t>senior to all present and future senior non-preferred obligations (as provided for in Article L.613-30-3 I 4° of the Code) of the Guarantor</w:t>
      </w:r>
      <w:r w:rsidRPr="00E65655">
        <w:rPr>
          <w:rFonts w:ascii="Arial" w:hAnsi="Arial" w:cs="Arial"/>
        </w:rPr>
        <w:t>.</w:t>
      </w:r>
    </w:p>
    <w:p w14:paraId="0276D5AC" w14:textId="75E85168" w:rsidR="00B756B4" w:rsidRPr="00E65655" w:rsidRDefault="00B756B4" w:rsidP="00B756B4">
      <w:pPr>
        <w:pStyle w:val="abcde"/>
        <w:tabs>
          <w:tab w:val="clear" w:pos="1276"/>
        </w:tabs>
        <w:spacing w:after="140" w:line="290" w:lineRule="auto"/>
        <w:ind w:left="1440" w:firstLine="0"/>
        <w:rPr>
          <w:rFonts w:ascii="Arial" w:hAnsi="Arial" w:cs="Arial"/>
        </w:rPr>
      </w:pPr>
      <w:r w:rsidRPr="00E65655">
        <w:rPr>
          <w:rFonts w:ascii="Arial" w:hAnsi="Arial" w:cs="Arial"/>
        </w:rPr>
        <w:t xml:space="preserve">In the event of the failure of the Issuer to promptly perform its obligations to any Certificate Holder under the terms of the Certificates, such Certificate Holder may, but is not obliged to, give written notice to the Guarantor at </w:t>
      </w:r>
      <w:r w:rsidR="007F6676" w:rsidRPr="00E65655">
        <w:rPr>
          <w:rFonts w:ascii="Arial" w:hAnsi="Arial" w:cs="Arial"/>
        </w:rPr>
        <w:t>Societe Generale</w:t>
      </w:r>
      <w:r w:rsidRPr="00E65655">
        <w:rPr>
          <w:rFonts w:ascii="Arial" w:hAnsi="Arial" w:cs="Arial"/>
        </w:rPr>
        <w:t xml:space="preserve">, Tour </w:t>
      </w:r>
      <w:r w:rsidR="007F6676" w:rsidRPr="00E65655">
        <w:rPr>
          <w:rFonts w:ascii="Arial" w:hAnsi="Arial" w:cs="Arial"/>
        </w:rPr>
        <w:t>Societe Generale</w:t>
      </w:r>
      <w:r w:rsidRPr="00E65655">
        <w:rPr>
          <w:rFonts w:ascii="Arial" w:hAnsi="Arial" w:cs="Arial"/>
        </w:rPr>
        <w:t>, 75886 Paris Cedex 18, France marked for the attention of SEGL/JUR/OMF - Market Transactions &amp; Financing.</w:t>
      </w:r>
    </w:p>
    <w:p w14:paraId="23EFD066"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25" w:name="_DV_M276"/>
      <w:bookmarkEnd w:id="25"/>
      <w:r w:rsidRPr="00E65655">
        <w:rPr>
          <w:rFonts w:ascii="Arial" w:hAnsi="Arial" w:cs="Arial"/>
        </w:rPr>
        <w:t>(c)</w:t>
      </w:r>
      <w:r w:rsidRPr="00E65655">
        <w:rPr>
          <w:rFonts w:ascii="Arial" w:hAnsi="Arial" w:cs="Arial"/>
        </w:rPr>
        <w:tab/>
      </w:r>
      <w:r w:rsidRPr="00E65655">
        <w:rPr>
          <w:rFonts w:ascii="Arial" w:hAnsi="Arial" w:cs="Arial"/>
          <w:iCs/>
        </w:rPr>
        <w:t>Transfer</w:t>
      </w:r>
      <w:r w:rsidRPr="00E65655">
        <w:rPr>
          <w:rFonts w:ascii="Arial" w:hAnsi="Arial" w:cs="Arial"/>
        </w:rPr>
        <w:t>. The Certificates are represented by a global warrant certificate (“</w:t>
      </w:r>
      <w:r w:rsidRPr="00E65655">
        <w:rPr>
          <w:rFonts w:ascii="Arial" w:hAnsi="Arial" w:cs="Arial"/>
          <w:b/>
        </w:rPr>
        <w:t>Global Warrant</w:t>
      </w:r>
      <w:r w:rsidRPr="00E65655">
        <w:rPr>
          <w:rFonts w:ascii="Arial" w:hAnsi="Arial" w:cs="Arial"/>
        </w:rPr>
        <w:t>”) which will be deposited with The Central Depository (Pte) Limited (“</w:t>
      </w:r>
      <w:r w:rsidRPr="00E65655">
        <w:rPr>
          <w:rFonts w:ascii="Arial" w:hAnsi="Arial" w:cs="Arial"/>
          <w:b/>
        </w:rPr>
        <w:t>CDP</w:t>
      </w:r>
      <w:r w:rsidRPr="00E65655">
        <w:rPr>
          <w:rFonts w:ascii="Arial" w:hAnsi="Arial" w:cs="Arial"/>
        </w:rPr>
        <w:t xml:space="preserve">”). Certificates in definitive form will not be issued. Transfers of Certificates may be </w:t>
      </w:r>
      <w:proofErr w:type="gramStart"/>
      <w:r w:rsidRPr="00E65655">
        <w:rPr>
          <w:rFonts w:ascii="Arial" w:hAnsi="Arial" w:cs="Arial"/>
        </w:rPr>
        <w:t>effected</w:t>
      </w:r>
      <w:proofErr w:type="gramEnd"/>
      <w:r w:rsidRPr="00E65655">
        <w:rPr>
          <w:rFonts w:ascii="Arial" w:hAnsi="Arial" w:cs="Arial"/>
        </w:rPr>
        <w:t xml:space="preserve"> only in Board Lots or integral multiples thereof. All transactions in (including transfers of) Certificates, in the open market or otherwise, must be </w:t>
      </w:r>
      <w:proofErr w:type="gramStart"/>
      <w:r w:rsidRPr="00E65655">
        <w:rPr>
          <w:rFonts w:ascii="Arial" w:hAnsi="Arial" w:cs="Arial"/>
        </w:rPr>
        <w:t>effected</w:t>
      </w:r>
      <w:proofErr w:type="gramEnd"/>
      <w:r w:rsidRPr="00E65655">
        <w:rPr>
          <w:rFonts w:ascii="Arial" w:hAnsi="Arial" w:cs="Arial"/>
        </w:rPr>
        <w:t xml:space="preserve"> through a securities account with CDP. Title will pass upon registration of the transfer in the records maintained by CDP.</w:t>
      </w:r>
    </w:p>
    <w:p w14:paraId="421A9347"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26" w:name="_DV_M277"/>
      <w:bookmarkEnd w:id="26"/>
      <w:r w:rsidRPr="00E65655">
        <w:rPr>
          <w:rFonts w:ascii="Arial" w:hAnsi="Arial" w:cs="Arial"/>
        </w:rPr>
        <w:t>(d)</w:t>
      </w:r>
      <w:r w:rsidRPr="00E65655">
        <w:rPr>
          <w:rFonts w:ascii="Arial" w:hAnsi="Arial" w:cs="Arial"/>
        </w:rPr>
        <w:tab/>
      </w:r>
      <w:r w:rsidRPr="00E65655">
        <w:rPr>
          <w:rFonts w:ascii="Arial" w:hAnsi="Arial" w:cs="Arial"/>
          <w:i/>
          <w:iCs/>
        </w:rPr>
        <w:t>Title</w:t>
      </w:r>
      <w:r w:rsidRPr="00E65655">
        <w:rPr>
          <w:rFonts w:ascii="Arial" w:hAnsi="Arial" w:cs="Arial"/>
        </w:rPr>
        <w:t>. Each person who is for the time being shown in the records maintained by CDP as entitled to a particular number of Certificates shall be treated by the Issuer, the Guarantor and the Warrant Agent as the holder and absolute owner of such number of Certificates, notwithstanding any notice to the contrary. The expression “</w:t>
      </w:r>
      <w:r w:rsidRPr="00E65655">
        <w:rPr>
          <w:rFonts w:ascii="Arial" w:hAnsi="Arial" w:cs="Arial"/>
          <w:b/>
        </w:rPr>
        <w:t>Certificate Holder</w:t>
      </w:r>
      <w:r w:rsidRPr="00E65655">
        <w:rPr>
          <w:rFonts w:ascii="Arial" w:hAnsi="Arial" w:cs="Arial"/>
        </w:rPr>
        <w:t>” shall be construed accordingly.</w:t>
      </w:r>
    </w:p>
    <w:p w14:paraId="1090DA72" w14:textId="77777777" w:rsidR="00B756B4" w:rsidRPr="00E65655" w:rsidRDefault="00B756B4" w:rsidP="00B756B4">
      <w:pPr>
        <w:pStyle w:val="abcde"/>
        <w:tabs>
          <w:tab w:val="clear" w:pos="1276"/>
        </w:tabs>
        <w:spacing w:after="140" w:line="290" w:lineRule="auto"/>
        <w:ind w:left="1440" w:hanging="720"/>
        <w:rPr>
          <w:rFonts w:ascii="Arial" w:hAnsi="Arial" w:cs="Arial"/>
        </w:rPr>
      </w:pPr>
      <w:r w:rsidRPr="00E65655">
        <w:rPr>
          <w:rFonts w:ascii="Arial" w:hAnsi="Arial" w:cs="Arial"/>
        </w:rPr>
        <w:t>(e)</w:t>
      </w:r>
      <w:r w:rsidRPr="00E65655">
        <w:rPr>
          <w:rFonts w:ascii="Arial" w:hAnsi="Arial" w:cs="Arial"/>
        </w:rPr>
        <w:tab/>
      </w:r>
      <w:r w:rsidRPr="00E65655">
        <w:rPr>
          <w:rFonts w:ascii="Arial" w:hAnsi="Arial" w:cs="Arial"/>
          <w:i/>
          <w:iCs/>
        </w:rPr>
        <w:t>Bail-In</w:t>
      </w:r>
      <w:r w:rsidRPr="00E65655">
        <w:rPr>
          <w:rFonts w:ascii="Arial" w:hAnsi="Arial" w:cs="Arial"/>
        </w:rPr>
        <w:t>. By the acquisition of Certificates, each Certificate Holder (which, for the purposes of this Condition, includes any current or future holder of a beneficial interest in the Certificates) acknowledges, accepts, consents and agrees:</w:t>
      </w:r>
    </w:p>
    <w:p w14:paraId="2018FE1D" w14:textId="77777777" w:rsidR="00B756B4" w:rsidRPr="00E65655" w:rsidRDefault="00B756B4" w:rsidP="00B756B4">
      <w:pPr>
        <w:pStyle w:val="ABCD"/>
        <w:tabs>
          <w:tab w:val="clear" w:pos="1701"/>
        </w:tabs>
        <w:spacing w:after="140" w:line="290" w:lineRule="auto"/>
        <w:ind w:left="2160" w:hanging="720"/>
        <w:rPr>
          <w:rFonts w:ascii="Arial" w:hAnsi="Arial" w:cs="Arial"/>
        </w:rPr>
      </w:pPr>
      <w:r w:rsidRPr="00E65655">
        <w:rPr>
          <w:rFonts w:ascii="Arial" w:hAnsi="Arial" w:cs="Arial"/>
        </w:rPr>
        <w:t>(i)</w:t>
      </w:r>
      <w:r w:rsidRPr="00E65655">
        <w:rPr>
          <w:rFonts w:ascii="Arial" w:hAnsi="Arial" w:cs="Arial"/>
        </w:rPr>
        <w:tab/>
        <w:t>to be bound by the effect of the exercise of the Bail-In Power (as defined below) by the Relevant Resolution Authority (as defined below) on the Issuer’s liabilities under the Certificates, which may include and result in any of the following, or some combination thereof:</w:t>
      </w:r>
    </w:p>
    <w:p w14:paraId="79D968F0" w14:textId="77777777" w:rsidR="00B756B4" w:rsidRPr="00E65655" w:rsidRDefault="00B756B4">
      <w:pPr>
        <w:pStyle w:val="ABCD"/>
        <w:numPr>
          <w:ilvl w:val="0"/>
          <w:numId w:val="24"/>
        </w:numPr>
        <w:tabs>
          <w:tab w:val="clear" w:pos="1701"/>
        </w:tabs>
        <w:spacing w:after="140" w:line="290" w:lineRule="auto"/>
        <w:ind w:left="2880" w:hanging="720"/>
        <w:rPr>
          <w:rFonts w:ascii="Arial" w:hAnsi="Arial" w:cs="Arial"/>
        </w:rPr>
      </w:pPr>
      <w:r w:rsidRPr="00E65655">
        <w:rPr>
          <w:rFonts w:ascii="Arial" w:hAnsi="Arial" w:cs="Arial"/>
        </w:rPr>
        <w:t xml:space="preserve">the reduction of all, or a portion, of the Amounts Due (as defined below), on a permanent </w:t>
      </w:r>
      <w:proofErr w:type="gramStart"/>
      <w:r w:rsidRPr="00E65655">
        <w:rPr>
          <w:rFonts w:ascii="Arial" w:hAnsi="Arial" w:cs="Arial"/>
        </w:rPr>
        <w:t>basis;</w:t>
      </w:r>
      <w:proofErr w:type="gramEnd"/>
    </w:p>
    <w:p w14:paraId="249BA731" w14:textId="77777777" w:rsidR="00B756B4" w:rsidRPr="00E65655" w:rsidRDefault="00B756B4">
      <w:pPr>
        <w:pStyle w:val="ABCD"/>
        <w:numPr>
          <w:ilvl w:val="0"/>
          <w:numId w:val="24"/>
        </w:numPr>
        <w:tabs>
          <w:tab w:val="clear" w:pos="1701"/>
        </w:tabs>
        <w:spacing w:after="140" w:line="290" w:lineRule="auto"/>
        <w:ind w:left="2880" w:hanging="720"/>
        <w:rPr>
          <w:rFonts w:ascii="Arial" w:hAnsi="Arial" w:cs="Arial"/>
        </w:rPr>
      </w:pPr>
      <w:r w:rsidRPr="00E65655">
        <w:rPr>
          <w:rFonts w:ascii="Arial" w:hAnsi="Arial" w:cs="Arial"/>
        </w:rPr>
        <w:t>the conversion of all, or a portion, of the Amounts Due into shares, other securities or other obligations of the Issuer  or the Guarantor or another person (and the issue to the Certificate Holder of such shares, securities or obligations), including by means of an amendment, modification or variation of the Conditions of the Certificates, in which case the Certificate Holder agrees to accept in lieu of its rights under the Certificates any such shares, other securities or other obligations of the Issuer or the Guarantor or another person;</w:t>
      </w:r>
    </w:p>
    <w:p w14:paraId="0269BAC7" w14:textId="77777777" w:rsidR="00B756B4" w:rsidRPr="00E65655" w:rsidRDefault="00B756B4">
      <w:pPr>
        <w:pStyle w:val="ABCD"/>
        <w:numPr>
          <w:ilvl w:val="0"/>
          <w:numId w:val="24"/>
        </w:numPr>
        <w:tabs>
          <w:tab w:val="clear" w:pos="1701"/>
        </w:tabs>
        <w:spacing w:after="140" w:line="290" w:lineRule="auto"/>
        <w:ind w:left="2880" w:hanging="720"/>
        <w:rPr>
          <w:rFonts w:ascii="Arial" w:hAnsi="Arial" w:cs="Arial"/>
        </w:rPr>
      </w:pPr>
      <w:r w:rsidRPr="00E65655">
        <w:rPr>
          <w:rFonts w:ascii="Arial" w:hAnsi="Arial" w:cs="Arial"/>
        </w:rPr>
        <w:lastRenderedPageBreak/>
        <w:t>the cancellation of the Certificates; and/or</w:t>
      </w:r>
    </w:p>
    <w:p w14:paraId="2D2F0BB5" w14:textId="77777777" w:rsidR="00B756B4" w:rsidRPr="00E65655" w:rsidRDefault="00B756B4">
      <w:pPr>
        <w:pStyle w:val="ABCD"/>
        <w:numPr>
          <w:ilvl w:val="0"/>
          <w:numId w:val="24"/>
        </w:numPr>
        <w:tabs>
          <w:tab w:val="clear" w:pos="1701"/>
        </w:tabs>
        <w:spacing w:after="140" w:line="290" w:lineRule="auto"/>
        <w:ind w:left="2880" w:hanging="720"/>
        <w:rPr>
          <w:rFonts w:ascii="Arial" w:hAnsi="Arial" w:cs="Arial"/>
        </w:rPr>
      </w:pPr>
      <w:r w:rsidRPr="00E65655">
        <w:rPr>
          <w:rFonts w:ascii="Arial" w:hAnsi="Arial" w:cs="Arial"/>
        </w:rPr>
        <w:t>the amendment or alteration of the expiration of the Certificates or amendment of the amounts payable on the Certificates, or the date on which the amounts become payable, including by suspending payment for a temporary period; and</w:t>
      </w:r>
    </w:p>
    <w:p w14:paraId="00E0E711" w14:textId="77777777" w:rsidR="00B756B4" w:rsidRPr="00E65655" w:rsidRDefault="00B756B4" w:rsidP="00B756B4">
      <w:pPr>
        <w:pStyle w:val="ABCD"/>
        <w:tabs>
          <w:tab w:val="clear" w:pos="1701"/>
        </w:tabs>
        <w:spacing w:after="140" w:line="290" w:lineRule="auto"/>
        <w:ind w:left="2160" w:firstLine="0"/>
        <w:rPr>
          <w:rFonts w:ascii="Arial" w:hAnsi="Arial" w:cs="Arial"/>
        </w:rPr>
      </w:pPr>
      <w:r w:rsidRPr="00E65655">
        <w:rPr>
          <w:rFonts w:ascii="Arial" w:hAnsi="Arial" w:cs="Arial"/>
        </w:rPr>
        <w:t>that terms of the Certificates are subject to, and may be varied, if necessary, to give effect to the exercise of the Bail-In Power by the Relevant Resolution Authority or the regulator,</w:t>
      </w:r>
    </w:p>
    <w:p w14:paraId="4F0D2628"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(the “</w:t>
      </w:r>
      <w:r w:rsidRPr="00E65655">
        <w:rPr>
          <w:rFonts w:ascii="Arial" w:hAnsi="Arial" w:cs="Arial"/>
          <w:b/>
        </w:rPr>
        <w:t>Statutory Bail-In</w:t>
      </w:r>
      <w:r w:rsidRPr="00E65655">
        <w:rPr>
          <w:rFonts w:ascii="Arial" w:hAnsi="Arial" w:cs="Arial"/>
        </w:rPr>
        <w:t>”</w:t>
      </w:r>
      <w:proofErr w:type="gramStart"/>
      <w:r w:rsidRPr="00E65655">
        <w:rPr>
          <w:rFonts w:ascii="Arial" w:hAnsi="Arial" w:cs="Arial"/>
        </w:rPr>
        <w:t>);</w:t>
      </w:r>
      <w:proofErr w:type="gramEnd"/>
    </w:p>
    <w:p w14:paraId="467DA21A" w14:textId="19411327" w:rsidR="00B756B4" w:rsidRPr="00E65655" w:rsidRDefault="00B756B4" w:rsidP="00B756B4">
      <w:pPr>
        <w:pStyle w:val="ABCD"/>
        <w:tabs>
          <w:tab w:val="clear" w:pos="1701"/>
        </w:tabs>
        <w:spacing w:after="140" w:line="290" w:lineRule="auto"/>
        <w:ind w:left="2160" w:hanging="720"/>
        <w:rPr>
          <w:rFonts w:ascii="Arial" w:hAnsi="Arial" w:cs="Arial"/>
        </w:rPr>
      </w:pPr>
      <w:r w:rsidRPr="00E65655">
        <w:rPr>
          <w:rFonts w:ascii="Arial" w:hAnsi="Arial" w:cs="Arial"/>
        </w:rPr>
        <w:t>(ii)</w:t>
      </w:r>
      <w:r w:rsidRPr="00E65655">
        <w:rPr>
          <w:rFonts w:ascii="Arial" w:hAnsi="Arial" w:cs="Arial"/>
        </w:rPr>
        <w:tab/>
        <w:t>if the Relevant Resolution Authority exercises its Bail-In Power on liabilities of the Guarantor, pursuant to Article L.613-30-3-I-3 of the French Monetary and Financial Code (the “</w:t>
      </w:r>
      <w:r w:rsidR="00D03D51" w:rsidRPr="00E65655">
        <w:rPr>
          <w:rFonts w:ascii="Arial" w:hAnsi="Arial" w:cs="Arial"/>
          <w:b/>
        </w:rPr>
        <w:t>Code</w:t>
      </w:r>
      <w:r w:rsidRPr="00E65655">
        <w:rPr>
          <w:rFonts w:ascii="Arial" w:hAnsi="Arial" w:cs="Arial"/>
        </w:rPr>
        <w:t>”):</w:t>
      </w:r>
    </w:p>
    <w:p w14:paraId="5CC08F05" w14:textId="77777777" w:rsidR="00B756B4" w:rsidRPr="00E65655" w:rsidRDefault="00B756B4">
      <w:pPr>
        <w:pStyle w:val="ListParagraph"/>
        <w:widowControl w:val="0"/>
        <w:numPr>
          <w:ilvl w:val="0"/>
          <w:numId w:val="28"/>
        </w:numPr>
        <w:autoSpaceDE w:val="0"/>
        <w:autoSpaceDN w:val="0"/>
        <w:adjustRightInd w:val="0"/>
        <w:spacing w:after="140" w:line="290" w:lineRule="auto"/>
        <w:ind w:left="2880" w:hanging="720"/>
      </w:pPr>
      <w:r w:rsidRPr="00E65655">
        <w:rPr>
          <w:rFonts w:eastAsia="Times New Roman"/>
        </w:rPr>
        <w:t>ranking:</w:t>
      </w:r>
    </w:p>
    <w:p w14:paraId="623B88E8" w14:textId="4068F5AC" w:rsidR="00B756B4" w:rsidRPr="00E65655" w:rsidRDefault="00B756B4">
      <w:pPr>
        <w:pStyle w:val="ListParagraph"/>
        <w:widowControl w:val="0"/>
        <w:numPr>
          <w:ilvl w:val="4"/>
          <w:numId w:val="27"/>
        </w:numPr>
        <w:spacing w:after="140" w:line="290" w:lineRule="auto"/>
        <w:ind w:left="3600" w:hanging="360"/>
        <w:jc w:val="both"/>
      </w:pPr>
      <w:r w:rsidRPr="00E65655">
        <w:rPr>
          <w:rFonts w:eastAsia="Times New Roman"/>
        </w:rPr>
        <w:t xml:space="preserve">junior to liabilities of the Guarantor benefitting from statutorily preferred exceptions pursuant to Article L.613-30-3-I 1° and 2 of the </w:t>
      </w:r>
      <w:proofErr w:type="gramStart"/>
      <w:r w:rsidR="00D03D51" w:rsidRPr="00E65655">
        <w:rPr>
          <w:rFonts w:eastAsia="Times New Roman"/>
        </w:rPr>
        <w:t>Code</w:t>
      </w:r>
      <w:r w:rsidRPr="00E65655">
        <w:rPr>
          <w:rFonts w:eastAsia="Times New Roman"/>
        </w:rPr>
        <w:t>;</w:t>
      </w:r>
      <w:proofErr w:type="gramEnd"/>
    </w:p>
    <w:p w14:paraId="2100212C" w14:textId="0B0BA2C8" w:rsidR="00B756B4" w:rsidRPr="00E65655" w:rsidRDefault="00B756B4">
      <w:pPr>
        <w:widowControl w:val="0"/>
        <w:numPr>
          <w:ilvl w:val="4"/>
          <w:numId w:val="27"/>
        </w:numPr>
        <w:spacing w:after="140" w:line="290" w:lineRule="auto"/>
        <w:ind w:left="3600" w:hanging="360"/>
        <w:jc w:val="both"/>
      </w:pPr>
      <w:r w:rsidRPr="00E65655">
        <w:rPr>
          <w:rFonts w:eastAsia="Times New Roman"/>
          <w:i/>
        </w:rPr>
        <w:t xml:space="preserve">pari passu </w:t>
      </w:r>
      <w:r w:rsidRPr="00E65655">
        <w:rPr>
          <w:rFonts w:eastAsia="Times New Roman"/>
        </w:rPr>
        <w:t xml:space="preserve">with liabilities of the Guarantor as defined in Article L.613-30-3-I-3 of the </w:t>
      </w:r>
      <w:r w:rsidR="00D03D51" w:rsidRPr="00E65655">
        <w:rPr>
          <w:rFonts w:eastAsia="Times New Roman"/>
        </w:rPr>
        <w:t>Code</w:t>
      </w:r>
      <w:r w:rsidRPr="00E65655">
        <w:rPr>
          <w:rFonts w:eastAsia="Times New Roman"/>
        </w:rPr>
        <w:t>; and</w:t>
      </w:r>
    </w:p>
    <w:p w14:paraId="1D055640" w14:textId="6EFC21DA" w:rsidR="00B756B4" w:rsidRPr="00E65655" w:rsidRDefault="00B756B4">
      <w:pPr>
        <w:widowControl w:val="0"/>
        <w:numPr>
          <w:ilvl w:val="4"/>
          <w:numId w:val="27"/>
        </w:numPr>
        <w:spacing w:after="140" w:line="290" w:lineRule="auto"/>
        <w:ind w:left="3600" w:hanging="360"/>
        <w:jc w:val="both"/>
      </w:pPr>
      <w:r w:rsidRPr="00E65655">
        <w:rPr>
          <w:rFonts w:eastAsia="Times New Roman"/>
        </w:rPr>
        <w:t xml:space="preserve">senior to liabilities of the Guarantor as defined in Article L.613-30-3-I-4 of the </w:t>
      </w:r>
      <w:r w:rsidR="00D03D51" w:rsidRPr="00E65655">
        <w:rPr>
          <w:rFonts w:eastAsia="Times New Roman"/>
        </w:rPr>
        <w:t>Code</w:t>
      </w:r>
      <w:r w:rsidRPr="00E65655">
        <w:rPr>
          <w:rFonts w:eastAsia="Times New Roman"/>
        </w:rPr>
        <w:t>; and</w:t>
      </w:r>
    </w:p>
    <w:p w14:paraId="70CA90BE" w14:textId="24889AEE" w:rsidR="00B756B4" w:rsidRPr="00E65655" w:rsidRDefault="00B756B4">
      <w:pPr>
        <w:pStyle w:val="ListParagraph"/>
        <w:widowControl w:val="0"/>
        <w:numPr>
          <w:ilvl w:val="0"/>
          <w:numId w:val="28"/>
        </w:numPr>
        <w:autoSpaceDE w:val="0"/>
        <w:autoSpaceDN w:val="0"/>
        <w:adjustRightInd w:val="0"/>
        <w:spacing w:after="140" w:line="290" w:lineRule="auto"/>
        <w:ind w:left="2880" w:hanging="720"/>
        <w:jc w:val="both"/>
      </w:pPr>
      <w:r w:rsidRPr="00E65655">
        <w:rPr>
          <w:rFonts w:eastAsia="Times New Roman"/>
        </w:rPr>
        <w:t xml:space="preserve">which are not </w:t>
      </w:r>
      <w:r w:rsidRPr="00E65655">
        <w:rPr>
          <w:rFonts w:eastAsia="Times New Roman"/>
          <w:i/>
        </w:rPr>
        <w:t xml:space="preserve">titres non structurés </w:t>
      </w:r>
      <w:r w:rsidRPr="00E65655">
        <w:rPr>
          <w:rFonts w:eastAsia="Times New Roman"/>
        </w:rPr>
        <w:t xml:space="preserve">as defined under Article R.613-28 of the </w:t>
      </w:r>
      <w:r w:rsidR="00D03D51" w:rsidRPr="00E65655">
        <w:rPr>
          <w:rFonts w:eastAsia="Times New Roman"/>
        </w:rPr>
        <w:t>Code</w:t>
      </w:r>
      <w:r w:rsidRPr="00E65655">
        <w:rPr>
          <w:rFonts w:eastAsia="Times New Roman"/>
        </w:rPr>
        <w:t>, and</w:t>
      </w:r>
    </w:p>
    <w:p w14:paraId="261FAB68" w14:textId="77777777" w:rsidR="00B756B4" w:rsidRPr="00E65655" w:rsidRDefault="00B756B4">
      <w:pPr>
        <w:pStyle w:val="ListParagraph"/>
        <w:widowControl w:val="0"/>
        <w:numPr>
          <w:ilvl w:val="0"/>
          <w:numId w:val="28"/>
        </w:numPr>
        <w:autoSpaceDE w:val="0"/>
        <w:autoSpaceDN w:val="0"/>
        <w:adjustRightInd w:val="0"/>
        <w:spacing w:after="140" w:line="290" w:lineRule="auto"/>
        <w:ind w:left="2880" w:hanging="720"/>
        <w:jc w:val="both"/>
      </w:pPr>
      <w:r w:rsidRPr="00E65655">
        <w:rPr>
          <w:rFonts w:eastAsia="Times New Roman"/>
        </w:rPr>
        <w:t xml:space="preserve">which are not or are no longer eligible to be </w:t>
      </w:r>
      <w:proofErr w:type="gramStart"/>
      <w:r w:rsidRPr="00E65655">
        <w:rPr>
          <w:rFonts w:eastAsia="Times New Roman"/>
        </w:rPr>
        <w:t>taken into account</w:t>
      </w:r>
      <w:proofErr w:type="gramEnd"/>
      <w:r w:rsidRPr="00E65655">
        <w:rPr>
          <w:rFonts w:eastAsia="Times New Roman"/>
        </w:rPr>
        <w:t xml:space="preserve"> for the purposes of the MREL (as defined below) ratio of the Guarantor</w:t>
      </w:r>
    </w:p>
    <w:p w14:paraId="27FF7B4A" w14:textId="77777777" w:rsidR="00B756B4" w:rsidRPr="00E65655" w:rsidRDefault="00B756B4" w:rsidP="00B756B4">
      <w:pPr>
        <w:pStyle w:val="ABCD"/>
        <w:tabs>
          <w:tab w:val="clear" w:pos="1701"/>
        </w:tabs>
        <w:spacing w:after="140" w:line="290" w:lineRule="auto"/>
        <w:ind w:left="2160" w:firstLine="0"/>
        <w:rPr>
          <w:rFonts w:ascii="Arial" w:hAnsi="Arial" w:cs="Arial"/>
        </w:rPr>
      </w:pPr>
      <w:r w:rsidRPr="00E65655">
        <w:rPr>
          <w:rFonts w:ascii="Arial" w:hAnsi="Arial" w:cs="Arial"/>
        </w:rPr>
        <w:t>and such exercise of the Bail-In Power results in the write-down or cancellation of all, or a portion of, the principal amount of, or the outstanding amount payable in respect of, and/or interest on, such liabilities, and/or the conversion of all, or a portion, of the principal amount of, or the outstanding amount payable in respect of, or interest on, such liabilities into shares or other securities or other obligations of the Guarantor or another person, including by means of variation to their terms and conditions in order to give effect to such exercise of Bail-In Power, then the Issuer’s obligations under the Certificates will be limited to (i) payment of the amount as reduced or cancelled that would be recoverable by the Certificate Holders and/or (ii) the delivery or the payment of value of the shares or other securities or other obligations of the Guarantor or another person that would be paid or delivered to the Certificate Holders as if, in either case, the Certificates had been directly issued by the Guarantor itself and any Amount Due under the Certificates had accordingly been directly subject to the exercise of the Bail-In Power (the “</w:t>
      </w:r>
      <w:r w:rsidRPr="00E65655">
        <w:rPr>
          <w:rFonts w:ascii="Arial" w:hAnsi="Arial" w:cs="Arial"/>
          <w:b/>
        </w:rPr>
        <w:t>Contractual Bail-in</w:t>
      </w:r>
      <w:r w:rsidRPr="00E65655">
        <w:rPr>
          <w:rFonts w:ascii="Arial" w:hAnsi="Arial" w:cs="Arial"/>
        </w:rPr>
        <w:t>”).</w:t>
      </w:r>
    </w:p>
    <w:p w14:paraId="0F299CCE"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 xml:space="preserve">No repayment or payment of the Amounts Due will become due and payable or be paid after the exercise of the Statutory Bail-In with respect to the Issuer or the Guarantor unless, at the time such repayment or payment, respectively, is scheduled to become due, such repayment or payment would be permitted to be made by the Issuer or the Guarantor under the applicable laws and regulations in effect in France or Luxembourg </w:t>
      </w:r>
      <w:r w:rsidRPr="00E65655">
        <w:rPr>
          <w:rFonts w:ascii="Arial" w:hAnsi="Arial" w:cs="Arial"/>
        </w:rPr>
        <w:lastRenderedPageBreak/>
        <w:t>and the European Union applicable to the Issuer or the Guarantor or other members of its group.</w:t>
      </w:r>
    </w:p>
    <w:p w14:paraId="4A7132EC"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No repayment or payment of the Amounts Due will become due and payable or be paid under the Certificates issued by SG Issuer after implementation of the Contractual Bail-in.</w:t>
      </w:r>
    </w:p>
    <w:p w14:paraId="73BB6864"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Upon the exercise of the Statutory Bail-in or upon implementation of the Contractual Bail-in with respect to the Certificates, the Issuer or the Guarantor will provide a written notice to the Certificate Holders in accordance with Condition 9 as soon as practicable regarding such exercise of the Statutory Bail-in or implementation of the Contractual Bail-in. Any delay or failure by the Issuer or the Guarantor to give notice shall not affect the validity and enforceability of the Statutory Bail-in or Contractual Bail-in nor the effects on the Certificates described above.</w:t>
      </w:r>
    </w:p>
    <w:p w14:paraId="77A0AA4D"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Neither a cancellation of the Certificates, a reduction, in part or in full, of the Amounts Due, the conversion thereof into another security or obligation of the Issuer or the Guarantor or another person, as a result of the exercise of the Statutory Bail-in or the implementation of the Contractual Bail-in with respect to the Certificates will be an event of default or otherwise constitute non-performance of a contractual obligation, or entitle the Certificate Holder to any remedies (including equitable remedies) which are hereby expressly waived.</w:t>
      </w:r>
    </w:p>
    <w:p w14:paraId="69B2546A"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The matters set forth in this Condition shall be exhaustive on the foregoing matters to the exclusion of any other agreements, arrangements or understandings between the Issuer, the Guarantor and each Certificate Holder. No expenses necessary for the procedures under this Condition, including, but not limited to, those incurred by the Issuer and the Guarantor, shall be borne by any Certificate Holder.</w:t>
      </w:r>
    </w:p>
    <w:p w14:paraId="795D5DDE" w14:textId="77777777" w:rsidR="00B756B4" w:rsidRPr="00E65655" w:rsidRDefault="00B756B4" w:rsidP="00B756B4">
      <w:pPr>
        <w:pStyle w:val="abcde"/>
        <w:tabs>
          <w:tab w:val="clear" w:pos="1276"/>
        </w:tabs>
        <w:spacing w:after="140" w:line="290" w:lineRule="auto"/>
        <w:ind w:left="1440" w:firstLine="0"/>
        <w:rPr>
          <w:rFonts w:ascii="Arial" w:hAnsi="Arial" w:cs="Arial"/>
        </w:rPr>
      </w:pPr>
      <w:r w:rsidRPr="00E65655">
        <w:rPr>
          <w:rFonts w:ascii="Arial" w:hAnsi="Arial" w:cs="Arial"/>
        </w:rPr>
        <w:t>For the purposes of this Condition:</w:t>
      </w:r>
    </w:p>
    <w:p w14:paraId="0DE6F50E" w14:textId="77777777" w:rsidR="00B756B4" w:rsidRPr="00E65655" w:rsidRDefault="00B756B4" w:rsidP="00B756B4">
      <w:pPr>
        <w:pStyle w:val="abcde"/>
        <w:tabs>
          <w:tab w:val="clear" w:pos="1276"/>
        </w:tabs>
        <w:spacing w:after="140" w:line="290" w:lineRule="auto"/>
        <w:ind w:left="1440" w:firstLine="0"/>
        <w:rPr>
          <w:rFonts w:ascii="Arial" w:hAnsi="Arial" w:cs="Arial"/>
        </w:rPr>
      </w:pPr>
      <w:r w:rsidRPr="00E65655">
        <w:rPr>
          <w:rFonts w:ascii="Arial" w:hAnsi="Arial" w:cs="Arial"/>
        </w:rPr>
        <w:t>“</w:t>
      </w:r>
      <w:r w:rsidRPr="00E65655">
        <w:rPr>
          <w:rFonts w:ascii="Arial" w:hAnsi="Arial" w:cs="Arial"/>
          <w:b/>
          <w:bCs/>
        </w:rPr>
        <w:t>Amounts Due</w:t>
      </w:r>
      <w:r w:rsidRPr="00E65655">
        <w:rPr>
          <w:rFonts w:ascii="Arial" w:hAnsi="Arial" w:cs="Arial"/>
        </w:rPr>
        <w:t>” means any amounts due by the Issuer under the Certificates.</w:t>
      </w:r>
    </w:p>
    <w:p w14:paraId="7053C0AC" w14:textId="77777777" w:rsidR="00B756B4" w:rsidRPr="00E65655" w:rsidRDefault="00B756B4" w:rsidP="00B756B4">
      <w:pPr>
        <w:pStyle w:val="abcde"/>
        <w:tabs>
          <w:tab w:val="clear" w:pos="1276"/>
        </w:tabs>
        <w:spacing w:after="140" w:line="290" w:lineRule="auto"/>
        <w:ind w:left="1440" w:firstLine="0"/>
        <w:rPr>
          <w:rFonts w:ascii="Arial" w:hAnsi="Arial" w:cs="Arial"/>
        </w:rPr>
      </w:pPr>
      <w:r w:rsidRPr="00E65655">
        <w:rPr>
          <w:rFonts w:ascii="Arial" w:hAnsi="Arial" w:cs="Arial"/>
        </w:rPr>
        <w:t>“</w:t>
      </w:r>
      <w:r w:rsidRPr="00E65655">
        <w:rPr>
          <w:rFonts w:ascii="Arial" w:hAnsi="Arial" w:cs="Arial"/>
          <w:b/>
          <w:bCs/>
        </w:rPr>
        <w:t>Bail-In Power</w:t>
      </w:r>
      <w:r w:rsidRPr="00E65655">
        <w:rPr>
          <w:rFonts w:ascii="Arial" w:hAnsi="Arial" w:cs="Arial"/>
        </w:rPr>
        <w:t>” means any</w:t>
      </w:r>
      <w:r w:rsidRPr="00E65655">
        <w:t xml:space="preserve"> </w:t>
      </w:r>
      <w:r w:rsidRPr="00E65655">
        <w:rPr>
          <w:rFonts w:ascii="Arial" w:hAnsi="Arial" w:cs="Arial"/>
        </w:rPr>
        <w:t>statutory cancellation, write-down and/or conversion power existing from time to time under any laws, regulations, rules or requirements relating to the resolution of banks, banking group companies, credit institutions and/or investment firms, including but not limited to any such laws, regulations, rules or requirements that are implemented, adopted or enacted within the context of a European Union directive or regulation of the European Parliament and of the Council establishing a framework for the recovery and resolution of credit institutions and investment firms, or any other applicable laws or regulations, as amended, or otherwise, pursuant to which obligations of a bank, banking group company, credit institution or investment firm or any of its affiliates can be reduced, cancelled, varied or otherwise modified in any way and/or converted into shares or other securities or obligations of the obligor or any other person.</w:t>
      </w:r>
    </w:p>
    <w:p w14:paraId="5813753A" w14:textId="77777777" w:rsidR="00B756B4" w:rsidRPr="00E65655" w:rsidRDefault="00B756B4" w:rsidP="00B756B4">
      <w:pPr>
        <w:pStyle w:val="abcde"/>
        <w:tabs>
          <w:tab w:val="clear" w:pos="1276"/>
        </w:tabs>
        <w:spacing w:after="140" w:line="290" w:lineRule="auto"/>
        <w:ind w:left="1440" w:firstLine="0"/>
        <w:rPr>
          <w:rFonts w:ascii="Arial" w:hAnsi="Arial" w:cs="Arial"/>
        </w:rPr>
      </w:pPr>
      <w:r w:rsidRPr="00E65655">
        <w:rPr>
          <w:rFonts w:ascii="Arial" w:hAnsi="Arial" w:cs="Arial"/>
        </w:rPr>
        <w:t>“</w:t>
      </w:r>
      <w:r w:rsidRPr="00E65655">
        <w:rPr>
          <w:rFonts w:ascii="Arial" w:hAnsi="Arial" w:cs="Arial"/>
          <w:b/>
        </w:rPr>
        <w:t>MREL</w:t>
      </w:r>
      <w:r w:rsidRPr="00E65655">
        <w:rPr>
          <w:rFonts w:ascii="Arial" w:hAnsi="Arial" w:cs="Arial"/>
        </w:rPr>
        <w:t>” means the Minimum Requirement for own funds and Eligible Liabilities as defined in Directive 2014/59/EU of the European Parliament and of the Council of 15 May 2014 establishing a framework for the recovery and resolution of credit institutions and investment firms (as amended from time to time).</w:t>
      </w:r>
    </w:p>
    <w:p w14:paraId="7D851DE4" w14:textId="77777777" w:rsidR="00B756B4" w:rsidRPr="00E65655" w:rsidRDefault="00B756B4" w:rsidP="00B756B4">
      <w:pPr>
        <w:pStyle w:val="ABCD"/>
        <w:tabs>
          <w:tab w:val="clear" w:pos="1701"/>
        </w:tabs>
        <w:spacing w:after="140" w:line="290" w:lineRule="auto"/>
        <w:ind w:left="1440" w:firstLine="0"/>
        <w:rPr>
          <w:rFonts w:ascii="Arial" w:hAnsi="Arial" w:cs="Arial"/>
        </w:rPr>
      </w:pPr>
      <w:r w:rsidRPr="00E65655">
        <w:rPr>
          <w:rFonts w:ascii="Arial" w:hAnsi="Arial" w:cs="Arial"/>
        </w:rPr>
        <w:t>“</w:t>
      </w:r>
      <w:r w:rsidRPr="00E65655">
        <w:rPr>
          <w:rFonts w:ascii="Arial" w:hAnsi="Arial" w:cs="Arial"/>
          <w:b/>
          <w:bCs/>
        </w:rPr>
        <w:t>Relevant Resolution Authority</w:t>
      </w:r>
      <w:r w:rsidRPr="00E65655">
        <w:rPr>
          <w:rFonts w:ascii="Arial" w:hAnsi="Arial" w:cs="Arial"/>
        </w:rPr>
        <w:t>” means any authority</w:t>
      </w:r>
      <w:r w:rsidRPr="00E65655">
        <w:t xml:space="preserve"> </w:t>
      </w:r>
      <w:r w:rsidRPr="00E65655">
        <w:rPr>
          <w:rFonts w:ascii="Arial" w:hAnsi="Arial" w:cs="Arial"/>
        </w:rPr>
        <w:t>with the ability to exercise the Bail-in Power on Societe Generale or SG Issuer as the case may be.</w:t>
      </w:r>
    </w:p>
    <w:p w14:paraId="76D89C46" w14:textId="77777777" w:rsidR="00B756B4" w:rsidRPr="00E65655" w:rsidRDefault="00B756B4" w:rsidP="00B756B4">
      <w:pPr>
        <w:pStyle w:val="ABCD"/>
        <w:tabs>
          <w:tab w:val="clear" w:pos="1701"/>
        </w:tabs>
        <w:spacing w:after="140" w:line="290" w:lineRule="auto"/>
        <w:ind w:left="1440" w:firstLine="0"/>
        <w:rPr>
          <w:rFonts w:ascii="Arial" w:hAnsi="Arial" w:cs="Arial"/>
          <w:i/>
          <w:iCs/>
        </w:rPr>
      </w:pPr>
    </w:p>
    <w:p w14:paraId="6EF031B9" w14:textId="77777777" w:rsidR="00B756B4" w:rsidRPr="00E65655" w:rsidRDefault="00B756B4" w:rsidP="00B756B4">
      <w:pPr>
        <w:pStyle w:val="Number1111"/>
        <w:spacing w:after="140" w:line="286" w:lineRule="auto"/>
        <w:rPr>
          <w:rFonts w:ascii="Arial" w:hAnsi="Arial" w:cs="Arial"/>
        </w:rPr>
      </w:pPr>
      <w:r w:rsidRPr="00E65655">
        <w:rPr>
          <w:rFonts w:ascii="Arial" w:hAnsi="Arial" w:cs="Arial"/>
        </w:rPr>
        <w:lastRenderedPageBreak/>
        <w:t>2.</w:t>
      </w:r>
      <w:r w:rsidRPr="00E65655">
        <w:rPr>
          <w:rFonts w:ascii="Arial" w:hAnsi="Arial" w:cs="Arial"/>
        </w:rPr>
        <w:tab/>
        <w:t>Certificate Rights and Exercise Expenses</w:t>
      </w:r>
    </w:p>
    <w:p w14:paraId="0FB06FA2" w14:textId="77777777" w:rsidR="00B756B4" w:rsidRPr="00E65655" w:rsidRDefault="00B756B4" w:rsidP="00B756B4">
      <w:pPr>
        <w:pStyle w:val="abcde"/>
        <w:tabs>
          <w:tab w:val="clear" w:pos="1276"/>
        </w:tabs>
        <w:spacing w:after="140" w:line="286" w:lineRule="auto"/>
        <w:ind w:left="1440" w:hanging="720"/>
        <w:rPr>
          <w:rFonts w:ascii="Arial" w:hAnsi="Arial" w:cs="Arial"/>
        </w:rPr>
      </w:pPr>
      <w:bookmarkStart w:id="27" w:name="_DV_M279"/>
      <w:bookmarkEnd w:id="27"/>
      <w:r w:rsidRPr="00E65655">
        <w:rPr>
          <w:rFonts w:ascii="Arial" w:hAnsi="Arial" w:cs="Arial"/>
        </w:rPr>
        <w:t>(a)</w:t>
      </w:r>
      <w:r w:rsidRPr="00E65655">
        <w:rPr>
          <w:rFonts w:ascii="Arial" w:hAnsi="Arial" w:cs="Arial"/>
        </w:rPr>
        <w:tab/>
      </w:r>
      <w:r w:rsidRPr="00E65655">
        <w:rPr>
          <w:rFonts w:ascii="Arial" w:hAnsi="Arial" w:cs="Arial"/>
          <w:i/>
        </w:rPr>
        <w:t>Certificate</w:t>
      </w:r>
      <w:r w:rsidRPr="00E65655">
        <w:rPr>
          <w:rFonts w:ascii="Arial" w:hAnsi="Arial" w:cs="Arial"/>
          <w:i/>
          <w:iCs/>
        </w:rPr>
        <w:t xml:space="preserve"> Rights</w:t>
      </w:r>
      <w:r w:rsidRPr="00E65655">
        <w:rPr>
          <w:rFonts w:ascii="Arial" w:hAnsi="Arial" w:cs="Arial"/>
        </w:rPr>
        <w:t>. Every Certificate entitles each Certificate Holder, upon due exercise and on compliance with Condition 4, to payment by the Issuer of the Cash Settlement Amount (as defined below) (if any) in the manner set out in Condition 4.</w:t>
      </w:r>
    </w:p>
    <w:p w14:paraId="7EB76334" w14:textId="77777777" w:rsidR="00B756B4" w:rsidRPr="00E65655" w:rsidRDefault="00B756B4" w:rsidP="00B756B4">
      <w:pPr>
        <w:pStyle w:val="abcde"/>
        <w:tabs>
          <w:tab w:val="clear" w:pos="1276"/>
        </w:tabs>
        <w:spacing w:after="140" w:line="286" w:lineRule="auto"/>
        <w:ind w:left="1440" w:firstLine="0"/>
        <w:rPr>
          <w:rFonts w:ascii="Arial" w:hAnsi="Arial" w:cs="Arial"/>
        </w:rPr>
      </w:pPr>
      <w:r w:rsidRPr="00E65655">
        <w:rPr>
          <w:rFonts w:ascii="Arial" w:hAnsi="Arial" w:cs="Arial"/>
        </w:rPr>
        <w:t>The “</w:t>
      </w:r>
      <w:r w:rsidRPr="00E65655">
        <w:rPr>
          <w:rFonts w:ascii="Arial" w:hAnsi="Arial" w:cs="Arial"/>
          <w:b/>
        </w:rPr>
        <w:t>Cash Settlement Amount</w:t>
      </w:r>
      <w:r w:rsidRPr="00E65655">
        <w:rPr>
          <w:rFonts w:ascii="Arial" w:hAnsi="Arial" w:cs="Arial"/>
        </w:rPr>
        <w:t>”, in respect of each Certificate, shall be an amount payable in the Settlement Currency equal to the Closing Level multiplied by the Notional Amount per Certificate.</w:t>
      </w:r>
    </w:p>
    <w:p w14:paraId="5C65BB6C" w14:textId="77777777" w:rsidR="00B756B4" w:rsidRPr="00E65655" w:rsidRDefault="00B756B4" w:rsidP="00B756B4">
      <w:pPr>
        <w:pStyle w:val="abcde"/>
        <w:tabs>
          <w:tab w:val="clear" w:pos="1276"/>
        </w:tabs>
        <w:spacing w:after="140" w:line="286" w:lineRule="auto"/>
        <w:ind w:left="1440" w:firstLine="0"/>
        <w:rPr>
          <w:rFonts w:ascii="Arial" w:hAnsi="Arial" w:cs="Arial"/>
        </w:rPr>
      </w:pPr>
      <w:r w:rsidRPr="00E65655">
        <w:rPr>
          <w:rFonts w:ascii="Arial" w:hAnsi="Arial" w:cs="Arial"/>
        </w:rPr>
        <w:t>The “</w:t>
      </w:r>
      <w:r w:rsidRPr="00E65655">
        <w:rPr>
          <w:rFonts w:ascii="Arial" w:hAnsi="Arial" w:cs="Arial"/>
          <w:b/>
        </w:rPr>
        <w:t>Closing Level</w:t>
      </w:r>
      <w:r w:rsidRPr="00E65655">
        <w:rPr>
          <w:rFonts w:ascii="Arial" w:hAnsi="Arial" w:cs="Arial"/>
        </w:rPr>
        <w:t>”, in respect of each Certificate, shall be an amount payable in the Settlement Currency equal to:</w:t>
      </w:r>
    </w:p>
    <w:p w14:paraId="45D4100D" w14:textId="77777777" w:rsidR="00B756B4" w:rsidRPr="00E65655" w:rsidRDefault="00B756B4" w:rsidP="00B756B4">
      <w:pPr>
        <w:pStyle w:val="abcde"/>
        <w:tabs>
          <w:tab w:val="clear" w:pos="1276"/>
        </w:tabs>
        <w:spacing w:after="140" w:line="286" w:lineRule="auto"/>
        <w:ind w:left="1440" w:firstLine="0"/>
        <w:rPr>
          <w:rFonts w:ascii="Arial" w:hAnsi="Arial" w:cs="Arial"/>
        </w:rPr>
      </w:pPr>
      <m:oMathPara>
        <m:oMath>
          <m:r>
            <w:rPr>
              <w:rFonts w:ascii="Cambria Math" w:hAnsi="Cambria Math" w:cs="Arial"/>
            </w:rPr>
            <m:t xml:space="preserve"> </m:t>
          </m:r>
          <m:d>
            <m:dPr>
              <m:ctrlPr>
                <w:rPr>
                  <w:rFonts w:ascii="Cambria Math" w:hAnsi="Cambria Math"/>
                </w:rPr>
              </m:ctrlPr>
            </m:dPr>
            <m:e>
              <m:f>
                <m:fPr>
                  <m:ctrlPr>
                    <w:rPr>
                      <w:rFonts w:ascii="Cambria Math" w:hAnsi="Cambria Math"/>
                      <w:i/>
                    </w:rPr>
                  </m:ctrlPr>
                </m:fPr>
                <m:num>
                  <m:r>
                    <m:rPr>
                      <m:nor/>
                    </m:rPr>
                    <w:rPr>
                      <w:rFonts w:ascii="Cambria Math" w:hAnsi="Cambria Math"/>
                    </w:rPr>
                    <m:t>Final Reference Level ×Final Exchange Rate</m:t>
                  </m:r>
                </m:num>
                <m:den>
                  <m:r>
                    <m:rPr>
                      <m:nor/>
                    </m:rPr>
                    <w:rPr>
                      <w:rFonts w:ascii="Cambria Math" w:hAnsi="Cambria Math"/>
                    </w:rPr>
                    <m:t>Initial Reference Level ×Initial Exchange Rate</m:t>
                  </m:r>
                </m:den>
              </m:f>
              <m:r>
                <m:rPr>
                  <m:nor/>
                </m:rPr>
                <w:rPr>
                  <w:rFonts w:ascii="Cambria Math" w:hAnsi="Cambria Math"/>
                </w:rPr>
                <m:t xml:space="preserve"> – Strike Level</m:t>
              </m:r>
            </m:e>
          </m:d>
          <m:r>
            <m:rPr>
              <m:nor/>
            </m:rPr>
            <w:rPr>
              <w:rFonts w:ascii="Cambria Math" w:hAnsi="Cambria Math"/>
            </w:rPr>
            <m:t>×Hedging Fee Factor</m:t>
          </m:r>
        </m:oMath>
      </m:oMathPara>
    </w:p>
    <w:p w14:paraId="73789930" w14:textId="77777777" w:rsidR="00B756B4" w:rsidRPr="00E65655" w:rsidRDefault="00B756B4" w:rsidP="00B756B4">
      <w:pPr>
        <w:pStyle w:val="abcde"/>
        <w:tabs>
          <w:tab w:val="clear" w:pos="1276"/>
        </w:tabs>
        <w:spacing w:after="140" w:line="286" w:lineRule="auto"/>
        <w:ind w:left="1440" w:firstLine="0"/>
        <w:rPr>
          <w:rFonts w:ascii="Arial" w:hAnsi="Arial" w:cs="Arial"/>
        </w:rPr>
      </w:pPr>
      <w:r w:rsidRPr="00E65655">
        <w:rPr>
          <w:rFonts w:ascii="Arial" w:hAnsi="Arial" w:cs="Arial"/>
        </w:rPr>
        <w:t xml:space="preserve">If the Issuer determines, in its sole discretion, that on the Valuation Date or any Observation Date a Market Disruption Event has occurred, then that Valuation Date or Observation Date shall be postponed until the first succeeding </w:t>
      </w:r>
      <w:r w:rsidRPr="00E65655">
        <w:rPr>
          <w:rFonts w:ascii="Arial" w:hAnsi="Arial" w:cs="Arial" w:hint="eastAsia"/>
          <w:lang w:eastAsia="zh-CN"/>
        </w:rPr>
        <w:t>Exchange</w:t>
      </w:r>
      <w:r w:rsidRPr="00E65655">
        <w:rPr>
          <w:rFonts w:ascii="Arial" w:hAnsi="Arial" w:cs="Arial"/>
        </w:rPr>
        <w:t xml:space="preserve"> Business Day or Underlying Stock Business Day, as the case may be, on which there is no Market Disruption Event, unless there is a Market Disruption Event on each of the five </w:t>
      </w:r>
      <w:r w:rsidRPr="00E65655">
        <w:rPr>
          <w:rFonts w:ascii="Arial" w:hAnsi="Arial" w:cs="Arial" w:hint="eastAsia"/>
          <w:lang w:eastAsia="zh-CN"/>
        </w:rPr>
        <w:t>Exchange</w:t>
      </w:r>
      <w:r w:rsidRPr="00E65655">
        <w:rPr>
          <w:rFonts w:ascii="Arial" w:hAnsi="Arial" w:cs="Arial"/>
        </w:rPr>
        <w:t xml:space="preserve"> Business Days or Underlying Stock Business Days, as the case may be, immediately following the original date that, but for the Market Disruption Event, would have been a Valuation Date or an Observation Date. In that case: -</w:t>
      </w:r>
    </w:p>
    <w:p w14:paraId="7499B7CD" w14:textId="77777777" w:rsidR="00B756B4" w:rsidRPr="00E65655" w:rsidRDefault="00B756B4" w:rsidP="00B756B4">
      <w:pPr>
        <w:pStyle w:val="ABCD"/>
        <w:tabs>
          <w:tab w:val="clear" w:pos="1701"/>
        </w:tabs>
        <w:spacing w:after="140" w:line="286" w:lineRule="auto"/>
        <w:ind w:left="2160" w:hanging="720"/>
        <w:rPr>
          <w:rFonts w:ascii="Arial" w:hAnsi="Arial" w:cs="Arial"/>
        </w:rPr>
      </w:pPr>
      <w:bookmarkStart w:id="28" w:name="_DV_M288"/>
      <w:bookmarkEnd w:id="28"/>
      <w:r w:rsidRPr="00E65655">
        <w:rPr>
          <w:rFonts w:ascii="Arial" w:hAnsi="Arial" w:cs="Arial"/>
        </w:rPr>
        <w:t>(i)</w:t>
      </w:r>
      <w:r w:rsidRPr="00E65655">
        <w:rPr>
          <w:rFonts w:ascii="Arial" w:hAnsi="Arial" w:cs="Arial"/>
        </w:rPr>
        <w:tab/>
        <w:t xml:space="preserve">that fifth </w:t>
      </w:r>
      <w:r w:rsidRPr="00E65655">
        <w:rPr>
          <w:rFonts w:ascii="Arial" w:hAnsi="Arial" w:cs="Arial" w:hint="eastAsia"/>
          <w:lang w:eastAsia="zh-CN"/>
        </w:rPr>
        <w:t>Exchange</w:t>
      </w:r>
      <w:r w:rsidRPr="00E65655">
        <w:rPr>
          <w:rFonts w:ascii="Arial" w:hAnsi="Arial" w:cs="Arial"/>
        </w:rPr>
        <w:t xml:space="preserve"> Business Day or Underlying Stock Business Day</w:t>
      </w:r>
      <w:proofErr w:type="gramStart"/>
      <w:r w:rsidRPr="00E65655">
        <w:rPr>
          <w:rFonts w:ascii="Arial" w:hAnsi="Arial" w:cs="Arial"/>
        </w:rPr>
        <w:t>, as the case may be, shall</w:t>
      </w:r>
      <w:proofErr w:type="gramEnd"/>
      <w:r w:rsidRPr="00E65655">
        <w:rPr>
          <w:rFonts w:ascii="Arial" w:hAnsi="Arial" w:cs="Arial"/>
        </w:rPr>
        <w:t xml:space="preserve"> be deemed to be the Valuation Date or the Observation Date notwithstanding the Market Disruption Event; and</w:t>
      </w:r>
    </w:p>
    <w:p w14:paraId="482D2CEE" w14:textId="77777777" w:rsidR="00B756B4" w:rsidRPr="00E65655" w:rsidRDefault="00B756B4" w:rsidP="00B756B4">
      <w:pPr>
        <w:pStyle w:val="ABCD"/>
        <w:tabs>
          <w:tab w:val="clear" w:pos="1701"/>
        </w:tabs>
        <w:spacing w:after="140" w:line="286" w:lineRule="auto"/>
        <w:ind w:left="2160" w:hanging="720"/>
        <w:rPr>
          <w:rFonts w:ascii="Arial" w:hAnsi="Arial" w:cs="Arial"/>
        </w:rPr>
      </w:pPr>
      <w:bookmarkStart w:id="29" w:name="_DV_M289"/>
      <w:bookmarkEnd w:id="29"/>
      <w:r w:rsidRPr="00E65655">
        <w:rPr>
          <w:rFonts w:ascii="Arial" w:hAnsi="Arial" w:cs="Arial"/>
        </w:rPr>
        <w:t>(ii)</w:t>
      </w:r>
      <w:r w:rsidRPr="00E65655">
        <w:rPr>
          <w:rFonts w:ascii="Arial" w:hAnsi="Arial" w:cs="Arial"/>
        </w:rPr>
        <w:tab/>
        <w:t xml:space="preserve">the Issuer shall determine the Final Reference Level or the relevant closing level on the basis of its good faith estimate of the Final Reference Level or the relevant closing level that would have prevailed on that fifth </w:t>
      </w:r>
      <w:r w:rsidRPr="00E65655">
        <w:rPr>
          <w:rFonts w:ascii="Arial" w:hAnsi="Arial" w:cs="Arial" w:hint="eastAsia"/>
          <w:lang w:eastAsia="zh-CN"/>
        </w:rPr>
        <w:t>Exchange</w:t>
      </w:r>
      <w:r w:rsidRPr="00E65655">
        <w:rPr>
          <w:rFonts w:ascii="Arial" w:hAnsi="Arial" w:cs="Arial"/>
        </w:rPr>
        <w:t xml:space="preserve"> Business Day</w:t>
      </w:r>
      <w:r w:rsidRPr="00E65655">
        <w:t xml:space="preserve"> </w:t>
      </w:r>
      <w:r w:rsidRPr="00E65655">
        <w:rPr>
          <w:rFonts w:ascii="Arial" w:hAnsi="Arial" w:cs="Arial"/>
        </w:rPr>
        <w:t>or Underlying Stock Business Day, as the case may be, but for the Market Disruption Event.</w:t>
      </w:r>
    </w:p>
    <w:p w14:paraId="0821913D" w14:textId="77777777" w:rsidR="00B756B4" w:rsidRPr="00E65655" w:rsidRDefault="00B756B4" w:rsidP="00B756B4">
      <w:pPr>
        <w:pStyle w:val="abcde"/>
        <w:tabs>
          <w:tab w:val="clear" w:pos="1276"/>
        </w:tabs>
        <w:spacing w:after="140" w:line="286" w:lineRule="auto"/>
        <w:ind w:left="1440" w:firstLine="0"/>
        <w:rPr>
          <w:rFonts w:ascii="Arial" w:hAnsi="Arial" w:cs="Arial"/>
        </w:rPr>
      </w:pPr>
      <w:r w:rsidRPr="00E65655">
        <w:rPr>
          <w:rFonts w:ascii="Arial" w:hAnsi="Arial" w:cs="Arial"/>
        </w:rPr>
        <w:t>“</w:t>
      </w:r>
      <w:r w:rsidRPr="00E65655">
        <w:rPr>
          <w:rFonts w:ascii="Arial" w:hAnsi="Arial" w:cs="Arial"/>
          <w:b/>
        </w:rPr>
        <w:t>Market Disruption Event</w:t>
      </w:r>
      <w:r w:rsidRPr="00E65655">
        <w:rPr>
          <w:rFonts w:ascii="Arial" w:hAnsi="Arial" w:cs="Arial"/>
        </w:rPr>
        <w:t xml:space="preserve">" means the occurrence or existence of (i) any suspension of trading on the Relevant Stock Exchange of the </w:t>
      </w:r>
      <w:r w:rsidRPr="00E65655">
        <w:rPr>
          <w:rFonts w:ascii="Arial" w:hAnsi="Arial" w:cs="Arial" w:hint="eastAsia"/>
          <w:lang w:eastAsia="zh-CN"/>
        </w:rPr>
        <w:t>Underlying Stock</w:t>
      </w:r>
      <w:r w:rsidRPr="00E65655">
        <w:rPr>
          <w:rFonts w:ascii="Arial" w:hAnsi="Arial" w:cs="Arial"/>
        </w:rPr>
        <w:t xml:space="preserve"> requested by the Company if that suspension is, in the determination of the Issuer, material, (ii) any suspension of or limitation imposed on trading (including but not limited to unforeseen circumstances such as by reason of movements in price exceeding limits permitted by the Relevant Stock Exchange or any act of God, war, riot, public disorder, explosion, terrorism or otherwise) on the Relevant Stock Exchange in the </w:t>
      </w:r>
      <w:r w:rsidRPr="00E65655">
        <w:rPr>
          <w:rFonts w:ascii="Arial" w:hAnsi="Arial" w:cs="Arial" w:hint="eastAsia"/>
          <w:lang w:eastAsia="zh-CN"/>
        </w:rPr>
        <w:t>Underlying Stock</w:t>
      </w:r>
      <w:r w:rsidRPr="00E65655">
        <w:rPr>
          <w:rFonts w:ascii="Arial" w:hAnsi="Arial" w:cs="Arial"/>
        </w:rPr>
        <w:t xml:space="preserve"> if that suspension or limitation is, in the determination of the Issuer, material, or (iii) the closing of the Relevant Stock Exchange or a disruption to trading on the Relevant Stock Exchange if that disruption is, in the determination of the Issuer, material as a result of the occurrence of any act of God, war, riot, public disorder, explosion or terrorism.</w:t>
      </w:r>
    </w:p>
    <w:p w14:paraId="0ACD7E6C" w14:textId="77777777" w:rsidR="00B756B4" w:rsidRPr="00E65655" w:rsidRDefault="00B756B4" w:rsidP="00B756B4">
      <w:pPr>
        <w:pStyle w:val="abcde"/>
        <w:tabs>
          <w:tab w:val="clear" w:pos="1276"/>
        </w:tabs>
        <w:spacing w:after="140" w:line="286" w:lineRule="auto"/>
        <w:ind w:left="1440" w:hanging="720"/>
        <w:rPr>
          <w:rFonts w:ascii="Arial" w:hAnsi="Arial" w:cs="Arial"/>
          <w:lang w:eastAsia="zh-CN"/>
        </w:rPr>
      </w:pPr>
      <w:bookmarkStart w:id="30" w:name="_DV_M280"/>
      <w:bookmarkEnd w:id="30"/>
      <w:r w:rsidRPr="00E65655">
        <w:rPr>
          <w:rFonts w:ascii="Arial" w:hAnsi="Arial" w:cs="Arial"/>
        </w:rPr>
        <w:t>(b)</w:t>
      </w:r>
      <w:r w:rsidRPr="00E65655">
        <w:rPr>
          <w:rFonts w:ascii="Arial" w:hAnsi="Arial" w:cs="Arial"/>
        </w:rPr>
        <w:tab/>
      </w:r>
      <w:r w:rsidRPr="00E65655">
        <w:rPr>
          <w:rFonts w:ascii="Arial" w:hAnsi="Arial" w:cs="Arial"/>
          <w:i/>
          <w:iCs/>
        </w:rPr>
        <w:t>Exercise Expenses</w:t>
      </w:r>
      <w:r w:rsidRPr="00E65655">
        <w:rPr>
          <w:rFonts w:ascii="Arial" w:hAnsi="Arial" w:cs="Arial"/>
        </w:rPr>
        <w:t>. Certificate Holders will be required to pay all charges which are incurred in respect of the exercise of the Certificates (the “</w:t>
      </w:r>
      <w:r w:rsidRPr="00E65655">
        <w:rPr>
          <w:rFonts w:ascii="Arial" w:hAnsi="Arial" w:cs="Arial"/>
          <w:b/>
        </w:rPr>
        <w:t>Exercise Expenses</w:t>
      </w:r>
      <w:r w:rsidRPr="00E65655">
        <w:rPr>
          <w:rFonts w:ascii="Arial" w:hAnsi="Arial" w:cs="Arial"/>
        </w:rPr>
        <w:t>”). An amount equivalent to the Exercise Expenses will be deducted by the Issuer from the Cash Settlement Amount in accordance with Condition 4. Notwithstanding the foregoing, the Certificate Holders shall account to the Issuer on demand for any Exercise Expenses to the extent that they were not or could not be deducted from the Cash Settlement Amount prior to the date of payment of the Cash Settlement Amount to the Certificate Holders in accordance with Condition 4.</w:t>
      </w:r>
    </w:p>
    <w:p w14:paraId="08779DA0" w14:textId="77777777" w:rsidR="00B756B4" w:rsidRPr="00E65655" w:rsidRDefault="00B756B4" w:rsidP="00B756B4">
      <w:pPr>
        <w:pStyle w:val="abcde"/>
        <w:tabs>
          <w:tab w:val="clear" w:pos="1276"/>
        </w:tabs>
        <w:spacing w:after="140" w:line="290" w:lineRule="auto"/>
        <w:ind w:left="1440" w:hanging="720"/>
        <w:rPr>
          <w:rFonts w:ascii="Arial" w:hAnsi="Arial" w:cs="Arial"/>
          <w:lang w:eastAsia="zh-CN"/>
        </w:rPr>
      </w:pPr>
      <w:r w:rsidRPr="00E65655">
        <w:rPr>
          <w:rFonts w:ascii="Arial" w:hAnsi="Arial" w:cs="Arial"/>
          <w:lang w:eastAsia="zh-CN"/>
        </w:rPr>
        <w:lastRenderedPageBreak/>
        <w:t>(c)</w:t>
      </w:r>
      <w:r w:rsidRPr="00E65655">
        <w:rPr>
          <w:rFonts w:ascii="Arial" w:hAnsi="Arial" w:cs="Arial"/>
          <w:lang w:eastAsia="zh-CN"/>
        </w:rPr>
        <w:tab/>
        <w:t xml:space="preserve">No Rights. The purchase of </w:t>
      </w:r>
      <w:r w:rsidRPr="00E65655">
        <w:rPr>
          <w:rFonts w:ascii="Arial" w:hAnsi="Arial" w:cs="Arial" w:hint="eastAsia"/>
          <w:lang w:eastAsia="zh-CN"/>
        </w:rPr>
        <w:t>Certificate</w:t>
      </w:r>
      <w:r w:rsidRPr="00E65655">
        <w:rPr>
          <w:rFonts w:ascii="Arial" w:hAnsi="Arial" w:cs="Arial"/>
          <w:lang w:eastAsia="zh-CN"/>
        </w:rPr>
        <w:t xml:space="preserve">s does not confer on the </w:t>
      </w:r>
      <w:r w:rsidRPr="00E65655">
        <w:rPr>
          <w:rFonts w:ascii="Arial" w:hAnsi="Arial" w:cs="Arial" w:hint="eastAsia"/>
          <w:lang w:eastAsia="zh-CN"/>
        </w:rPr>
        <w:t>Certificate H</w:t>
      </w:r>
      <w:r w:rsidRPr="00E65655">
        <w:rPr>
          <w:rFonts w:ascii="Arial" w:hAnsi="Arial" w:cs="Arial"/>
          <w:lang w:eastAsia="zh-CN"/>
        </w:rPr>
        <w:t>older</w:t>
      </w:r>
      <w:r w:rsidRPr="00E65655">
        <w:rPr>
          <w:rFonts w:ascii="Arial" w:hAnsi="Arial" w:cs="Arial" w:hint="eastAsia"/>
          <w:lang w:eastAsia="zh-CN"/>
        </w:rPr>
        <w:t>s</w:t>
      </w:r>
      <w:r w:rsidRPr="00E65655">
        <w:rPr>
          <w:rFonts w:ascii="Arial" w:hAnsi="Arial" w:cs="Arial"/>
          <w:lang w:eastAsia="zh-CN"/>
        </w:rPr>
        <w:t xml:space="preserve"> any right (whether in respect of voting, dividend or other distributions in respect of the </w:t>
      </w:r>
      <w:r w:rsidRPr="00E65655">
        <w:rPr>
          <w:rFonts w:ascii="Arial" w:hAnsi="Arial" w:cs="Arial" w:hint="eastAsia"/>
          <w:lang w:eastAsia="zh-CN"/>
        </w:rPr>
        <w:t>Underlying Stock</w:t>
      </w:r>
      <w:r w:rsidRPr="00E65655">
        <w:rPr>
          <w:rFonts w:ascii="Arial" w:hAnsi="Arial" w:cs="Arial"/>
          <w:lang w:eastAsia="zh-CN"/>
        </w:rPr>
        <w:t xml:space="preserve"> or otherwise) which the holder of a</w:t>
      </w:r>
      <w:r w:rsidRPr="00E65655">
        <w:rPr>
          <w:rFonts w:ascii="Arial" w:hAnsi="Arial" w:cs="Arial" w:hint="eastAsia"/>
          <w:lang w:eastAsia="zh-CN"/>
        </w:rPr>
        <w:t>n</w:t>
      </w:r>
      <w:r w:rsidRPr="00E65655">
        <w:rPr>
          <w:rFonts w:ascii="Arial" w:hAnsi="Arial" w:cs="Arial"/>
          <w:lang w:eastAsia="zh-CN"/>
        </w:rPr>
        <w:t xml:space="preserve"> </w:t>
      </w:r>
      <w:r w:rsidRPr="00E65655">
        <w:rPr>
          <w:rFonts w:ascii="Arial" w:hAnsi="Arial" w:cs="Arial" w:hint="eastAsia"/>
          <w:lang w:eastAsia="zh-CN"/>
        </w:rPr>
        <w:t xml:space="preserve">Underlying Stock </w:t>
      </w:r>
      <w:r w:rsidRPr="00E65655">
        <w:rPr>
          <w:rFonts w:ascii="Arial" w:hAnsi="Arial" w:cs="Arial"/>
          <w:lang w:eastAsia="zh-CN"/>
        </w:rPr>
        <w:t>may have.</w:t>
      </w:r>
    </w:p>
    <w:p w14:paraId="6FE6B2ED" w14:textId="77777777" w:rsidR="00B756B4" w:rsidRPr="00E65655" w:rsidRDefault="00B756B4" w:rsidP="00B756B4">
      <w:pPr>
        <w:widowControl w:val="0"/>
        <w:spacing w:after="140" w:line="290" w:lineRule="auto"/>
        <w:jc w:val="both"/>
        <w:outlineLvl w:val="0"/>
        <w:rPr>
          <w:rFonts w:cs="Arial"/>
          <w:b/>
          <w:bCs/>
          <w:szCs w:val="20"/>
        </w:rPr>
      </w:pPr>
      <w:bookmarkStart w:id="31" w:name="_DV_M281"/>
      <w:bookmarkEnd w:id="31"/>
      <w:r w:rsidRPr="00E65655">
        <w:rPr>
          <w:rFonts w:cs="Arial"/>
          <w:b/>
          <w:bCs/>
          <w:szCs w:val="20"/>
        </w:rPr>
        <w:t>3.</w:t>
      </w:r>
      <w:r w:rsidRPr="00E65655">
        <w:rPr>
          <w:rFonts w:cs="Arial"/>
          <w:b/>
          <w:bCs/>
          <w:szCs w:val="20"/>
        </w:rPr>
        <w:tab/>
        <w:t>Expiry Date</w:t>
      </w:r>
    </w:p>
    <w:p w14:paraId="006B29F5" w14:textId="77777777" w:rsidR="00B756B4" w:rsidRPr="00E65655" w:rsidRDefault="00B756B4" w:rsidP="00B756B4">
      <w:pPr>
        <w:widowControl w:val="0"/>
        <w:spacing w:after="140" w:line="290" w:lineRule="auto"/>
        <w:ind w:firstLine="720"/>
        <w:jc w:val="both"/>
        <w:rPr>
          <w:rFonts w:cs="Arial"/>
          <w:szCs w:val="20"/>
        </w:rPr>
      </w:pPr>
      <w:bookmarkStart w:id="32" w:name="_DV_M282"/>
      <w:bookmarkEnd w:id="32"/>
      <w:r w:rsidRPr="00E65655">
        <w:rPr>
          <w:rFonts w:cs="Arial"/>
          <w:szCs w:val="20"/>
        </w:rPr>
        <w:t>Unless automatically exercised in accordance with Condition 4(b), the Certificates shall be deemed to expire at 10:00 a.m. (Singapore time) on the Expiry Date or if the Expiry Date is not a Business Day (as defined below), the immediately preceding Business Day.</w:t>
      </w:r>
    </w:p>
    <w:p w14:paraId="2A355939" w14:textId="77777777" w:rsidR="00B756B4" w:rsidRPr="00E65655" w:rsidRDefault="00B756B4" w:rsidP="00B756B4">
      <w:pPr>
        <w:widowControl w:val="0"/>
        <w:spacing w:after="140" w:line="290" w:lineRule="auto"/>
        <w:jc w:val="both"/>
        <w:outlineLvl w:val="0"/>
        <w:rPr>
          <w:rFonts w:cs="Arial"/>
          <w:b/>
          <w:bCs/>
          <w:szCs w:val="20"/>
        </w:rPr>
      </w:pPr>
      <w:bookmarkStart w:id="33" w:name="_DV_M283"/>
      <w:bookmarkEnd w:id="33"/>
      <w:r w:rsidRPr="00E65655">
        <w:rPr>
          <w:rFonts w:cs="Arial"/>
          <w:b/>
          <w:bCs/>
          <w:szCs w:val="20"/>
        </w:rPr>
        <w:t>4.</w:t>
      </w:r>
      <w:r w:rsidRPr="00E65655">
        <w:rPr>
          <w:rFonts w:cs="Arial"/>
          <w:b/>
          <w:bCs/>
          <w:szCs w:val="20"/>
        </w:rPr>
        <w:tab/>
        <w:t xml:space="preserve">Exercise of </w:t>
      </w:r>
      <w:r w:rsidRPr="00E65655">
        <w:rPr>
          <w:rFonts w:cs="Arial"/>
          <w:b/>
          <w:szCs w:val="20"/>
        </w:rPr>
        <w:t>Certificates</w:t>
      </w:r>
    </w:p>
    <w:p w14:paraId="5BACA28B"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34" w:name="_DV_M284"/>
      <w:bookmarkEnd w:id="34"/>
      <w:r w:rsidRPr="00E65655">
        <w:rPr>
          <w:rFonts w:ascii="Arial" w:hAnsi="Arial" w:cs="Arial"/>
        </w:rPr>
        <w:t>(a)</w:t>
      </w:r>
      <w:r w:rsidRPr="00E65655">
        <w:rPr>
          <w:rFonts w:ascii="Arial" w:hAnsi="Arial" w:cs="Arial"/>
        </w:rPr>
        <w:tab/>
      </w:r>
      <w:r w:rsidRPr="00E65655">
        <w:rPr>
          <w:rFonts w:ascii="Arial" w:hAnsi="Arial" w:cs="Arial"/>
          <w:i/>
          <w:iCs/>
        </w:rPr>
        <w:t>Exercise</w:t>
      </w:r>
      <w:r w:rsidRPr="00E65655">
        <w:rPr>
          <w:rFonts w:ascii="Arial" w:hAnsi="Arial" w:cs="Arial"/>
        </w:rPr>
        <w:t>. Certificates may only be exercised on the Expiry Date or if the Expiry Date is not a Business Day, the immediately preceding Business Day, in accordance with Condition 4(b).</w:t>
      </w:r>
    </w:p>
    <w:p w14:paraId="08E494BD"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35" w:name="_DV_M285"/>
      <w:bookmarkEnd w:id="35"/>
      <w:r w:rsidRPr="00E65655">
        <w:rPr>
          <w:rFonts w:ascii="Arial" w:hAnsi="Arial" w:cs="Arial"/>
        </w:rPr>
        <w:t>(b)</w:t>
      </w:r>
      <w:r w:rsidRPr="00E65655">
        <w:rPr>
          <w:rFonts w:ascii="Arial" w:hAnsi="Arial" w:cs="Arial"/>
        </w:rPr>
        <w:tab/>
      </w:r>
      <w:r w:rsidRPr="00E65655">
        <w:rPr>
          <w:rFonts w:ascii="Arial" w:hAnsi="Arial" w:cs="Arial"/>
          <w:i/>
          <w:iCs/>
        </w:rPr>
        <w:t>Automatic Exercise</w:t>
      </w:r>
      <w:r w:rsidRPr="00E65655">
        <w:rPr>
          <w:rFonts w:ascii="Arial" w:hAnsi="Arial" w:cs="Arial"/>
        </w:rPr>
        <w:t>. Certificate Holders shall not be required to deliver an exercise notice. Exercise of Certificates shall be determined by whether the Cash Settlement Amount (less any Exercise Expenses) is positive. If the Cash Settlement Amount (less any Exercise Expenses) is positive, all Certificates shall be deemed to have been automatically exercised at 10:00 a.m. (Singapore time) on the Expiry Date or if the Expiry Date is not a Business Day, the immediately preceding Business Day. The Cash Settlement Amount less the Exercise Expenses in respect of the Certificates shall be paid in the manner set out in Condition 4(c) below. In the event the Cash Settlement Amount (less any Exercise Expenses) is zero, all Certificates shall be deemed to have expired at 10:00 a.m. (Singapore time) on the Expiry Date or if the Expiry Date is not a Business Day, the immediately preceding Business Day, and Certificate Holders shall not be entitled to receive any payment from the Issuer in respect of the Certificates.</w:t>
      </w:r>
    </w:p>
    <w:p w14:paraId="442AD78C" w14:textId="172FD31C" w:rsidR="00B756B4" w:rsidRPr="00E65655" w:rsidRDefault="00B756B4" w:rsidP="00B756B4">
      <w:pPr>
        <w:pStyle w:val="abcde"/>
        <w:tabs>
          <w:tab w:val="clear" w:pos="1276"/>
        </w:tabs>
        <w:spacing w:after="140" w:line="290" w:lineRule="auto"/>
        <w:ind w:left="1440" w:hanging="720"/>
        <w:rPr>
          <w:rFonts w:ascii="Arial" w:hAnsi="Arial" w:cs="Arial"/>
        </w:rPr>
      </w:pPr>
      <w:bookmarkStart w:id="36" w:name="_DV_M286"/>
      <w:bookmarkEnd w:id="36"/>
      <w:r w:rsidRPr="00E65655">
        <w:rPr>
          <w:rFonts w:ascii="Arial" w:hAnsi="Arial" w:cs="Arial"/>
        </w:rPr>
        <w:t>(c)</w:t>
      </w:r>
      <w:r w:rsidRPr="00E65655">
        <w:rPr>
          <w:rFonts w:ascii="Arial" w:hAnsi="Arial" w:cs="Arial"/>
        </w:rPr>
        <w:tab/>
      </w:r>
      <w:r w:rsidRPr="00E65655">
        <w:rPr>
          <w:rFonts w:ascii="Arial" w:hAnsi="Arial" w:cs="Arial"/>
          <w:i/>
        </w:rPr>
        <w:t>Settlement</w:t>
      </w:r>
      <w:r w:rsidRPr="00E65655">
        <w:rPr>
          <w:rFonts w:ascii="Arial" w:hAnsi="Arial" w:cs="Arial"/>
        </w:rPr>
        <w:t xml:space="preserve">. In respect of Certificates which are automatically exercised in accordance with Condition 4(b), the Issuer will pay to the relevant Certificate Holder the Cash Settlement Amount (if any) in the Settlement Currency. The aggregate Cash Settlement Amount (less any Exercise Expenses) shall be despatched as soon as practicable and no later than five </w:t>
      </w:r>
      <w:r w:rsidR="004206B3" w:rsidRPr="00E65655">
        <w:rPr>
          <w:rFonts w:ascii="Arial" w:hAnsi="Arial" w:cs="Arial"/>
        </w:rPr>
        <w:t xml:space="preserve">Settlement </w:t>
      </w:r>
      <w:r w:rsidRPr="00E65655">
        <w:rPr>
          <w:rFonts w:ascii="Arial" w:hAnsi="Arial" w:cs="Arial"/>
        </w:rPr>
        <w:t xml:space="preserve">Business Days </w:t>
      </w:r>
      <w:r w:rsidR="004206B3" w:rsidRPr="00E65655">
        <w:rPr>
          <w:rFonts w:ascii="Arial" w:hAnsi="Arial" w:cs="Arial"/>
        </w:rPr>
        <w:t xml:space="preserve">(as defined in the relevant Supplemental Listing Document and subject to extension upon the occurrence of a Settlement Disruption Event (as defined below)) </w:t>
      </w:r>
      <w:r w:rsidRPr="00E65655">
        <w:rPr>
          <w:rFonts w:ascii="Arial" w:hAnsi="Arial" w:cs="Arial"/>
        </w:rPr>
        <w:t>following the Expiry Date by way of crossed cheque or other payment in immediately available funds drawn in favour of the Certificate Holder only (or, in the case of joint Certificate Holders, the first-named Certificate Holder) appearing in the records maintained by CDP. Any payment made pursuant to this Condition 4(c) shall be delivered at the risk and expense of the Certificate Holder and posted to the Certificate Holder’s address appearing in the records maintained by CDP (or, in the case of joint Certificate Holders, to the address of the first-named Certificate Holder appearing in the records maintained by CDP). If the Cash Settlement Amount is equal to or less than the determined Exercise Expenses, no amount is payable.</w:t>
      </w:r>
    </w:p>
    <w:p w14:paraId="5E438631" w14:textId="77777777" w:rsidR="0021550A" w:rsidRPr="00E65655" w:rsidRDefault="0021550A" w:rsidP="0021550A">
      <w:pPr>
        <w:pStyle w:val="abcde"/>
        <w:tabs>
          <w:tab w:val="clear" w:pos="1276"/>
        </w:tabs>
        <w:spacing w:after="140" w:line="290" w:lineRule="auto"/>
        <w:ind w:left="1440" w:firstLine="0"/>
        <w:rPr>
          <w:rFonts w:ascii="Arial" w:hAnsi="Arial" w:cs="Arial"/>
        </w:rPr>
      </w:pPr>
      <w:r w:rsidRPr="00E65655">
        <w:rPr>
          <w:rFonts w:ascii="Arial" w:hAnsi="Arial" w:cs="Arial"/>
        </w:rPr>
        <w:t xml:space="preserve">If the Issuer determines, in its sole discretion, that on any Settlement Business Day during the period of five Settlement Business Days following the Expiry Date a Settlement Disruption Event has occurred, such Settlement Business Day shall be postponed to the next Settlement Business Day on which the Issuer determines that the Settlement Disruption Event is no longer subsisting and such period shall be extended accordingly, provided that the Issuer and/or the Guarantor shall make their best endeavours to implement remedies as soon as reasonably practicable to eliminate </w:t>
      </w:r>
      <w:r w:rsidRPr="00E65655">
        <w:rPr>
          <w:rFonts w:ascii="Arial" w:hAnsi="Arial" w:cs="Arial"/>
        </w:rPr>
        <w:lastRenderedPageBreak/>
        <w:t>the impact of the Settlement Disruption Event on its/their payment obligations under the Certificates and/or the Guarantee.</w:t>
      </w:r>
    </w:p>
    <w:p w14:paraId="5F7FE28F" w14:textId="77777777" w:rsidR="0021550A" w:rsidRPr="00E65655" w:rsidRDefault="0021550A" w:rsidP="0021550A">
      <w:pPr>
        <w:pStyle w:val="abcde"/>
        <w:tabs>
          <w:tab w:val="clear" w:pos="1276"/>
        </w:tabs>
        <w:spacing w:after="140" w:line="286" w:lineRule="auto"/>
        <w:ind w:left="1440" w:firstLine="0"/>
        <w:rPr>
          <w:rFonts w:ascii="Arial" w:hAnsi="Arial" w:cs="Arial"/>
        </w:rPr>
      </w:pPr>
      <w:r w:rsidRPr="00E65655">
        <w:rPr>
          <w:rFonts w:ascii="Arial" w:hAnsi="Arial" w:cs="Arial"/>
        </w:rPr>
        <w:t>“</w:t>
      </w:r>
      <w:r w:rsidRPr="00E65655">
        <w:rPr>
          <w:rFonts w:ascii="Arial" w:hAnsi="Arial" w:cs="Arial"/>
          <w:b/>
          <w:bCs/>
        </w:rPr>
        <w:t>Settlement Disruption Event</w:t>
      </w:r>
      <w:r w:rsidRPr="00E65655">
        <w:rPr>
          <w:rFonts w:ascii="Arial" w:hAnsi="Arial" w:cs="Arial"/>
        </w:rPr>
        <w:t>” means the occurrence or existence of any malicious action or attempt initiated to steal, expose, alter, disable or destroy information through unauthorised access to</w:t>
      </w:r>
      <w:bookmarkStart w:id="37" w:name="_Hlk135747162"/>
      <w:r w:rsidRPr="00E65655">
        <w:rPr>
          <w:rFonts w:ascii="Arial" w:hAnsi="Arial" w:cs="Arial"/>
        </w:rPr>
        <w:t>, or maintenance or use of, the Computer Systems</w:t>
      </w:r>
      <w:bookmarkEnd w:id="37"/>
      <w:r w:rsidRPr="00E65655">
        <w:rPr>
          <w:rFonts w:ascii="Arial" w:hAnsi="Arial" w:cs="Arial"/>
        </w:rPr>
        <w:t xml:space="preserve"> of the Issuer, the Guarantor, the Calculation Agent, their respective affiliates</w:t>
      </w:r>
      <w:bookmarkStart w:id="38" w:name="_Hlk135747228"/>
      <w:r w:rsidRPr="00E65655">
        <w:rPr>
          <w:rFonts w:ascii="Arial" w:hAnsi="Arial" w:cs="Arial"/>
        </w:rPr>
        <w:t xml:space="preserve"> (the “</w:t>
      </w:r>
      <w:r w:rsidRPr="00E65655">
        <w:rPr>
          <w:rFonts w:ascii="Arial" w:hAnsi="Arial" w:cs="Arial"/>
          <w:b/>
          <w:bCs/>
        </w:rPr>
        <w:t>SG Group</w:t>
      </w:r>
      <w:r w:rsidRPr="00E65655">
        <w:rPr>
          <w:rFonts w:ascii="Arial" w:hAnsi="Arial" w:cs="Arial"/>
        </w:rPr>
        <w:t>”)</w:t>
      </w:r>
      <w:bookmarkEnd w:id="38"/>
      <w:r w:rsidRPr="00E65655">
        <w:rPr>
          <w:rFonts w:ascii="Arial" w:hAnsi="Arial" w:cs="Arial"/>
        </w:rPr>
        <w:t xml:space="preserve">, their IT service providers, by (and without limitation) the use of malware, ransomware, phishing, denial </w:t>
      </w:r>
      <w:bookmarkStart w:id="39" w:name="_Hlk135747279"/>
      <w:r w:rsidRPr="00E65655">
        <w:rPr>
          <w:rFonts w:ascii="Arial" w:hAnsi="Arial" w:cs="Arial"/>
        </w:rPr>
        <w:t xml:space="preserve">or disruption </w:t>
      </w:r>
      <w:bookmarkEnd w:id="39"/>
      <w:r w:rsidRPr="00E65655">
        <w:rPr>
          <w:rFonts w:ascii="Arial" w:hAnsi="Arial" w:cs="Arial"/>
        </w:rPr>
        <w:t>of service or cryptojacking</w:t>
      </w:r>
      <w:bookmarkStart w:id="40" w:name="_Hlk135747301"/>
      <w:r w:rsidRPr="00E65655">
        <w:rPr>
          <w:rFonts w:ascii="Arial" w:hAnsi="Arial" w:cs="Arial"/>
        </w:rPr>
        <w:t xml:space="preserve"> or any unauthorized entry, removal, reproduction, transmission, deletion, disclosure or modification</w:t>
      </w:r>
      <w:bookmarkEnd w:id="40"/>
      <w:r w:rsidRPr="00E65655">
        <w:rPr>
          <w:rFonts w:ascii="Arial" w:hAnsi="Arial" w:cs="Arial"/>
        </w:rPr>
        <w:t xml:space="preserve"> preventing the Issuer, the Guarantor and/or the Calculation Agent to perform their obligations under the Certificates, and notwithstanding  the implementation of processes, required, as the case may be, by the laws and regulations applicable to the Issuer, the Guarantor, the Calculation Agent and their affiliates, or their IT service providers to improve their resilience to these actions and attempts.</w:t>
      </w:r>
      <w:bookmarkStart w:id="41" w:name="_Hlk135747345"/>
    </w:p>
    <w:p w14:paraId="48238335" w14:textId="77777777" w:rsidR="0021550A" w:rsidRPr="00E65655" w:rsidRDefault="0021550A" w:rsidP="0021550A">
      <w:pPr>
        <w:pStyle w:val="abcde"/>
        <w:tabs>
          <w:tab w:val="clear" w:pos="1276"/>
        </w:tabs>
        <w:spacing w:after="140" w:line="286" w:lineRule="auto"/>
        <w:ind w:left="1440" w:firstLine="0"/>
        <w:rPr>
          <w:rFonts w:ascii="Arial" w:hAnsi="Arial" w:cs="Arial"/>
        </w:rPr>
      </w:pPr>
      <w:r w:rsidRPr="00E65655">
        <w:rPr>
          <w:rFonts w:ascii="Arial" w:hAnsi="Arial" w:cs="Arial"/>
        </w:rPr>
        <w:t>“</w:t>
      </w:r>
      <w:r w:rsidRPr="00E65655">
        <w:rPr>
          <w:rFonts w:ascii="Arial" w:hAnsi="Arial" w:cs="Arial"/>
          <w:b/>
          <w:bCs/>
        </w:rPr>
        <w:t>Computer System</w:t>
      </w:r>
      <w:r w:rsidRPr="00E65655">
        <w:rPr>
          <w:rFonts w:ascii="Arial" w:hAnsi="Arial" w:cs="Arial"/>
        </w:rPr>
        <w:t>” means all the computer resources including, in particular: hardware, software packages, software, databases and peripherals, equipment, networks, electronic installations for storing computer data, including Data. The Computer System shall be understood to be that which (i) belongs to the SG Group and/or (ii) is rented, operated or legally held by the SG Group under a contract with the holder of the rights to the said system and/or (iii) is operated on behalf of the SG Group by a third party within the scope of a contractual relationship and/or (iv) is made available to the SG Group under a contract within the framework of a shared system (in particular cloud computing).</w:t>
      </w:r>
    </w:p>
    <w:p w14:paraId="0375EE4C" w14:textId="6CEDD7E8" w:rsidR="0021550A" w:rsidRPr="00E65655" w:rsidRDefault="0021550A" w:rsidP="0021550A">
      <w:pPr>
        <w:pStyle w:val="abcde"/>
        <w:tabs>
          <w:tab w:val="clear" w:pos="1276"/>
        </w:tabs>
        <w:spacing w:after="140" w:line="286" w:lineRule="auto"/>
        <w:ind w:left="1440" w:firstLine="0"/>
        <w:rPr>
          <w:rFonts w:ascii="Arial" w:hAnsi="Arial" w:cs="Arial"/>
        </w:rPr>
      </w:pPr>
      <w:r w:rsidRPr="00E65655">
        <w:rPr>
          <w:rFonts w:ascii="Arial" w:hAnsi="Arial" w:cs="Arial"/>
        </w:rPr>
        <w:t>“</w:t>
      </w:r>
      <w:r w:rsidRPr="00E65655">
        <w:rPr>
          <w:rFonts w:ascii="Arial" w:hAnsi="Arial" w:cs="Arial"/>
          <w:b/>
          <w:bCs/>
        </w:rPr>
        <w:t>Data</w:t>
      </w:r>
      <w:r w:rsidRPr="00E65655">
        <w:rPr>
          <w:rFonts w:ascii="Arial" w:hAnsi="Arial" w:cs="Arial"/>
        </w:rPr>
        <w:t>” means any digital information, stored or used by the Computer System, including confidential data.</w:t>
      </w:r>
      <w:bookmarkEnd w:id="41"/>
    </w:p>
    <w:p w14:paraId="3A9BFB3D"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42" w:name="_DV_M287"/>
      <w:bookmarkStart w:id="43" w:name="_DV_M296"/>
      <w:bookmarkEnd w:id="42"/>
      <w:bookmarkEnd w:id="43"/>
      <w:r w:rsidRPr="00E65655">
        <w:rPr>
          <w:rFonts w:ascii="Arial" w:hAnsi="Arial" w:cs="Arial"/>
        </w:rPr>
        <w:t>(d)</w:t>
      </w:r>
      <w:r w:rsidRPr="00E65655">
        <w:rPr>
          <w:rFonts w:ascii="Arial" w:hAnsi="Arial" w:cs="Arial"/>
        </w:rPr>
        <w:tab/>
      </w:r>
      <w:r w:rsidRPr="00E65655">
        <w:rPr>
          <w:rFonts w:ascii="Arial" w:hAnsi="Arial" w:cs="Arial"/>
          <w:i/>
          <w:iCs/>
        </w:rPr>
        <w:t>CDP not liable</w:t>
      </w:r>
      <w:r w:rsidRPr="00E65655">
        <w:rPr>
          <w:rFonts w:ascii="Arial" w:hAnsi="Arial" w:cs="Arial"/>
        </w:rPr>
        <w:t>. CDP shall not be liable to any Certificate Holder with respect to any action taken or omitted to be taken by the Issuer or the Warrant Agent in connection with the exercise of the Certificates or otherwise pursuant to or in connection with these Conditions.</w:t>
      </w:r>
    </w:p>
    <w:p w14:paraId="0D0223C9"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44" w:name="_DV_M297"/>
      <w:bookmarkEnd w:id="44"/>
      <w:r w:rsidRPr="00E65655">
        <w:rPr>
          <w:rFonts w:ascii="Arial" w:hAnsi="Arial" w:cs="Arial"/>
        </w:rPr>
        <w:t>(e)</w:t>
      </w:r>
      <w:r w:rsidRPr="00E65655">
        <w:rPr>
          <w:rFonts w:ascii="Arial" w:hAnsi="Arial" w:cs="Arial"/>
        </w:rPr>
        <w:tab/>
      </w:r>
      <w:r w:rsidRPr="00E65655">
        <w:rPr>
          <w:rFonts w:ascii="Arial" w:hAnsi="Arial" w:cs="Arial"/>
          <w:i/>
          <w:iCs/>
        </w:rPr>
        <w:t>Business Day</w:t>
      </w:r>
      <w:r w:rsidRPr="00E65655">
        <w:rPr>
          <w:rFonts w:ascii="Arial" w:hAnsi="Arial" w:cs="Arial"/>
        </w:rPr>
        <w:t>. In these Conditions, a “</w:t>
      </w:r>
      <w:r w:rsidRPr="00E65655">
        <w:rPr>
          <w:rFonts w:ascii="Arial" w:hAnsi="Arial" w:cs="Arial"/>
          <w:b/>
        </w:rPr>
        <w:t>Business Day</w:t>
      </w:r>
      <w:r w:rsidRPr="00E65655">
        <w:rPr>
          <w:rFonts w:ascii="Arial" w:hAnsi="Arial" w:cs="Arial"/>
        </w:rPr>
        <w:t>” shall be a day on which the SGX-ST is open for dealings in Singapore during its normal trading hours and banks are open for business in Singapore.</w:t>
      </w:r>
    </w:p>
    <w:p w14:paraId="26239A95" w14:textId="77777777" w:rsidR="00B756B4" w:rsidRPr="00E65655" w:rsidRDefault="00B756B4" w:rsidP="00B756B4">
      <w:pPr>
        <w:keepNext/>
        <w:keepLines/>
        <w:widowControl w:val="0"/>
        <w:spacing w:after="140" w:line="290" w:lineRule="auto"/>
        <w:jc w:val="both"/>
        <w:outlineLvl w:val="0"/>
        <w:rPr>
          <w:rFonts w:cs="Arial"/>
          <w:b/>
          <w:bCs/>
          <w:szCs w:val="20"/>
        </w:rPr>
      </w:pPr>
      <w:bookmarkStart w:id="45" w:name="_DV_M298"/>
      <w:bookmarkEnd w:id="45"/>
      <w:r w:rsidRPr="00E65655">
        <w:rPr>
          <w:rFonts w:cs="Arial"/>
          <w:b/>
          <w:bCs/>
          <w:szCs w:val="20"/>
        </w:rPr>
        <w:t>5.</w:t>
      </w:r>
      <w:r w:rsidRPr="00E65655">
        <w:rPr>
          <w:rFonts w:cs="Arial"/>
          <w:b/>
          <w:bCs/>
          <w:szCs w:val="20"/>
        </w:rPr>
        <w:tab/>
        <w:t>Warrant Agent</w:t>
      </w:r>
    </w:p>
    <w:p w14:paraId="3EEE0153"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46" w:name="_DV_M299"/>
      <w:bookmarkEnd w:id="46"/>
      <w:r w:rsidRPr="00E65655">
        <w:rPr>
          <w:rFonts w:ascii="Arial" w:hAnsi="Arial" w:cs="Arial"/>
        </w:rPr>
        <w:t>(a)</w:t>
      </w:r>
      <w:r w:rsidRPr="00E65655">
        <w:rPr>
          <w:rFonts w:ascii="Arial" w:hAnsi="Arial" w:cs="Arial"/>
        </w:rPr>
        <w:tab/>
      </w:r>
      <w:r w:rsidRPr="00E65655">
        <w:rPr>
          <w:rFonts w:ascii="Arial" w:hAnsi="Arial" w:cs="Arial"/>
          <w:i/>
          <w:iCs/>
        </w:rPr>
        <w:t>Warrant Agent</w:t>
      </w:r>
      <w:r w:rsidRPr="00E65655">
        <w:rPr>
          <w:rFonts w:ascii="Arial" w:hAnsi="Arial" w:cs="Arial"/>
        </w:rPr>
        <w:t>. The Issuer reserves the right, subject to the appointment of a successor, at any time to vary or terminate the appointment of the Warrant Agent and to appoint another Warrant Agent provided that it will at all times maintain a Warrant Agent which, so long as the Certificates are listed on the SGX-ST, shall be in Singapore. Notice of any such termination or appointment and of any change in the specified office of the Warrant Agent will be given to the Certificate Holders in accordance with Condition 9.</w:t>
      </w:r>
    </w:p>
    <w:p w14:paraId="4BB593A9" w14:textId="77777777" w:rsidR="00B756B4" w:rsidRPr="00E65655" w:rsidRDefault="00B756B4" w:rsidP="00B756B4">
      <w:pPr>
        <w:pStyle w:val="abcde"/>
        <w:tabs>
          <w:tab w:val="clear" w:pos="1276"/>
        </w:tabs>
        <w:spacing w:after="140" w:line="290" w:lineRule="auto"/>
        <w:ind w:left="1440" w:hanging="720"/>
        <w:rPr>
          <w:rFonts w:ascii="Arial" w:hAnsi="Arial" w:cs="Arial"/>
        </w:rPr>
      </w:pPr>
      <w:bookmarkStart w:id="47" w:name="_DV_M300"/>
      <w:bookmarkEnd w:id="47"/>
      <w:r w:rsidRPr="00E65655">
        <w:rPr>
          <w:rFonts w:ascii="Arial" w:hAnsi="Arial" w:cs="Arial"/>
        </w:rPr>
        <w:t>(b)</w:t>
      </w:r>
      <w:r w:rsidRPr="00E65655">
        <w:rPr>
          <w:rFonts w:ascii="Arial" w:hAnsi="Arial" w:cs="Arial"/>
        </w:rPr>
        <w:tab/>
      </w:r>
      <w:r w:rsidRPr="00E65655">
        <w:rPr>
          <w:rFonts w:ascii="Arial" w:hAnsi="Arial" w:cs="Arial"/>
          <w:i/>
          <w:iCs/>
        </w:rPr>
        <w:t>Agent of Issuer</w:t>
      </w:r>
      <w:r w:rsidRPr="00E65655">
        <w:rPr>
          <w:rFonts w:ascii="Arial" w:hAnsi="Arial" w:cs="Arial"/>
        </w:rPr>
        <w:t>. The Warrant Agent will be acting as agent of the Issuer and will not assume any obligation or duty to or any relationship of agency or trust for the Certificate Holders. All determinations and calculations by the Warrant Agent under these Conditions shall (save in the case of manifest error) be final and binding on the Issuer and the Certificate Holders.</w:t>
      </w:r>
    </w:p>
    <w:p w14:paraId="0FEE9151" w14:textId="77777777" w:rsidR="00B756B4" w:rsidRPr="00E65655" w:rsidRDefault="00B756B4" w:rsidP="00876F89">
      <w:pPr>
        <w:keepNext/>
        <w:keepLines/>
        <w:widowControl w:val="0"/>
        <w:spacing w:after="140" w:line="290" w:lineRule="auto"/>
        <w:jc w:val="both"/>
        <w:outlineLvl w:val="0"/>
        <w:rPr>
          <w:rFonts w:eastAsia="Times New Roman" w:cs="Arial"/>
          <w:b/>
          <w:bCs/>
          <w:szCs w:val="20"/>
        </w:rPr>
      </w:pPr>
      <w:bookmarkStart w:id="48" w:name="_DV_M301"/>
      <w:bookmarkEnd w:id="48"/>
      <w:r w:rsidRPr="00E65655">
        <w:rPr>
          <w:rFonts w:eastAsia="Times New Roman" w:cs="Arial"/>
          <w:b/>
          <w:bCs/>
          <w:szCs w:val="20"/>
        </w:rPr>
        <w:lastRenderedPageBreak/>
        <w:t>6.</w:t>
      </w:r>
      <w:r w:rsidRPr="00E65655">
        <w:rPr>
          <w:rFonts w:eastAsia="Times New Roman" w:cs="Arial"/>
          <w:b/>
          <w:bCs/>
          <w:szCs w:val="20"/>
        </w:rPr>
        <w:tab/>
        <w:t>Adjustments</w:t>
      </w:r>
    </w:p>
    <w:p w14:paraId="4E497883" w14:textId="77777777" w:rsidR="00B756B4" w:rsidRPr="00E65655" w:rsidRDefault="00B756B4" w:rsidP="00876F89">
      <w:pPr>
        <w:keepNext/>
        <w:keepLines/>
        <w:widowControl w:val="0"/>
        <w:spacing w:after="140" w:line="290" w:lineRule="auto"/>
        <w:ind w:left="1440" w:hanging="720"/>
        <w:jc w:val="both"/>
        <w:rPr>
          <w:rFonts w:cs="Arial"/>
          <w:color w:val="000000"/>
        </w:rPr>
      </w:pPr>
      <w:bookmarkStart w:id="49" w:name="_DV_M115"/>
      <w:bookmarkEnd w:id="49"/>
      <w:r w:rsidRPr="00E65655">
        <w:rPr>
          <w:rFonts w:cs="Arial"/>
        </w:rPr>
        <w:t>(a)</w:t>
      </w:r>
      <w:r w:rsidRPr="00E65655">
        <w:rPr>
          <w:rFonts w:cs="Arial"/>
        </w:rPr>
        <w:tab/>
      </w:r>
      <w:r w:rsidRPr="00E65655">
        <w:rPr>
          <w:rStyle w:val="DeltaViewMoveDestination"/>
          <w:rFonts w:cs="Arial"/>
          <w:i/>
          <w:color w:val="000000"/>
          <w:u w:val="none"/>
        </w:rPr>
        <w:t>Potential Adjustment Event</w:t>
      </w:r>
      <w:r w:rsidRPr="00E65655">
        <w:rPr>
          <w:rStyle w:val="DeltaViewInsertion"/>
          <w:rFonts w:cs="Arial"/>
          <w:color w:val="000000"/>
          <w:u w:val="none"/>
        </w:rPr>
        <w:t xml:space="preserve">.  </w:t>
      </w:r>
      <w:r w:rsidRPr="00E65655">
        <w:rPr>
          <w:rFonts w:cs="Arial"/>
          <w:color w:val="000000"/>
        </w:rPr>
        <w:t>Following the declaration by a Company of the terms of any Potential Adjustment Event</w:t>
      </w:r>
      <w:r w:rsidRPr="00E65655">
        <w:rPr>
          <w:rStyle w:val="DeltaViewInsertion"/>
          <w:rFonts w:cs="Arial"/>
          <w:color w:val="000000"/>
          <w:u w:val="none"/>
        </w:rPr>
        <w:t xml:space="preserve"> (as defined below)</w:t>
      </w:r>
      <w:r w:rsidRPr="00E65655">
        <w:rPr>
          <w:rFonts w:cs="Arial"/>
          <w:color w:val="000000"/>
        </w:rPr>
        <w:t xml:space="preserve">, the </w:t>
      </w:r>
      <w:r w:rsidRPr="00E65655">
        <w:rPr>
          <w:rStyle w:val="DeltaViewInsertion"/>
          <w:rFonts w:cs="Arial"/>
          <w:color w:val="000000"/>
          <w:u w:val="none"/>
        </w:rPr>
        <w:t>Issuer</w:t>
      </w:r>
      <w:r w:rsidRPr="00E65655">
        <w:rPr>
          <w:rFonts w:cs="Arial"/>
          <w:color w:val="000000"/>
        </w:rPr>
        <w:t xml:space="preserve"> will determine whether such Potential Adjustment Event has a dilutive or concentrative or other effect on the theoretical value of the </w:t>
      </w:r>
      <w:r w:rsidRPr="00E65655">
        <w:rPr>
          <w:rFonts w:cs="Arial" w:hint="eastAsia"/>
          <w:color w:val="000000"/>
          <w:lang w:eastAsia="zh-CN"/>
        </w:rPr>
        <w:t>Underlying Stock</w:t>
      </w:r>
      <w:r w:rsidRPr="00E65655">
        <w:rPr>
          <w:rFonts w:cs="Arial"/>
          <w:color w:val="000000"/>
        </w:rPr>
        <w:t xml:space="preserve"> and, if so, will (i) make the corresponding adjustment, if any, to any one or more of the Conditions as the </w:t>
      </w:r>
      <w:r w:rsidRPr="00E65655">
        <w:rPr>
          <w:rStyle w:val="DeltaViewInsertion"/>
          <w:rFonts w:cs="Arial"/>
          <w:color w:val="000000"/>
          <w:u w:val="none"/>
        </w:rPr>
        <w:t>Issuer</w:t>
      </w:r>
      <w:r w:rsidRPr="00E65655">
        <w:rPr>
          <w:rFonts w:cs="Arial"/>
          <w:color w:val="000000"/>
        </w:rPr>
        <w:t xml:space="preserve"> determines appropriate to account for that dilutive or concentrative or other effect</w:t>
      </w:r>
      <w:r w:rsidRPr="00E65655">
        <w:rPr>
          <w:rStyle w:val="DeltaViewInsertion"/>
          <w:rFonts w:cs="Arial"/>
          <w:color w:val="000000"/>
          <w:u w:val="none"/>
        </w:rPr>
        <w:t>,</w:t>
      </w:r>
      <w:r w:rsidRPr="00E65655">
        <w:rPr>
          <w:rFonts w:cs="Arial"/>
          <w:color w:val="000000"/>
        </w:rPr>
        <w:t xml:space="preserve"> and (ii) determine the effective date of that adjustment. The </w:t>
      </w:r>
      <w:r w:rsidRPr="00E65655">
        <w:rPr>
          <w:rStyle w:val="DeltaViewInsertion"/>
          <w:rFonts w:cs="Arial"/>
          <w:color w:val="000000"/>
          <w:u w:val="none"/>
        </w:rPr>
        <w:t>Issuer</w:t>
      </w:r>
      <w:r w:rsidRPr="00E65655">
        <w:rPr>
          <w:rFonts w:cs="Arial"/>
          <w:color w:val="000000"/>
        </w:rPr>
        <w:t xml:space="preserve"> may, but need not, determine the appropriate adjustment by reference to the adjustment in respect of such Potential Adjustment Event made by an exchange on which options or futures contracts on the </w:t>
      </w:r>
      <w:r w:rsidRPr="00E65655">
        <w:rPr>
          <w:rFonts w:cs="Arial" w:hint="eastAsia"/>
          <w:color w:val="000000"/>
          <w:lang w:eastAsia="zh-CN"/>
        </w:rPr>
        <w:t>Underlying Stock</w:t>
      </w:r>
      <w:r w:rsidRPr="00E65655">
        <w:rPr>
          <w:rFonts w:cs="Arial"/>
          <w:color w:val="000000"/>
        </w:rPr>
        <w:t xml:space="preserve"> are traded.</w:t>
      </w:r>
    </w:p>
    <w:p w14:paraId="73A11A3F" w14:textId="77777777" w:rsidR="00B756B4" w:rsidRPr="00E65655" w:rsidRDefault="00B756B4" w:rsidP="00B756B4">
      <w:pPr>
        <w:widowControl w:val="0"/>
        <w:spacing w:after="140" w:line="290" w:lineRule="auto"/>
        <w:ind w:firstLine="720"/>
        <w:jc w:val="both"/>
        <w:rPr>
          <w:rFonts w:cs="Arial"/>
          <w:color w:val="000000"/>
        </w:rPr>
      </w:pPr>
      <w:r w:rsidRPr="00E65655">
        <w:rPr>
          <w:rStyle w:val="DeltaViewInsertion"/>
          <w:rFonts w:cs="Arial"/>
          <w:iCs/>
          <w:color w:val="000000"/>
          <w:u w:val="none"/>
        </w:rPr>
        <w:t>(b)</w:t>
      </w:r>
      <w:r w:rsidRPr="00E65655">
        <w:rPr>
          <w:rStyle w:val="DeltaViewInsertion"/>
          <w:rFonts w:cs="Arial"/>
          <w:iCs/>
          <w:color w:val="000000"/>
          <w:u w:val="none"/>
        </w:rPr>
        <w:tab/>
      </w:r>
      <w:r w:rsidRPr="00E65655">
        <w:rPr>
          <w:rStyle w:val="DeltaViewInsertion"/>
          <w:rFonts w:cs="Arial"/>
          <w:i/>
          <w:color w:val="000000"/>
          <w:u w:val="none"/>
        </w:rPr>
        <w:t>Definitions</w:t>
      </w:r>
      <w:r w:rsidRPr="00E65655">
        <w:rPr>
          <w:rStyle w:val="DeltaViewInsertion"/>
          <w:rFonts w:cs="Arial"/>
          <w:color w:val="000000"/>
          <w:u w:val="none"/>
        </w:rPr>
        <w:t xml:space="preserve">.  </w:t>
      </w:r>
      <w:r w:rsidRPr="00E65655">
        <w:rPr>
          <w:rFonts w:cs="Arial"/>
          <w:color w:val="000000"/>
        </w:rPr>
        <w:t>“</w:t>
      </w:r>
      <w:r w:rsidRPr="00E65655">
        <w:rPr>
          <w:rFonts w:cs="Arial"/>
          <w:b/>
          <w:bCs/>
          <w:color w:val="000000"/>
        </w:rPr>
        <w:t>Potential Adjustment Event</w:t>
      </w:r>
      <w:r w:rsidRPr="00E65655">
        <w:rPr>
          <w:rFonts w:cs="Arial"/>
          <w:color w:val="000000"/>
        </w:rPr>
        <w:t>” means any of the following:</w:t>
      </w:r>
    </w:p>
    <w:p w14:paraId="0678C8DE" w14:textId="77777777" w:rsidR="00B756B4" w:rsidRPr="00E65655" w:rsidRDefault="00B756B4" w:rsidP="00B756B4">
      <w:pPr>
        <w:widowControl w:val="0"/>
        <w:spacing w:after="140" w:line="290" w:lineRule="auto"/>
        <w:ind w:left="2160" w:hanging="720"/>
        <w:jc w:val="both"/>
        <w:rPr>
          <w:rFonts w:cs="Arial"/>
          <w:color w:val="000000"/>
        </w:rPr>
      </w:pPr>
      <w:r w:rsidRPr="00E65655">
        <w:rPr>
          <w:rFonts w:cs="Arial"/>
          <w:color w:val="000000"/>
        </w:rPr>
        <w:t>(i)</w:t>
      </w:r>
      <w:r w:rsidRPr="00E65655">
        <w:rPr>
          <w:rFonts w:cs="Arial"/>
          <w:color w:val="000000"/>
        </w:rPr>
        <w:tab/>
        <w:t xml:space="preserve">a subdivision, consolidation, reclassification or other restructuring of the </w:t>
      </w:r>
      <w:r w:rsidRPr="00E65655">
        <w:rPr>
          <w:rFonts w:cs="Arial" w:hint="eastAsia"/>
          <w:color w:val="000000"/>
          <w:lang w:eastAsia="zh-CN"/>
        </w:rPr>
        <w:t>Underlying Stock</w:t>
      </w:r>
      <w:r w:rsidRPr="00E65655">
        <w:rPr>
          <w:rFonts w:cs="Arial"/>
          <w:color w:val="000000"/>
        </w:rPr>
        <w:t xml:space="preserve"> (excluding a Merger Event) or a free distribution or dividend of any such </w:t>
      </w:r>
      <w:r w:rsidRPr="00E65655">
        <w:rPr>
          <w:rFonts w:cs="Arial" w:hint="eastAsia"/>
          <w:color w:val="000000"/>
          <w:lang w:eastAsia="zh-CN"/>
        </w:rPr>
        <w:t>Underlying Stock</w:t>
      </w:r>
      <w:r w:rsidRPr="00E65655">
        <w:rPr>
          <w:rFonts w:cs="Arial"/>
          <w:color w:val="000000"/>
        </w:rPr>
        <w:t xml:space="preserve"> to existing holders by way of bonus, capitalisation or similar </w:t>
      </w:r>
      <w:proofErr w:type="gramStart"/>
      <w:r w:rsidRPr="00E65655">
        <w:rPr>
          <w:rFonts w:cs="Arial"/>
          <w:color w:val="000000"/>
        </w:rPr>
        <w:t>issue;</w:t>
      </w:r>
      <w:proofErr w:type="gramEnd"/>
    </w:p>
    <w:p w14:paraId="62BEA85D" w14:textId="77777777" w:rsidR="00B756B4" w:rsidRPr="00E65655" w:rsidRDefault="00B756B4">
      <w:pPr>
        <w:widowControl w:val="0"/>
        <w:numPr>
          <w:ilvl w:val="0"/>
          <w:numId w:val="20"/>
        </w:numPr>
        <w:tabs>
          <w:tab w:val="clear" w:pos="2160"/>
        </w:tabs>
        <w:spacing w:after="140" w:line="290" w:lineRule="auto"/>
        <w:jc w:val="both"/>
        <w:rPr>
          <w:rFonts w:cs="Arial"/>
          <w:color w:val="000000"/>
        </w:rPr>
      </w:pPr>
      <w:r w:rsidRPr="00E65655">
        <w:rPr>
          <w:rFonts w:cs="Arial"/>
          <w:color w:val="000000"/>
        </w:rPr>
        <w:t xml:space="preserve">a distribution or dividend to existing holders of the </w:t>
      </w:r>
      <w:r w:rsidRPr="00E65655">
        <w:rPr>
          <w:rFonts w:cs="Arial" w:hint="eastAsia"/>
          <w:color w:val="000000"/>
          <w:lang w:eastAsia="zh-CN"/>
        </w:rPr>
        <w:t>Underlying Stock</w:t>
      </w:r>
      <w:r w:rsidRPr="00E65655">
        <w:rPr>
          <w:rFonts w:cs="Arial"/>
          <w:color w:val="000000"/>
        </w:rPr>
        <w:t xml:space="preserve"> of (1) such </w:t>
      </w:r>
      <w:r w:rsidRPr="00E65655">
        <w:rPr>
          <w:rFonts w:cs="Arial" w:hint="eastAsia"/>
          <w:color w:val="000000"/>
          <w:lang w:eastAsia="zh-CN"/>
        </w:rPr>
        <w:t>Underlying Stock</w:t>
      </w:r>
      <w:r w:rsidRPr="00E65655">
        <w:rPr>
          <w:rFonts w:cs="Arial"/>
          <w:color w:val="000000"/>
        </w:rPr>
        <w:t xml:space="preserve">, or (2) other share capital or securities granting the right to payment of dividends and/or the proceeds of liquidation of the Company equally or proportionately with such payments to holders of such </w:t>
      </w:r>
      <w:r w:rsidRPr="00E65655">
        <w:rPr>
          <w:rFonts w:cs="Arial" w:hint="eastAsia"/>
          <w:color w:val="000000"/>
          <w:lang w:eastAsia="zh-CN"/>
        </w:rPr>
        <w:t>Underlying Stock</w:t>
      </w:r>
      <w:r w:rsidRPr="00E65655">
        <w:rPr>
          <w:rFonts w:cs="Arial"/>
          <w:color w:val="000000"/>
        </w:rPr>
        <w:t xml:space="preserve">, or (3) share capital or other securities of another issuer acquired by the Company as a result of a </w:t>
      </w:r>
      <w:r w:rsidRPr="00E65655">
        <w:rPr>
          <w:rStyle w:val="DeltaViewInsertion"/>
          <w:rFonts w:cs="Arial"/>
          <w:color w:val="000000"/>
          <w:u w:val="none"/>
        </w:rPr>
        <w:t>“</w:t>
      </w:r>
      <w:r w:rsidRPr="00E65655">
        <w:rPr>
          <w:rFonts w:cs="Arial"/>
          <w:color w:val="000000"/>
        </w:rPr>
        <w:t>spin-off</w:t>
      </w:r>
      <w:r w:rsidRPr="00E65655">
        <w:rPr>
          <w:rStyle w:val="DeltaViewInsertion"/>
          <w:rFonts w:cs="Arial"/>
          <w:color w:val="000000"/>
          <w:u w:val="none"/>
        </w:rPr>
        <w:t>”</w:t>
      </w:r>
      <w:r w:rsidRPr="00E65655">
        <w:rPr>
          <w:rFonts w:cs="Arial"/>
          <w:color w:val="000000"/>
        </w:rPr>
        <w:t xml:space="preserve"> or other similar transaction, or (4) any other type of securities, rights or warrants or other assets, in any case for payment (in cash or otherwise) at less than the prevailing market price as determined by the </w:t>
      </w:r>
      <w:r w:rsidRPr="00E65655">
        <w:rPr>
          <w:rStyle w:val="DeltaViewInsertion"/>
          <w:rFonts w:cs="Arial"/>
          <w:color w:val="000000"/>
          <w:u w:val="none"/>
        </w:rPr>
        <w:t>Issuer</w:t>
      </w:r>
      <w:r w:rsidRPr="00E65655">
        <w:rPr>
          <w:rFonts w:cs="Arial"/>
          <w:color w:val="000000"/>
        </w:rPr>
        <w:t>;</w:t>
      </w:r>
    </w:p>
    <w:p w14:paraId="474DEF12" w14:textId="77777777" w:rsidR="00B756B4" w:rsidRPr="00E65655" w:rsidRDefault="00B756B4">
      <w:pPr>
        <w:widowControl w:val="0"/>
        <w:numPr>
          <w:ilvl w:val="0"/>
          <w:numId w:val="20"/>
        </w:numPr>
        <w:tabs>
          <w:tab w:val="clear" w:pos="2160"/>
        </w:tabs>
        <w:spacing w:after="140" w:line="290" w:lineRule="auto"/>
        <w:jc w:val="both"/>
        <w:rPr>
          <w:rFonts w:cs="Arial"/>
          <w:color w:val="000000"/>
        </w:rPr>
      </w:pPr>
      <w:r w:rsidRPr="00E65655">
        <w:rPr>
          <w:rFonts w:cs="Arial"/>
          <w:color w:val="000000"/>
        </w:rPr>
        <w:t xml:space="preserve">an extraordinary </w:t>
      </w:r>
      <w:proofErr w:type="gramStart"/>
      <w:r w:rsidRPr="00E65655">
        <w:rPr>
          <w:rFonts w:cs="Arial"/>
          <w:color w:val="000000"/>
        </w:rPr>
        <w:t>dividend;</w:t>
      </w:r>
      <w:proofErr w:type="gramEnd"/>
    </w:p>
    <w:p w14:paraId="13D965FA" w14:textId="77777777" w:rsidR="00B756B4" w:rsidRPr="00E65655" w:rsidRDefault="00B756B4">
      <w:pPr>
        <w:widowControl w:val="0"/>
        <w:numPr>
          <w:ilvl w:val="0"/>
          <w:numId w:val="20"/>
        </w:numPr>
        <w:tabs>
          <w:tab w:val="clear" w:pos="2160"/>
        </w:tabs>
        <w:spacing w:after="140" w:line="290" w:lineRule="auto"/>
        <w:jc w:val="both"/>
        <w:rPr>
          <w:rFonts w:cs="Arial"/>
          <w:color w:val="000000"/>
        </w:rPr>
      </w:pPr>
      <w:r w:rsidRPr="00E65655">
        <w:rPr>
          <w:rFonts w:cs="Arial"/>
          <w:color w:val="000000"/>
        </w:rPr>
        <w:t xml:space="preserve">a call by the Company in respect of the </w:t>
      </w:r>
      <w:r w:rsidRPr="00E65655">
        <w:rPr>
          <w:rFonts w:cs="Arial" w:hint="eastAsia"/>
          <w:color w:val="000000"/>
          <w:lang w:eastAsia="zh-CN"/>
        </w:rPr>
        <w:t>Underlying Stock</w:t>
      </w:r>
      <w:r w:rsidRPr="00E65655">
        <w:rPr>
          <w:rFonts w:cs="Arial"/>
          <w:color w:val="000000"/>
        </w:rPr>
        <w:t xml:space="preserve"> that is not fully </w:t>
      </w:r>
      <w:proofErr w:type="gramStart"/>
      <w:r w:rsidRPr="00E65655">
        <w:rPr>
          <w:rFonts w:cs="Arial"/>
          <w:color w:val="000000"/>
        </w:rPr>
        <w:t>paid;</w:t>
      </w:r>
      <w:proofErr w:type="gramEnd"/>
    </w:p>
    <w:p w14:paraId="1629D288" w14:textId="77777777" w:rsidR="00B756B4" w:rsidRPr="00E65655" w:rsidRDefault="00B756B4">
      <w:pPr>
        <w:widowControl w:val="0"/>
        <w:numPr>
          <w:ilvl w:val="0"/>
          <w:numId w:val="20"/>
        </w:numPr>
        <w:tabs>
          <w:tab w:val="clear" w:pos="2160"/>
        </w:tabs>
        <w:spacing w:after="140" w:line="290" w:lineRule="auto"/>
        <w:jc w:val="both"/>
        <w:rPr>
          <w:rFonts w:cs="Arial"/>
          <w:color w:val="000000"/>
        </w:rPr>
      </w:pPr>
      <w:r w:rsidRPr="00E65655">
        <w:rPr>
          <w:rFonts w:cs="Arial"/>
          <w:color w:val="000000"/>
        </w:rPr>
        <w:t xml:space="preserve">a repurchase by the Company of the </w:t>
      </w:r>
      <w:r w:rsidRPr="00E65655">
        <w:rPr>
          <w:rFonts w:cs="Arial" w:hint="eastAsia"/>
          <w:color w:val="000000"/>
          <w:lang w:eastAsia="zh-CN"/>
        </w:rPr>
        <w:t>Underlying Stock</w:t>
      </w:r>
      <w:r w:rsidRPr="00E65655">
        <w:rPr>
          <w:rFonts w:cs="Arial"/>
          <w:color w:val="000000"/>
        </w:rPr>
        <w:t xml:space="preserve"> whether out of profits or capital and whether the consideration for such repurchase is cash, securities or </w:t>
      </w:r>
      <w:proofErr w:type="gramStart"/>
      <w:r w:rsidRPr="00E65655">
        <w:rPr>
          <w:rFonts w:cs="Arial"/>
          <w:color w:val="000000"/>
        </w:rPr>
        <w:t>otherwise;</w:t>
      </w:r>
      <w:proofErr w:type="gramEnd"/>
    </w:p>
    <w:p w14:paraId="5D7E7369" w14:textId="77777777" w:rsidR="00B756B4" w:rsidRPr="00E65655" w:rsidRDefault="00B756B4">
      <w:pPr>
        <w:numPr>
          <w:ilvl w:val="0"/>
          <w:numId w:val="20"/>
        </w:numPr>
        <w:tabs>
          <w:tab w:val="clear" w:pos="2160"/>
        </w:tabs>
        <w:spacing w:after="140" w:line="290" w:lineRule="auto"/>
        <w:jc w:val="both"/>
        <w:rPr>
          <w:rFonts w:cs="Arial"/>
          <w:color w:val="000000"/>
        </w:rPr>
      </w:pPr>
      <w:r w:rsidRPr="00E65655">
        <w:rPr>
          <w:rFonts w:cs="Arial"/>
          <w:color w:val="000000"/>
        </w:rPr>
        <w:t>with respect to a Company an event that results in any shareholder rights pursuant to a shareholder rights agreement or other plan or arrangement of the type commonly referred to as a “poison pill</w:t>
      </w:r>
      <w:r w:rsidRPr="00E65655">
        <w:rPr>
          <w:rStyle w:val="DeltaViewInsertion"/>
          <w:rFonts w:cs="Arial"/>
          <w:color w:val="000000"/>
          <w:u w:val="none"/>
        </w:rPr>
        <w:t>”</w:t>
      </w:r>
      <w:r w:rsidRPr="00E65655">
        <w:rPr>
          <w:rFonts w:cs="Arial"/>
          <w:color w:val="000000"/>
        </w:rPr>
        <w:t xml:space="preserve"> being distributed, or becoming separated from shares of common stock or other shares of the capital stock of such Company (provided that any adjustment effected as a result of such an event shall be readjusted upon any redemption of such rights); or</w:t>
      </w:r>
    </w:p>
    <w:p w14:paraId="571E7256" w14:textId="77777777" w:rsidR="00B756B4" w:rsidRPr="00E65655" w:rsidRDefault="00B756B4" w:rsidP="00B756B4">
      <w:pPr>
        <w:widowControl w:val="0"/>
        <w:spacing w:after="140" w:line="290" w:lineRule="auto"/>
        <w:ind w:left="2160" w:hanging="720"/>
        <w:jc w:val="both"/>
        <w:rPr>
          <w:rFonts w:cs="Arial"/>
          <w:color w:val="000000"/>
        </w:rPr>
      </w:pPr>
      <w:r w:rsidRPr="00E65655">
        <w:rPr>
          <w:rFonts w:cs="Arial"/>
          <w:color w:val="000000"/>
        </w:rPr>
        <w:t>(vii)</w:t>
      </w:r>
      <w:r w:rsidRPr="00E65655">
        <w:rPr>
          <w:rFonts w:cs="Arial"/>
          <w:color w:val="000000"/>
        </w:rPr>
        <w:tab/>
        <w:t xml:space="preserve">any other event that may have, in the opinion of the Issuer, a dilutive or concentrative or other effect on the theoretical value of the </w:t>
      </w:r>
      <w:r w:rsidRPr="00E65655">
        <w:rPr>
          <w:rFonts w:cs="Arial" w:hint="eastAsia"/>
          <w:color w:val="000000"/>
          <w:lang w:eastAsia="zh-CN"/>
        </w:rPr>
        <w:t>Underlying Stock</w:t>
      </w:r>
      <w:r w:rsidRPr="00E65655">
        <w:rPr>
          <w:rFonts w:cs="Arial"/>
          <w:color w:val="000000"/>
        </w:rPr>
        <w:t>.</w:t>
      </w:r>
    </w:p>
    <w:p w14:paraId="46153C5C" w14:textId="77777777" w:rsidR="00B756B4" w:rsidRPr="00E65655" w:rsidRDefault="00B756B4" w:rsidP="00B756B4">
      <w:pPr>
        <w:widowControl w:val="0"/>
        <w:spacing w:after="140" w:line="290" w:lineRule="auto"/>
        <w:ind w:left="1440" w:hanging="720"/>
        <w:jc w:val="both"/>
        <w:rPr>
          <w:rFonts w:cs="Arial"/>
          <w:color w:val="000000"/>
        </w:rPr>
      </w:pPr>
      <w:r w:rsidRPr="00E65655">
        <w:rPr>
          <w:rFonts w:cs="Arial"/>
          <w:iCs/>
          <w:color w:val="000000"/>
        </w:rPr>
        <w:t>(c)</w:t>
      </w:r>
      <w:r w:rsidRPr="00E65655">
        <w:rPr>
          <w:rFonts w:cs="Arial"/>
          <w:iCs/>
          <w:color w:val="000000"/>
        </w:rPr>
        <w:tab/>
      </w:r>
      <w:r w:rsidRPr="00E65655">
        <w:rPr>
          <w:rFonts w:cs="Arial"/>
          <w:i/>
          <w:color w:val="000000"/>
        </w:rPr>
        <w:t>Merger Event, Tender Offer, Nationalisation and Insolvency</w:t>
      </w:r>
      <w:r w:rsidRPr="00E65655">
        <w:rPr>
          <w:rStyle w:val="DeltaViewInsertion"/>
          <w:rFonts w:cs="Arial"/>
          <w:color w:val="000000"/>
          <w:u w:val="none"/>
        </w:rPr>
        <w:t xml:space="preserve">.  </w:t>
      </w:r>
      <w:r w:rsidRPr="00E65655">
        <w:rPr>
          <w:rFonts w:cs="Arial"/>
          <w:color w:val="000000"/>
        </w:rPr>
        <w:t xml:space="preserve">If a Merger Event, Tender Offer, Nationalisation or Insolvency occurs in relation to the </w:t>
      </w:r>
      <w:r w:rsidRPr="00E65655">
        <w:rPr>
          <w:rFonts w:cs="Arial" w:hint="eastAsia"/>
          <w:color w:val="000000"/>
          <w:lang w:eastAsia="zh-CN"/>
        </w:rPr>
        <w:t>Underlying Stock</w:t>
      </w:r>
      <w:r w:rsidRPr="00E65655">
        <w:rPr>
          <w:rFonts w:cs="Arial"/>
          <w:color w:val="000000"/>
        </w:rPr>
        <w:t>, the Issuer may take any action described below:</w:t>
      </w:r>
    </w:p>
    <w:p w14:paraId="37B97D93" w14:textId="77777777" w:rsidR="00B756B4" w:rsidRPr="00E65655" w:rsidRDefault="00B756B4" w:rsidP="00B756B4">
      <w:pPr>
        <w:widowControl w:val="0"/>
        <w:spacing w:after="140" w:line="290" w:lineRule="auto"/>
        <w:ind w:left="2160" w:hanging="720"/>
        <w:jc w:val="both"/>
        <w:rPr>
          <w:rFonts w:cs="Arial"/>
          <w:color w:val="000000"/>
        </w:rPr>
      </w:pPr>
      <w:r w:rsidRPr="00E65655">
        <w:rPr>
          <w:rFonts w:cs="Arial"/>
          <w:color w:val="000000"/>
        </w:rPr>
        <w:t>(i)</w:t>
      </w:r>
      <w:r w:rsidRPr="00E65655">
        <w:rPr>
          <w:rFonts w:cs="Arial"/>
          <w:color w:val="000000"/>
        </w:rPr>
        <w:tab/>
        <w:t>determine the appropriate adjustment, if any, to be made to any one or more of the Conditions to account for the Merger Event, Tender Offer, Nationalisation or Insolvency</w:t>
      </w:r>
      <w:proofErr w:type="gramStart"/>
      <w:r w:rsidRPr="00E65655">
        <w:rPr>
          <w:rFonts w:cs="Arial"/>
          <w:color w:val="000000"/>
        </w:rPr>
        <w:t>, as the case may be, and</w:t>
      </w:r>
      <w:proofErr w:type="gramEnd"/>
      <w:r w:rsidRPr="00E65655">
        <w:rPr>
          <w:rFonts w:cs="Arial"/>
          <w:color w:val="000000"/>
        </w:rPr>
        <w:t xml:space="preserve"> determine the effective </w:t>
      </w:r>
      <w:r w:rsidRPr="00E65655">
        <w:rPr>
          <w:rFonts w:cs="Arial"/>
          <w:color w:val="000000"/>
        </w:rPr>
        <w:lastRenderedPageBreak/>
        <w:t xml:space="preserve">date of that adjustment.  The </w:t>
      </w:r>
      <w:r w:rsidRPr="00E65655">
        <w:rPr>
          <w:rStyle w:val="DeltaViewInsertion"/>
          <w:rFonts w:cs="Arial"/>
          <w:color w:val="000000"/>
          <w:u w:val="none"/>
        </w:rPr>
        <w:t>Issuer</w:t>
      </w:r>
      <w:r w:rsidRPr="00E65655">
        <w:rPr>
          <w:rFonts w:cs="Arial"/>
          <w:color w:val="000000"/>
        </w:rPr>
        <w:t xml:space="preserve"> may, but need not, determine the appropriate adjustment by reference to the adjustment in respect of the Merger Event, Tender Offer, Nationalisation or Insolvency made by an options exchange to options on the </w:t>
      </w:r>
      <w:r w:rsidRPr="00E65655">
        <w:rPr>
          <w:rFonts w:cs="Arial" w:hint="eastAsia"/>
          <w:color w:val="000000"/>
          <w:lang w:eastAsia="zh-CN"/>
        </w:rPr>
        <w:t>Underlying Stock</w:t>
      </w:r>
      <w:r w:rsidRPr="00E65655">
        <w:rPr>
          <w:rFonts w:cs="Arial"/>
          <w:color w:val="000000"/>
        </w:rPr>
        <w:t xml:space="preserve"> traded on </w:t>
      </w:r>
      <w:proofErr w:type="gramStart"/>
      <w:r w:rsidRPr="00E65655">
        <w:rPr>
          <w:rFonts w:cs="Arial"/>
          <w:color w:val="000000"/>
        </w:rPr>
        <w:t>that options</w:t>
      </w:r>
      <w:proofErr w:type="gramEnd"/>
      <w:r w:rsidRPr="00E65655">
        <w:rPr>
          <w:rFonts w:cs="Arial"/>
          <w:color w:val="000000"/>
        </w:rPr>
        <w:t xml:space="preserve"> </w:t>
      </w:r>
      <w:proofErr w:type="gramStart"/>
      <w:r w:rsidRPr="00E65655">
        <w:rPr>
          <w:rFonts w:cs="Arial"/>
          <w:color w:val="000000"/>
        </w:rPr>
        <w:t>exchange;</w:t>
      </w:r>
      <w:proofErr w:type="gramEnd"/>
    </w:p>
    <w:p w14:paraId="6213364F" w14:textId="77777777" w:rsidR="00B756B4" w:rsidRPr="00E65655" w:rsidRDefault="00B756B4">
      <w:pPr>
        <w:widowControl w:val="0"/>
        <w:numPr>
          <w:ilvl w:val="0"/>
          <w:numId w:val="21"/>
        </w:numPr>
        <w:tabs>
          <w:tab w:val="clear" w:pos="2160"/>
        </w:tabs>
        <w:spacing w:after="140" w:line="290" w:lineRule="auto"/>
        <w:jc w:val="both"/>
        <w:rPr>
          <w:rFonts w:cs="Arial"/>
          <w:color w:val="000000"/>
        </w:rPr>
      </w:pPr>
      <w:r w:rsidRPr="00E65655">
        <w:rPr>
          <w:rFonts w:cs="Arial"/>
          <w:color w:val="000000"/>
        </w:rPr>
        <w:t xml:space="preserve">cancel the </w:t>
      </w:r>
      <w:r w:rsidRPr="00E65655">
        <w:rPr>
          <w:rStyle w:val="DeltaViewInsertion"/>
          <w:rFonts w:cs="Arial" w:hint="eastAsia"/>
          <w:color w:val="000000"/>
          <w:u w:val="none"/>
          <w:lang w:eastAsia="zh-CN"/>
        </w:rPr>
        <w:t>Certificates</w:t>
      </w:r>
      <w:r w:rsidRPr="00E65655">
        <w:rPr>
          <w:rFonts w:cs="Arial"/>
          <w:color w:val="000000"/>
        </w:rPr>
        <w:t xml:space="preserve"> by giving notice to </w:t>
      </w:r>
      <w:r w:rsidRPr="00E65655">
        <w:rPr>
          <w:rStyle w:val="DeltaViewInsertion"/>
          <w:rFonts w:cs="Arial"/>
          <w:color w:val="000000"/>
          <w:u w:val="none"/>
        </w:rPr>
        <w:t xml:space="preserve">the </w:t>
      </w:r>
      <w:r w:rsidRPr="00E65655">
        <w:rPr>
          <w:rFonts w:cs="Arial" w:hint="eastAsia"/>
          <w:color w:val="000000"/>
          <w:lang w:eastAsia="zh-CN"/>
        </w:rPr>
        <w:t>Certificate H</w:t>
      </w:r>
      <w:r w:rsidRPr="00E65655">
        <w:rPr>
          <w:rFonts w:cs="Arial"/>
          <w:color w:val="000000"/>
        </w:rPr>
        <w:t xml:space="preserve">olders in accordance with Condition </w:t>
      </w:r>
      <w:r w:rsidRPr="00E65655">
        <w:rPr>
          <w:rStyle w:val="DeltaViewInsertion"/>
          <w:rFonts w:cs="Arial"/>
          <w:color w:val="000000"/>
          <w:u w:val="none"/>
        </w:rPr>
        <w:t>9.</w:t>
      </w:r>
      <w:r w:rsidRPr="00E65655">
        <w:rPr>
          <w:rFonts w:cs="Arial"/>
          <w:color w:val="000000"/>
        </w:rPr>
        <w:t xml:space="preserve"> If the </w:t>
      </w:r>
      <w:r w:rsidRPr="00E65655">
        <w:rPr>
          <w:rStyle w:val="DeltaViewInsertion"/>
          <w:rFonts w:cs="Arial" w:hint="eastAsia"/>
          <w:color w:val="000000"/>
          <w:u w:val="none"/>
          <w:lang w:eastAsia="zh-CN"/>
        </w:rPr>
        <w:t>Certificate</w:t>
      </w:r>
      <w:r w:rsidRPr="00E65655">
        <w:rPr>
          <w:rStyle w:val="DeltaViewInsertion"/>
          <w:rFonts w:cs="Arial"/>
          <w:color w:val="000000"/>
          <w:u w:val="none"/>
        </w:rPr>
        <w:t>s</w:t>
      </w:r>
      <w:r w:rsidRPr="00E65655">
        <w:rPr>
          <w:rFonts w:cs="Arial"/>
          <w:color w:val="000000"/>
        </w:rPr>
        <w:t xml:space="preserve"> are so cancelled, the Issuer will pay an amount to each </w:t>
      </w:r>
      <w:r w:rsidRPr="00E65655">
        <w:rPr>
          <w:rFonts w:cs="Arial" w:hint="eastAsia"/>
          <w:color w:val="000000"/>
          <w:lang w:eastAsia="zh-CN"/>
        </w:rPr>
        <w:t>Certificate H</w:t>
      </w:r>
      <w:r w:rsidRPr="00E65655">
        <w:rPr>
          <w:rFonts w:cs="Arial"/>
          <w:color w:val="000000"/>
        </w:rPr>
        <w:t xml:space="preserve">older in respect of each </w:t>
      </w:r>
      <w:r w:rsidRPr="00E65655">
        <w:rPr>
          <w:rStyle w:val="DeltaViewInsertion"/>
          <w:rFonts w:cs="Arial" w:hint="eastAsia"/>
          <w:color w:val="000000"/>
          <w:u w:val="none"/>
          <w:lang w:eastAsia="zh-CN"/>
        </w:rPr>
        <w:t>Certificate</w:t>
      </w:r>
      <w:r w:rsidRPr="00E65655">
        <w:rPr>
          <w:rFonts w:cs="Arial"/>
          <w:color w:val="000000"/>
        </w:rPr>
        <w:t xml:space="preserve"> held by such </w:t>
      </w:r>
      <w:r w:rsidRPr="00E65655">
        <w:rPr>
          <w:rFonts w:cs="Arial" w:hint="eastAsia"/>
          <w:color w:val="000000"/>
          <w:lang w:eastAsia="zh-CN"/>
        </w:rPr>
        <w:t>Certificate H</w:t>
      </w:r>
      <w:r w:rsidRPr="00E65655">
        <w:rPr>
          <w:rFonts w:cs="Arial"/>
          <w:color w:val="000000"/>
        </w:rPr>
        <w:t xml:space="preserve">older which amount shall be the fair market value of a </w:t>
      </w:r>
      <w:r w:rsidRPr="00E65655">
        <w:rPr>
          <w:rStyle w:val="DeltaViewInsertion"/>
          <w:rFonts w:cs="Arial" w:hint="eastAsia"/>
          <w:color w:val="000000"/>
          <w:u w:val="none"/>
          <w:lang w:eastAsia="zh-CN"/>
        </w:rPr>
        <w:t>Certificate</w:t>
      </w:r>
      <w:r w:rsidRPr="00E65655">
        <w:rPr>
          <w:rFonts w:cs="Arial"/>
          <w:color w:val="000000"/>
        </w:rPr>
        <w:t xml:space="preserve"> taking into account the Merger Event, Tender Offer, Nationalisation or Insolvency, as the case may be, less the cost to the Issuer and/or any of its </w:t>
      </w:r>
      <w:r w:rsidRPr="00E65655">
        <w:rPr>
          <w:rStyle w:val="DeltaViewInsertion"/>
          <w:rFonts w:cs="Arial"/>
          <w:color w:val="000000"/>
          <w:u w:val="none"/>
        </w:rPr>
        <w:t>affiliates</w:t>
      </w:r>
      <w:r w:rsidRPr="00E65655">
        <w:rPr>
          <w:rFonts w:cs="Arial"/>
          <w:color w:val="000000"/>
        </w:rPr>
        <w:t xml:space="preserve"> of unwinding any underlying related hedging arrangements, all as determined by the </w:t>
      </w:r>
      <w:r w:rsidRPr="00E65655">
        <w:rPr>
          <w:rStyle w:val="DeltaViewInsertion"/>
          <w:rFonts w:cs="Arial"/>
          <w:color w:val="000000"/>
          <w:u w:val="none"/>
        </w:rPr>
        <w:t>Issuer</w:t>
      </w:r>
      <w:r w:rsidRPr="00E65655">
        <w:rPr>
          <w:rFonts w:cs="Arial"/>
          <w:color w:val="000000"/>
        </w:rPr>
        <w:t xml:space="preserve"> in its reasonable discretion.  Payment will be made in such manner as shall be notified to the </w:t>
      </w:r>
      <w:r w:rsidRPr="00E65655">
        <w:rPr>
          <w:rFonts w:cs="Arial" w:hint="eastAsia"/>
          <w:color w:val="000000"/>
          <w:lang w:eastAsia="zh-CN"/>
        </w:rPr>
        <w:t>Certificate H</w:t>
      </w:r>
      <w:r w:rsidRPr="00E65655">
        <w:rPr>
          <w:rFonts w:cs="Arial"/>
          <w:color w:val="000000"/>
        </w:rPr>
        <w:t xml:space="preserve">olders in accordance with Condition </w:t>
      </w:r>
      <w:r w:rsidRPr="00E65655">
        <w:rPr>
          <w:rStyle w:val="DeltaViewInsertion"/>
          <w:rFonts w:cs="Arial"/>
          <w:color w:val="000000"/>
          <w:u w:val="none"/>
        </w:rPr>
        <w:t>9</w:t>
      </w:r>
      <w:r w:rsidRPr="00E65655">
        <w:rPr>
          <w:rFonts w:cs="Arial"/>
          <w:color w:val="000000"/>
        </w:rPr>
        <w:t>; or</w:t>
      </w:r>
    </w:p>
    <w:p w14:paraId="16176099" w14:textId="77777777" w:rsidR="00B756B4" w:rsidRPr="00E65655" w:rsidRDefault="00B756B4">
      <w:pPr>
        <w:pStyle w:val="ListParagraph"/>
        <w:widowControl w:val="0"/>
        <w:numPr>
          <w:ilvl w:val="0"/>
          <w:numId w:val="21"/>
        </w:numPr>
        <w:tabs>
          <w:tab w:val="clear" w:pos="2160"/>
        </w:tabs>
        <w:spacing w:after="140" w:line="290" w:lineRule="auto"/>
        <w:jc w:val="both"/>
        <w:rPr>
          <w:rFonts w:cs="Arial"/>
          <w:color w:val="000000"/>
        </w:rPr>
      </w:pPr>
      <w:r w:rsidRPr="00E65655">
        <w:rPr>
          <w:rFonts w:cs="Arial"/>
          <w:color w:val="000000"/>
        </w:rPr>
        <w:t xml:space="preserve">following any adjustment to the settlement terms of options on the </w:t>
      </w:r>
      <w:r w:rsidRPr="00E65655">
        <w:rPr>
          <w:rFonts w:cs="Arial" w:hint="eastAsia"/>
          <w:color w:val="000000"/>
          <w:lang w:eastAsia="zh-CN"/>
        </w:rPr>
        <w:t>Underlying Stock</w:t>
      </w:r>
      <w:r w:rsidRPr="00E65655">
        <w:rPr>
          <w:rFonts w:cs="Arial"/>
          <w:color w:val="000000"/>
        </w:rPr>
        <w:t xml:space="preserve"> on such exchange(s) or trading system(s) or quotation system(s) as the </w:t>
      </w:r>
      <w:r w:rsidRPr="00E65655">
        <w:rPr>
          <w:rStyle w:val="DeltaViewInsertion"/>
          <w:rFonts w:cs="Arial"/>
          <w:color w:val="000000"/>
          <w:u w:val="none"/>
        </w:rPr>
        <w:t>Issuer</w:t>
      </w:r>
      <w:r w:rsidRPr="00E65655">
        <w:rPr>
          <w:rFonts w:cs="Arial"/>
          <w:color w:val="000000"/>
        </w:rPr>
        <w:t xml:space="preserve"> in its reasonable discretion shall select (the “</w:t>
      </w:r>
      <w:r w:rsidRPr="00E65655">
        <w:rPr>
          <w:rFonts w:cs="Arial"/>
          <w:b/>
          <w:bCs/>
          <w:color w:val="000000"/>
        </w:rPr>
        <w:t>Option Reference Source</w:t>
      </w:r>
      <w:r w:rsidRPr="00E65655">
        <w:rPr>
          <w:rFonts w:cs="Arial"/>
          <w:color w:val="000000"/>
        </w:rPr>
        <w:t>”) make a corresponding adjustment to any one or more of the Conditions, which adjustment will be effective as of the date determined by the I</w:t>
      </w:r>
      <w:r w:rsidRPr="00E65655">
        <w:rPr>
          <w:rStyle w:val="DeltaViewInsertion"/>
          <w:rFonts w:cs="Arial"/>
          <w:color w:val="000000"/>
          <w:u w:val="none"/>
        </w:rPr>
        <w:t>ssuer</w:t>
      </w:r>
      <w:r w:rsidRPr="00E65655">
        <w:rPr>
          <w:rFonts w:cs="Arial"/>
          <w:color w:val="000000"/>
        </w:rPr>
        <w:t xml:space="preserve"> to be the effective date of the corresponding adjustment made by the Option Reference Source. If options on the </w:t>
      </w:r>
      <w:r w:rsidRPr="00E65655">
        <w:rPr>
          <w:rFonts w:cs="Arial" w:hint="eastAsia"/>
          <w:color w:val="000000"/>
          <w:lang w:eastAsia="zh-CN"/>
        </w:rPr>
        <w:t>Underlying Stock</w:t>
      </w:r>
      <w:r w:rsidRPr="00E65655">
        <w:rPr>
          <w:rFonts w:cs="Arial"/>
          <w:color w:val="000000"/>
        </w:rPr>
        <w:t xml:space="preserve"> are not traded on the Option Reference Source, the </w:t>
      </w:r>
      <w:r w:rsidRPr="00E65655">
        <w:rPr>
          <w:rStyle w:val="DeltaViewInsertion"/>
          <w:rFonts w:cs="Arial"/>
          <w:color w:val="000000"/>
          <w:u w:val="none"/>
        </w:rPr>
        <w:t>Issuer</w:t>
      </w:r>
      <w:r w:rsidRPr="00E65655">
        <w:rPr>
          <w:rFonts w:cs="Arial"/>
          <w:color w:val="000000"/>
        </w:rPr>
        <w:t xml:space="preserve"> will make such adjustment, if any, to any one or more of the Conditions as the </w:t>
      </w:r>
      <w:r w:rsidRPr="00E65655">
        <w:rPr>
          <w:rStyle w:val="DeltaViewInsertion"/>
          <w:rFonts w:cs="Arial"/>
          <w:color w:val="000000"/>
          <w:u w:val="none"/>
        </w:rPr>
        <w:t>Issuer</w:t>
      </w:r>
      <w:r w:rsidRPr="00E65655">
        <w:rPr>
          <w:rFonts w:cs="Arial"/>
          <w:color w:val="000000"/>
        </w:rPr>
        <w:t xml:space="preserve"> determines appropriate, with reference to the rules and precedents (if any) set by the Option Reference Source, to account for the Merger Event, Tender Offer, Nationalisation or Insolvency, as the case may be, that in the determination of the </w:t>
      </w:r>
      <w:r w:rsidRPr="00E65655">
        <w:rPr>
          <w:rStyle w:val="DeltaViewInsertion"/>
          <w:rFonts w:cs="Arial"/>
          <w:color w:val="000000"/>
          <w:u w:val="none"/>
        </w:rPr>
        <w:t>Issuer</w:t>
      </w:r>
      <w:r w:rsidRPr="00E65655">
        <w:rPr>
          <w:rFonts w:cs="Arial"/>
          <w:color w:val="000000"/>
        </w:rPr>
        <w:t xml:space="preserve"> would have given rise to an adjustment by the Option Reference Source if such options were so traded.</w:t>
      </w:r>
    </w:p>
    <w:p w14:paraId="19E196A4" w14:textId="77777777" w:rsidR="00B756B4" w:rsidRPr="00E65655" w:rsidRDefault="00B756B4" w:rsidP="00B756B4">
      <w:pPr>
        <w:widowControl w:val="0"/>
        <w:spacing w:after="140" w:line="290" w:lineRule="auto"/>
        <w:ind w:left="1440"/>
        <w:jc w:val="both"/>
        <w:rPr>
          <w:rFonts w:cs="Arial"/>
          <w:color w:val="000000"/>
        </w:rPr>
      </w:pPr>
      <w:r w:rsidRPr="00E65655">
        <w:rPr>
          <w:rFonts w:cs="Arial"/>
          <w:color w:val="000000"/>
        </w:rPr>
        <w:t xml:space="preserve">Once the </w:t>
      </w:r>
      <w:r w:rsidRPr="00E65655">
        <w:rPr>
          <w:rStyle w:val="DeltaViewInsertion"/>
          <w:rFonts w:cs="Arial"/>
          <w:color w:val="000000"/>
          <w:u w:val="none"/>
        </w:rPr>
        <w:t>Issuer</w:t>
      </w:r>
      <w:r w:rsidRPr="00E65655">
        <w:rPr>
          <w:rFonts w:cs="Arial"/>
          <w:color w:val="000000"/>
        </w:rPr>
        <w:t xml:space="preserve"> determines that its proposed course of action in connection with a Merger Event, Tender Offer, Nationalisation or Insolvency, it shall give notice to the </w:t>
      </w:r>
      <w:r w:rsidRPr="00E65655">
        <w:rPr>
          <w:rFonts w:cs="Arial" w:hint="eastAsia"/>
          <w:color w:val="000000"/>
          <w:lang w:eastAsia="zh-CN"/>
        </w:rPr>
        <w:t>Certificate H</w:t>
      </w:r>
      <w:r w:rsidRPr="00E65655">
        <w:rPr>
          <w:rFonts w:cs="Arial"/>
          <w:color w:val="000000"/>
        </w:rPr>
        <w:t xml:space="preserve">olders in accordance with Condition </w:t>
      </w:r>
      <w:r w:rsidRPr="00E65655">
        <w:rPr>
          <w:rStyle w:val="DeltaViewInsertion"/>
          <w:rFonts w:cs="Arial"/>
          <w:color w:val="000000"/>
          <w:u w:val="none"/>
        </w:rPr>
        <w:t>9</w:t>
      </w:r>
      <w:r w:rsidRPr="00E65655">
        <w:rPr>
          <w:rFonts w:cs="Arial"/>
          <w:color w:val="000000"/>
        </w:rPr>
        <w:t xml:space="preserve"> stating the occurrence of the Merger Event, Tender Offer, Nationalisation or Insolvency, as the case may be, giving details thereof and the action proposed to be taken in relation thereto.  </w:t>
      </w:r>
      <w:r w:rsidRPr="00E65655">
        <w:rPr>
          <w:rFonts w:cs="Arial" w:hint="eastAsia"/>
          <w:color w:val="000000"/>
          <w:lang w:eastAsia="zh-CN"/>
        </w:rPr>
        <w:t>Certificate H</w:t>
      </w:r>
      <w:r w:rsidRPr="00E65655">
        <w:rPr>
          <w:rFonts w:cs="Arial"/>
          <w:color w:val="000000"/>
        </w:rPr>
        <w:t xml:space="preserve">olders should be aware that due to the nature of such events, the </w:t>
      </w:r>
      <w:r w:rsidRPr="00E65655">
        <w:rPr>
          <w:rStyle w:val="DeltaViewInsertion"/>
          <w:rFonts w:cs="Arial"/>
          <w:color w:val="000000"/>
          <w:u w:val="none"/>
        </w:rPr>
        <w:t>Issuer</w:t>
      </w:r>
      <w:r w:rsidRPr="00E65655">
        <w:rPr>
          <w:rFonts w:cs="Arial"/>
          <w:color w:val="000000"/>
        </w:rPr>
        <w:t xml:space="preserve"> will not make an immediate determination of its </w:t>
      </w:r>
      <w:r w:rsidRPr="00E65655">
        <w:rPr>
          <w:rStyle w:val="DeltaViewInsertion"/>
          <w:rFonts w:cs="Arial"/>
          <w:color w:val="000000"/>
          <w:u w:val="none"/>
        </w:rPr>
        <w:t>proposed</w:t>
      </w:r>
      <w:r w:rsidRPr="00E65655">
        <w:rPr>
          <w:rFonts w:cs="Arial"/>
          <w:color w:val="000000"/>
        </w:rPr>
        <w:t xml:space="preserve"> course of action or adjustment upon the announcement or occurrence of a Merger Event, Tender Offer, Nationalisation or Insolvency.</w:t>
      </w:r>
    </w:p>
    <w:p w14:paraId="7E5CC8DF" w14:textId="77777777" w:rsidR="00B756B4" w:rsidRPr="00E65655" w:rsidRDefault="00B756B4" w:rsidP="00B756B4">
      <w:pPr>
        <w:widowControl w:val="0"/>
        <w:spacing w:after="140" w:line="295" w:lineRule="auto"/>
        <w:ind w:left="1440" w:hanging="720"/>
        <w:jc w:val="both"/>
        <w:rPr>
          <w:rFonts w:cs="Arial"/>
          <w:color w:val="000000"/>
        </w:rPr>
      </w:pPr>
      <w:r w:rsidRPr="00E65655">
        <w:rPr>
          <w:rStyle w:val="DeltaViewInsertion"/>
          <w:rFonts w:cs="Arial"/>
          <w:color w:val="000000"/>
          <w:u w:val="none"/>
        </w:rPr>
        <w:t>(d)</w:t>
      </w:r>
      <w:r w:rsidRPr="00E65655">
        <w:rPr>
          <w:rStyle w:val="DeltaViewInsertion"/>
          <w:rFonts w:cs="Arial"/>
          <w:color w:val="000000"/>
          <w:u w:val="none"/>
        </w:rPr>
        <w:tab/>
      </w:r>
      <w:r w:rsidRPr="00E65655">
        <w:rPr>
          <w:rStyle w:val="DeltaViewInsertion"/>
          <w:rFonts w:cs="Arial"/>
          <w:i/>
          <w:color w:val="000000"/>
          <w:u w:val="none"/>
        </w:rPr>
        <w:t>Definitions</w:t>
      </w:r>
      <w:r w:rsidRPr="00E65655">
        <w:rPr>
          <w:rStyle w:val="DeltaViewInsertion"/>
          <w:rFonts w:cs="Arial"/>
          <w:color w:val="000000"/>
          <w:u w:val="none"/>
        </w:rPr>
        <w:t xml:space="preserve">.  </w:t>
      </w:r>
      <w:r w:rsidRPr="00E65655">
        <w:rPr>
          <w:rFonts w:cs="Arial"/>
          <w:color w:val="000000"/>
        </w:rPr>
        <w:t>“</w:t>
      </w:r>
      <w:r w:rsidRPr="00E65655">
        <w:rPr>
          <w:rFonts w:cs="Arial"/>
          <w:b/>
          <w:color w:val="000000"/>
        </w:rPr>
        <w:t>Insolvency</w:t>
      </w:r>
      <w:r w:rsidRPr="00E65655">
        <w:rPr>
          <w:rFonts w:cs="Arial"/>
          <w:color w:val="000000"/>
        </w:rPr>
        <w:t xml:space="preserve">” means that by reason of the voluntary or involuntary liquidation, bankruptcy, insolvency, dissolution or winding-up of or any analogous proceeding affecting a Company (i) all the </w:t>
      </w:r>
      <w:r w:rsidRPr="00E65655">
        <w:rPr>
          <w:rFonts w:cs="Arial" w:hint="eastAsia"/>
          <w:color w:val="000000"/>
          <w:lang w:eastAsia="zh-CN"/>
        </w:rPr>
        <w:t>Underlying Stock</w:t>
      </w:r>
      <w:r w:rsidRPr="00E65655">
        <w:rPr>
          <w:rFonts w:cs="Arial"/>
          <w:color w:val="000000"/>
        </w:rPr>
        <w:t xml:space="preserve"> of that Company is required to be transferred to a trustee, liquidator or other similar official or (ii) holders of the </w:t>
      </w:r>
      <w:r w:rsidRPr="00E65655">
        <w:rPr>
          <w:rFonts w:cs="Arial" w:hint="eastAsia"/>
          <w:color w:val="000000"/>
          <w:lang w:eastAsia="zh-CN"/>
        </w:rPr>
        <w:t>Underlying Stock</w:t>
      </w:r>
      <w:r w:rsidRPr="00E65655">
        <w:rPr>
          <w:rFonts w:cs="Arial"/>
          <w:color w:val="000000"/>
        </w:rPr>
        <w:t xml:space="preserve"> of that Company become legally prohibited from transferring them. “</w:t>
      </w:r>
      <w:r w:rsidRPr="00E65655">
        <w:rPr>
          <w:rFonts w:cs="Arial"/>
          <w:b/>
          <w:color w:val="000000"/>
        </w:rPr>
        <w:t>Merger Date</w:t>
      </w:r>
      <w:r w:rsidRPr="00E65655">
        <w:rPr>
          <w:rFonts w:cs="Arial"/>
          <w:color w:val="000000"/>
        </w:rPr>
        <w:t>” means the closing date of a Merger Event or, where a closing date cannot be determined under the local law applicable to such Merger Event, such other date as determined by the Issuer. “</w:t>
      </w:r>
      <w:r w:rsidRPr="00E65655">
        <w:rPr>
          <w:rFonts w:cs="Arial"/>
          <w:b/>
          <w:color w:val="000000"/>
        </w:rPr>
        <w:t>Merger Event</w:t>
      </w:r>
      <w:r w:rsidRPr="00E65655">
        <w:rPr>
          <w:rFonts w:cs="Arial"/>
          <w:color w:val="000000"/>
        </w:rPr>
        <w:t xml:space="preserve">” means, in respect of the </w:t>
      </w:r>
      <w:r w:rsidRPr="00E65655">
        <w:rPr>
          <w:rFonts w:cs="Arial" w:hint="eastAsia"/>
          <w:color w:val="000000"/>
          <w:lang w:eastAsia="zh-CN"/>
        </w:rPr>
        <w:t>Underlying Stock</w:t>
      </w:r>
      <w:r w:rsidRPr="00E65655">
        <w:rPr>
          <w:rFonts w:cs="Arial"/>
          <w:color w:val="000000"/>
        </w:rPr>
        <w:t xml:space="preserve">, any (i) reclassification or change of such </w:t>
      </w:r>
      <w:r w:rsidRPr="00E65655">
        <w:rPr>
          <w:rFonts w:cs="Arial" w:hint="eastAsia"/>
          <w:color w:val="000000"/>
          <w:lang w:eastAsia="zh-CN"/>
        </w:rPr>
        <w:t>Underlying Stock</w:t>
      </w:r>
      <w:r w:rsidRPr="00E65655">
        <w:rPr>
          <w:rFonts w:cs="Arial"/>
          <w:color w:val="000000"/>
        </w:rPr>
        <w:t xml:space="preserve"> that results in a transfer of or an irrevocable commitment to transfer all of such</w:t>
      </w:r>
      <w:r w:rsidRPr="00E65655">
        <w:rPr>
          <w:rFonts w:cs="Arial" w:hint="eastAsia"/>
          <w:color w:val="000000"/>
          <w:lang w:eastAsia="zh-CN"/>
        </w:rPr>
        <w:t xml:space="preserve"> Underlying Stock</w:t>
      </w:r>
      <w:r w:rsidRPr="00E65655">
        <w:rPr>
          <w:rFonts w:cs="Arial"/>
          <w:color w:val="000000"/>
        </w:rPr>
        <w:t xml:space="preserve"> outstanding to another entity or person, (ii) consolidation, amalgamation, merger </w:t>
      </w:r>
      <w:r w:rsidRPr="00E65655">
        <w:rPr>
          <w:rFonts w:cs="Arial"/>
          <w:color w:val="000000"/>
        </w:rPr>
        <w:lastRenderedPageBreak/>
        <w:t xml:space="preserve">or binding share exchange of a Company with or into another entity or person (other than a consolidation, amalgamation, merger or binding share exchange in which such Company is the continuing entity and which does not result in reclassification or change of all of such </w:t>
      </w:r>
      <w:r w:rsidRPr="00E65655">
        <w:rPr>
          <w:rFonts w:cs="Arial" w:hint="eastAsia"/>
          <w:color w:val="000000"/>
          <w:lang w:eastAsia="zh-CN"/>
        </w:rPr>
        <w:t>Underlying Stock</w:t>
      </w:r>
      <w:r w:rsidRPr="00E65655">
        <w:rPr>
          <w:rFonts w:cs="Arial"/>
          <w:color w:val="000000"/>
        </w:rPr>
        <w:t xml:space="preserve"> outstanding),  (iii) takeover offer, exchange offer, solicitation, proposal or other event by any entity or person to purchase or otherwise obtain 100 per cent. of the outstanding </w:t>
      </w:r>
      <w:r w:rsidRPr="00E65655">
        <w:rPr>
          <w:rFonts w:cs="Arial" w:hint="eastAsia"/>
          <w:color w:val="000000"/>
          <w:lang w:eastAsia="zh-CN"/>
        </w:rPr>
        <w:t>Underlying Stock</w:t>
      </w:r>
      <w:r w:rsidRPr="00E65655">
        <w:rPr>
          <w:rFonts w:cs="Arial"/>
          <w:color w:val="000000"/>
        </w:rPr>
        <w:t xml:space="preserve"> of the Company that results in a transfer of or an irrevocable commitment to transfer all such </w:t>
      </w:r>
      <w:r w:rsidRPr="00E65655">
        <w:rPr>
          <w:rFonts w:cs="Arial" w:hint="eastAsia"/>
          <w:color w:val="000000"/>
          <w:lang w:eastAsia="zh-CN"/>
        </w:rPr>
        <w:t>Underlying Stock</w:t>
      </w:r>
      <w:r w:rsidRPr="00E65655">
        <w:rPr>
          <w:rFonts w:cs="Arial"/>
          <w:color w:val="000000"/>
        </w:rPr>
        <w:t xml:space="preserve"> (other than such </w:t>
      </w:r>
      <w:r w:rsidRPr="00E65655">
        <w:rPr>
          <w:rFonts w:cs="Arial" w:hint="eastAsia"/>
          <w:color w:val="000000"/>
          <w:lang w:eastAsia="zh-CN"/>
        </w:rPr>
        <w:t>Underlying Stock</w:t>
      </w:r>
      <w:r w:rsidRPr="00E65655">
        <w:rPr>
          <w:rFonts w:cs="Arial"/>
          <w:color w:val="000000"/>
        </w:rPr>
        <w:t xml:space="preserve"> owned or controlled by such other entity or person), or (iv) consolidation, amalgamation, merger or binding share exchange of the Company or its subsidiaries with or into another entity in which the Company is the continuing entity and which does not result in a reclassification or change of all such </w:t>
      </w:r>
      <w:r w:rsidRPr="00E65655">
        <w:rPr>
          <w:rFonts w:cs="Arial" w:hint="eastAsia"/>
          <w:color w:val="000000"/>
          <w:lang w:eastAsia="zh-CN"/>
        </w:rPr>
        <w:t>Underlying Stock</w:t>
      </w:r>
      <w:r w:rsidRPr="00E65655">
        <w:rPr>
          <w:rFonts w:cs="Arial"/>
          <w:color w:val="000000"/>
        </w:rPr>
        <w:t xml:space="preserve"> outstanding but results in the outstanding </w:t>
      </w:r>
      <w:r w:rsidRPr="00E65655">
        <w:rPr>
          <w:rFonts w:cs="Arial" w:hint="eastAsia"/>
          <w:color w:val="000000"/>
          <w:lang w:eastAsia="zh-CN"/>
        </w:rPr>
        <w:t>Underlying Stock</w:t>
      </w:r>
      <w:r w:rsidRPr="00E65655">
        <w:rPr>
          <w:rFonts w:cs="Arial"/>
          <w:color w:val="000000"/>
        </w:rPr>
        <w:t xml:space="preserve"> (other than </w:t>
      </w:r>
      <w:r w:rsidRPr="00E65655">
        <w:rPr>
          <w:rFonts w:cs="Arial" w:hint="eastAsia"/>
          <w:color w:val="000000"/>
          <w:lang w:eastAsia="zh-CN"/>
        </w:rPr>
        <w:t>Underlying Stock</w:t>
      </w:r>
      <w:r w:rsidRPr="00E65655">
        <w:rPr>
          <w:rFonts w:cs="Arial"/>
          <w:color w:val="000000"/>
        </w:rPr>
        <w:t xml:space="preserve"> owned or controlled by such other entity) immediately prior to such event collectively representing less than 50 per cent. of the outstanding </w:t>
      </w:r>
      <w:r w:rsidRPr="00E65655">
        <w:rPr>
          <w:rFonts w:cs="Arial" w:hint="eastAsia"/>
          <w:color w:val="000000"/>
          <w:lang w:eastAsia="zh-CN"/>
        </w:rPr>
        <w:t>Underlying Stock</w:t>
      </w:r>
      <w:r w:rsidRPr="00E65655">
        <w:rPr>
          <w:rFonts w:cs="Arial"/>
          <w:color w:val="000000"/>
        </w:rPr>
        <w:t xml:space="preserve"> immediately following such event, in each case if the Merger Date is on or before the Valuation Date. “</w:t>
      </w:r>
      <w:r w:rsidRPr="00E65655">
        <w:rPr>
          <w:rFonts w:cs="Arial"/>
          <w:b/>
          <w:color w:val="000000"/>
        </w:rPr>
        <w:t>Nationalisation</w:t>
      </w:r>
      <w:r w:rsidRPr="00E65655">
        <w:rPr>
          <w:rFonts w:cs="Arial"/>
          <w:color w:val="000000"/>
        </w:rPr>
        <w:t xml:space="preserve">” means that all the </w:t>
      </w:r>
      <w:r w:rsidRPr="00E65655">
        <w:rPr>
          <w:rFonts w:cs="Arial" w:hint="eastAsia"/>
          <w:color w:val="000000"/>
          <w:lang w:eastAsia="zh-CN"/>
        </w:rPr>
        <w:t>Underlying Stock</w:t>
      </w:r>
      <w:r w:rsidRPr="00E65655">
        <w:rPr>
          <w:rFonts w:cs="Arial"/>
          <w:color w:val="000000"/>
        </w:rPr>
        <w:t xml:space="preserve"> or all or substantially </w:t>
      </w:r>
      <w:proofErr w:type="gramStart"/>
      <w:r w:rsidRPr="00E65655">
        <w:rPr>
          <w:rFonts w:cs="Arial"/>
          <w:color w:val="000000"/>
        </w:rPr>
        <w:t>all of</w:t>
      </w:r>
      <w:proofErr w:type="gramEnd"/>
      <w:r w:rsidRPr="00E65655">
        <w:rPr>
          <w:rFonts w:cs="Arial"/>
          <w:color w:val="000000"/>
        </w:rPr>
        <w:t xml:space="preserve"> the assets of a Company are nationalised, expropriated or are otherwise required to be transferred to any governmental agency, authority, entity or instrumentality thereof. “</w:t>
      </w:r>
      <w:r w:rsidRPr="00E65655">
        <w:rPr>
          <w:rFonts w:cs="Arial"/>
          <w:b/>
          <w:color w:val="000000"/>
        </w:rPr>
        <w:t>Tender Offer</w:t>
      </w:r>
      <w:r w:rsidRPr="00E65655">
        <w:rPr>
          <w:rFonts w:cs="Arial"/>
          <w:color w:val="000000"/>
        </w:rPr>
        <w:t>” means a takeover offer, tender offer, exchange offer, solicitation, proposal or other event by any entity or person that results in such entity or person purchasing, or otherwise obtaining or having the right to obtain, by conversion or other means, greater than 10 per cent. and less than 100 per cent. of the outstanding voting shares of the Company, as determined by the Issuer, based upon the making of filings with governmental or self-regulatory agencies or such other information as the Issuer deems relevant.</w:t>
      </w:r>
    </w:p>
    <w:p w14:paraId="7639F0FE" w14:textId="742A11B6" w:rsidR="005C174A" w:rsidRPr="00E65655" w:rsidRDefault="005C174A" w:rsidP="005C174A">
      <w:pPr>
        <w:spacing w:line="290" w:lineRule="auto"/>
        <w:ind w:left="1440" w:hanging="720"/>
        <w:jc w:val="both"/>
        <w:rPr>
          <w:szCs w:val="20"/>
        </w:rPr>
      </w:pPr>
      <w:r w:rsidRPr="00E65655">
        <w:rPr>
          <w:color w:val="000000"/>
          <w:szCs w:val="20"/>
        </w:rPr>
        <w:t>(e)</w:t>
      </w:r>
      <w:r w:rsidRPr="00E65655">
        <w:rPr>
          <w:color w:val="000000"/>
          <w:szCs w:val="20"/>
        </w:rPr>
        <w:tab/>
      </w:r>
      <w:r w:rsidRPr="00E65655">
        <w:rPr>
          <w:i/>
          <w:iCs/>
          <w:szCs w:val="20"/>
        </w:rPr>
        <w:t>Subdivision or Consolidation of the Certificates</w:t>
      </w:r>
      <w:r w:rsidRPr="00E65655">
        <w:rPr>
          <w:szCs w:val="20"/>
        </w:rPr>
        <w:t>.  The Issuer reserves the right to subdivide or consolidate the Certificates, provided that such adjustment is considered by the Issuer not to be materially prejudicial to the Certificate Holders generally (without considering the circumstances of any individual Certificate Holder or the tax or other consequences of such adjustment or amendment in any particular jurisdiction) and subject to the approval of the SGX-ST.</w:t>
      </w:r>
    </w:p>
    <w:p w14:paraId="3CB6586E" w14:textId="77777777" w:rsidR="005C174A" w:rsidRPr="00E65655" w:rsidRDefault="005C174A" w:rsidP="005C174A">
      <w:pPr>
        <w:spacing w:line="290" w:lineRule="auto"/>
        <w:ind w:left="1440" w:hanging="720"/>
        <w:jc w:val="both"/>
        <w:rPr>
          <w:szCs w:val="20"/>
        </w:rPr>
      </w:pPr>
    </w:p>
    <w:p w14:paraId="48931529" w14:textId="6514C992" w:rsidR="00B756B4" w:rsidRPr="00E65655" w:rsidRDefault="00B756B4" w:rsidP="00B756B4">
      <w:pPr>
        <w:widowControl w:val="0"/>
        <w:spacing w:after="140" w:line="295" w:lineRule="auto"/>
        <w:ind w:left="1440" w:hanging="720"/>
        <w:jc w:val="both"/>
        <w:rPr>
          <w:rFonts w:cs="Arial"/>
        </w:rPr>
      </w:pPr>
      <w:r w:rsidRPr="00E65655">
        <w:rPr>
          <w:rFonts w:cs="Arial"/>
          <w:color w:val="000000"/>
        </w:rPr>
        <w:t>(</w:t>
      </w:r>
      <w:r w:rsidR="005C174A" w:rsidRPr="00E65655">
        <w:rPr>
          <w:rFonts w:cs="Arial"/>
          <w:color w:val="000000"/>
        </w:rPr>
        <w:t>f</w:t>
      </w:r>
      <w:r w:rsidRPr="00E65655">
        <w:rPr>
          <w:rFonts w:cs="Arial"/>
          <w:color w:val="000000"/>
        </w:rPr>
        <w:t>)</w:t>
      </w:r>
      <w:r w:rsidRPr="00E65655">
        <w:rPr>
          <w:rFonts w:cs="Arial"/>
          <w:color w:val="000000"/>
        </w:rPr>
        <w:tab/>
      </w:r>
      <w:r w:rsidRPr="00E65655">
        <w:rPr>
          <w:rFonts w:cs="Arial"/>
          <w:i/>
          <w:color w:val="000000"/>
        </w:rPr>
        <w:t>Other Adjustments</w:t>
      </w:r>
      <w:r w:rsidRPr="00E65655">
        <w:rPr>
          <w:rFonts w:cs="Arial"/>
          <w:color w:val="000000"/>
        </w:rPr>
        <w:t xml:space="preserve">.  Except as provided in this Condition 6 and </w:t>
      </w:r>
      <w:r w:rsidRPr="00E65655">
        <w:rPr>
          <w:rFonts w:cs="Arial" w:hint="eastAsia"/>
          <w:color w:val="000000"/>
          <w:lang w:eastAsia="zh-CN"/>
        </w:rPr>
        <w:t xml:space="preserve">Conditions 10 and </w:t>
      </w:r>
      <w:r w:rsidRPr="00E65655">
        <w:rPr>
          <w:rFonts w:cs="Arial"/>
          <w:color w:val="000000"/>
        </w:rPr>
        <w:t>12, adjustments will not be made in any</w:t>
      </w:r>
      <w:r w:rsidRPr="00E65655">
        <w:rPr>
          <w:rFonts w:cs="Arial"/>
        </w:rPr>
        <w:t xml:space="preserve"> other circumstances, subject to the right reserved by the Issuer (such right to be exercised in the Issuer's sole discretion and without any obligation whatsoever) to make such adjustments</w:t>
      </w:r>
      <w:r w:rsidRPr="00E65655">
        <w:rPr>
          <w:rFonts w:cs="Arial" w:hint="eastAsia"/>
          <w:lang w:eastAsia="zh-CN"/>
        </w:rPr>
        <w:t xml:space="preserve"> and amendments</w:t>
      </w:r>
      <w:r w:rsidRPr="00E65655">
        <w:rPr>
          <w:rFonts w:cs="Arial"/>
        </w:rPr>
        <w:t xml:space="preserve"> as it believes appropriate in circumstances where an event or events occur which it believes in its sole discretion (and notwithstanding any prior adjustment made pursuant to the above) should, in the context of the issue of the </w:t>
      </w:r>
      <w:r w:rsidRPr="00E65655">
        <w:rPr>
          <w:rFonts w:cs="Arial" w:hint="eastAsia"/>
          <w:lang w:eastAsia="zh-CN"/>
        </w:rPr>
        <w:t>Certificate</w:t>
      </w:r>
      <w:r w:rsidRPr="00E65655">
        <w:rPr>
          <w:rFonts w:cs="Arial"/>
        </w:rPr>
        <w:t>s and the obligations of the Issuer, give rise to such adjustment</w:t>
      </w:r>
      <w:r w:rsidRPr="00E65655">
        <w:rPr>
          <w:rFonts w:cs="Arial" w:hint="eastAsia"/>
          <w:lang w:eastAsia="zh-CN"/>
        </w:rPr>
        <w:t xml:space="preserve"> or, as the case may be, amendment</w:t>
      </w:r>
      <w:r w:rsidRPr="00E65655">
        <w:rPr>
          <w:rFonts w:cs="Arial"/>
        </w:rPr>
        <w:t xml:space="preserve"> provided that such adjustment</w:t>
      </w:r>
      <w:r w:rsidRPr="00E65655">
        <w:rPr>
          <w:rFonts w:cs="Arial" w:hint="eastAsia"/>
          <w:lang w:eastAsia="zh-CN"/>
        </w:rPr>
        <w:t xml:space="preserve"> or, as the case may be, amendment</w:t>
      </w:r>
      <w:r w:rsidRPr="00E65655">
        <w:rPr>
          <w:rFonts w:cs="Arial"/>
        </w:rPr>
        <w:t xml:space="preserve"> is considered by the Issuer not to be materially prejudicial to the </w:t>
      </w:r>
      <w:r w:rsidRPr="00E65655">
        <w:rPr>
          <w:rFonts w:cs="Arial" w:hint="eastAsia"/>
          <w:color w:val="000000"/>
          <w:lang w:eastAsia="zh-CN"/>
        </w:rPr>
        <w:t>Certificate H</w:t>
      </w:r>
      <w:r w:rsidRPr="00E65655">
        <w:rPr>
          <w:rFonts w:cs="Arial"/>
          <w:color w:val="000000"/>
        </w:rPr>
        <w:t>older</w:t>
      </w:r>
      <w:r w:rsidRPr="00E65655">
        <w:rPr>
          <w:rFonts w:cs="Arial"/>
        </w:rPr>
        <w:t xml:space="preserve">s generally (without considering the circumstances of any individual </w:t>
      </w:r>
      <w:r w:rsidRPr="00E65655">
        <w:rPr>
          <w:rFonts w:cs="Arial" w:hint="eastAsia"/>
          <w:color w:val="000000"/>
          <w:lang w:eastAsia="zh-CN"/>
        </w:rPr>
        <w:t>Certificate H</w:t>
      </w:r>
      <w:r w:rsidRPr="00E65655">
        <w:rPr>
          <w:rFonts w:cs="Arial"/>
          <w:color w:val="000000"/>
        </w:rPr>
        <w:t xml:space="preserve">older </w:t>
      </w:r>
      <w:r w:rsidRPr="00E65655">
        <w:rPr>
          <w:rFonts w:cs="Arial"/>
        </w:rPr>
        <w:t xml:space="preserve">or the tax or other consequences of such adjustment </w:t>
      </w:r>
      <w:r w:rsidRPr="00E65655">
        <w:rPr>
          <w:rFonts w:cs="Arial" w:hint="eastAsia"/>
          <w:lang w:eastAsia="zh-CN"/>
        </w:rPr>
        <w:t xml:space="preserve">or amendment </w:t>
      </w:r>
      <w:r w:rsidRPr="00E65655">
        <w:rPr>
          <w:rFonts w:cs="Arial"/>
        </w:rPr>
        <w:t>in any particular jurisdiction).</w:t>
      </w:r>
    </w:p>
    <w:p w14:paraId="42A65C8D" w14:textId="52784CB1" w:rsidR="00B52A3E" w:rsidRPr="00E65655" w:rsidRDefault="00B756B4" w:rsidP="00876F89">
      <w:pPr>
        <w:widowControl w:val="0"/>
        <w:spacing w:after="140" w:line="290" w:lineRule="auto"/>
        <w:ind w:left="1440" w:hanging="720"/>
        <w:jc w:val="both"/>
        <w:rPr>
          <w:rFonts w:cs="Arial"/>
        </w:rPr>
      </w:pPr>
      <w:r w:rsidRPr="00E65655">
        <w:rPr>
          <w:rFonts w:cs="Arial"/>
        </w:rPr>
        <w:t>(</w:t>
      </w:r>
      <w:r w:rsidR="005C174A" w:rsidRPr="00E65655">
        <w:rPr>
          <w:rFonts w:cs="Arial"/>
        </w:rPr>
        <w:t>g</w:t>
      </w:r>
      <w:r w:rsidRPr="00E65655">
        <w:rPr>
          <w:rFonts w:cs="Arial"/>
        </w:rPr>
        <w:t>)</w:t>
      </w:r>
      <w:r w:rsidRPr="00E65655">
        <w:rPr>
          <w:rFonts w:cs="Arial"/>
        </w:rPr>
        <w:tab/>
      </w:r>
      <w:r w:rsidRPr="00E65655">
        <w:rPr>
          <w:rFonts w:cs="Arial"/>
          <w:i/>
        </w:rPr>
        <w:t>Notice of Adjustments</w:t>
      </w:r>
      <w:r w:rsidRPr="00E65655">
        <w:rPr>
          <w:rFonts w:cs="Arial"/>
        </w:rPr>
        <w:t xml:space="preserve">.  All determinations made by the Issuer pursuant hereto will be conclusive and binding on the </w:t>
      </w:r>
      <w:r w:rsidRPr="00E65655">
        <w:rPr>
          <w:rFonts w:cs="Arial" w:hint="eastAsia"/>
          <w:color w:val="000000"/>
          <w:lang w:eastAsia="zh-CN"/>
        </w:rPr>
        <w:t>Certificate H</w:t>
      </w:r>
      <w:r w:rsidRPr="00E65655">
        <w:rPr>
          <w:rFonts w:cs="Arial"/>
          <w:color w:val="000000"/>
        </w:rPr>
        <w:t>older</w:t>
      </w:r>
      <w:r w:rsidRPr="00E65655">
        <w:rPr>
          <w:rFonts w:cs="Arial" w:hint="eastAsia"/>
          <w:color w:val="000000"/>
          <w:lang w:eastAsia="zh-CN"/>
        </w:rPr>
        <w:t>s</w:t>
      </w:r>
      <w:r w:rsidRPr="00E65655">
        <w:rPr>
          <w:rFonts w:cs="Arial"/>
        </w:rPr>
        <w:t xml:space="preserve">. The Issuer will give, or procure that there is given, notice as soon as practicable of any adjustment and of the date from which such adjustment is effective by publication in accordance with Condition 9. For </w:t>
      </w:r>
      <w:r w:rsidRPr="00E65655">
        <w:rPr>
          <w:rFonts w:cs="Arial"/>
        </w:rPr>
        <w:lastRenderedPageBreak/>
        <w:t>the avoidance of doubt, no notice will be given if the Issuer determines that adjustments will not be made.</w:t>
      </w:r>
    </w:p>
    <w:p w14:paraId="2F1323A3" w14:textId="77777777" w:rsidR="00206AC4" w:rsidRPr="00E65655" w:rsidRDefault="00206AC4" w:rsidP="00206AC4">
      <w:pPr>
        <w:pStyle w:val="BodyTextIndent"/>
        <w:widowControl w:val="0"/>
        <w:spacing w:after="140" w:line="290" w:lineRule="auto"/>
        <w:rPr>
          <w:rFonts w:eastAsiaTheme="minorEastAsia" w:cs="Arial"/>
          <w:b/>
          <w:bCs/>
          <w:szCs w:val="20"/>
          <w:lang w:val="en-US" w:eastAsia="zh-CN"/>
        </w:rPr>
      </w:pPr>
      <w:r w:rsidRPr="00E65655">
        <w:rPr>
          <w:rFonts w:eastAsiaTheme="minorEastAsia" w:cs="Arial"/>
          <w:b/>
          <w:bCs/>
          <w:szCs w:val="20"/>
          <w:lang w:val="en-US" w:eastAsia="zh-CN"/>
        </w:rPr>
        <w:t>6A.</w:t>
      </w:r>
      <w:r w:rsidRPr="00E65655">
        <w:rPr>
          <w:rFonts w:cs="Arial"/>
          <w:b/>
          <w:bCs/>
          <w:szCs w:val="20"/>
        </w:rPr>
        <w:t xml:space="preserve"> </w:t>
      </w:r>
      <w:r w:rsidRPr="00E65655">
        <w:rPr>
          <w:rFonts w:cs="Arial"/>
          <w:b/>
          <w:bCs/>
          <w:szCs w:val="20"/>
        </w:rPr>
        <w:tab/>
      </w:r>
      <w:r w:rsidRPr="00E65655">
        <w:rPr>
          <w:rFonts w:eastAsiaTheme="minorEastAsia" w:cs="Arial"/>
          <w:b/>
          <w:bCs/>
          <w:szCs w:val="20"/>
          <w:lang w:val="en-US" w:eastAsia="zh-CN"/>
        </w:rPr>
        <w:t>US withholding tax implications on the Payment</w:t>
      </w:r>
    </w:p>
    <w:p w14:paraId="0C4AE974" w14:textId="77777777" w:rsidR="00206AC4" w:rsidRPr="00E65655" w:rsidRDefault="00206AC4" w:rsidP="00206AC4">
      <w:pPr>
        <w:pStyle w:val="BodyTextIndent"/>
        <w:widowControl w:val="0"/>
        <w:spacing w:after="140" w:line="290" w:lineRule="auto"/>
        <w:ind w:left="0" w:firstLine="720"/>
        <w:rPr>
          <w:rFonts w:eastAsiaTheme="minorEastAsia" w:cs="Arial"/>
          <w:szCs w:val="20"/>
          <w:lang w:val="en-US" w:eastAsia="zh-CN"/>
        </w:rPr>
      </w:pPr>
      <w:r w:rsidRPr="00E65655">
        <w:rPr>
          <w:rFonts w:eastAsia="Arial" w:cs="Arial"/>
          <w:szCs w:val="20"/>
          <w:lang w:val="en-US"/>
        </w:rPr>
        <w:t>Notwithstanding any other provision of these Conditions, in no event will the Issuer or the Guarantor be required to pay any additional amounts in respect of the Certificates for, or on account of, any withholding or deduction (i) required pursuant to an agreement described in Section 1471(b) of the U.S. Internal Revenue Code of 1986, as amended (the “</w:t>
      </w:r>
      <w:r w:rsidRPr="00E65655">
        <w:rPr>
          <w:rFonts w:eastAsia="Arial" w:cs="Arial"/>
          <w:b/>
          <w:bCs/>
          <w:szCs w:val="20"/>
          <w:lang w:val="en-US"/>
        </w:rPr>
        <w:t>US Code</w:t>
      </w:r>
      <w:r w:rsidRPr="00E65655">
        <w:rPr>
          <w:rFonts w:eastAsia="Arial" w:cs="Arial"/>
          <w:szCs w:val="20"/>
          <w:lang w:val="en-US"/>
        </w:rPr>
        <w:t>”), or otherwise imposed pursuant to Sections 1471 through 1474 of the US Code, any regulations or agreements thereunder, or any official interpretations thereof, or any law implementing an intergovernmental approach thereto, (ii) imposed pursuant to the Section 871(m) Regulations (“</w:t>
      </w:r>
      <w:r w:rsidRPr="00E65655">
        <w:rPr>
          <w:rFonts w:eastAsia="Arial" w:cs="Arial"/>
          <w:b/>
          <w:bCs/>
          <w:szCs w:val="20"/>
          <w:lang w:val="en-US"/>
        </w:rPr>
        <w:t>Section 871(m) Withholding</w:t>
      </w:r>
      <w:r w:rsidRPr="00E65655">
        <w:rPr>
          <w:rFonts w:eastAsia="Arial" w:cs="Arial"/>
          <w:szCs w:val="20"/>
          <w:lang w:val="en-US"/>
        </w:rPr>
        <w:t>”) or (iii) imposed by any other law of the United States. In addition, in determining the amount of Section 871(m) Withholding imposed on any payments on the Certificates, the Issuer shall be entitled to withhold on any "dividend equivalent" (as defined for purposes of Section 871(m) of the US Code) at the highest rate applicable to such payments regardless of any exemption from, or reduction in, such withholding otherwise available under applicable law.</w:t>
      </w:r>
    </w:p>
    <w:p w14:paraId="30EAB453" w14:textId="77777777" w:rsidR="00206AC4" w:rsidRPr="00E65655" w:rsidRDefault="00206AC4" w:rsidP="00206AC4">
      <w:pPr>
        <w:pStyle w:val="BodyTextIndent"/>
        <w:widowControl w:val="0"/>
        <w:spacing w:after="140" w:line="290" w:lineRule="auto"/>
        <w:ind w:left="0" w:firstLine="720"/>
        <w:rPr>
          <w:rFonts w:eastAsiaTheme="minorEastAsia" w:cs="Arial"/>
          <w:szCs w:val="20"/>
          <w:lang w:val="en-US" w:eastAsia="zh-CN"/>
        </w:rPr>
      </w:pPr>
      <w:r w:rsidRPr="00E65655">
        <w:rPr>
          <w:rFonts w:eastAsia="Arial" w:cs="Arial"/>
          <w:szCs w:val="20"/>
          <w:lang w:val="en-US"/>
        </w:rPr>
        <w:t xml:space="preserve">With respect to Specified Warrants that provide for net dividend reinvestment in respect of either an underlying U.S. security (i.e. a security that pays U.S. source dividends) or an index that includes U.S. securities, all payments on </w:t>
      </w:r>
      <w:r w:rsidRPr="00E65655">
        <w:rPr>
          <w:rFonts w:eastAsiaTheme="minorEastAsia" w:cs="Arial" w:hint="eastAsia"/>
          <w:szCs w:val="20"/>
          <w:lang w:val="en-US" w:eastAsia="zh-CN"/>
        </w:rPr>
        <w:t>Certificates</w:t>
      </w:r>
      <w:r w:rsidRPr="00E65655">
        <w:rPr>
          <w:rFonts w:eastAsia="Arial" w:cs="Arial"/>
          <w:szCs w:val="20"/>
          <w:lang w:val="en-US"/>
        </w:rPr>
        <w:t xml:space="preserve"> that reference such U.S. securities or an index that includes U.S. securities may be calculated by reference to dividends on such U.S. securities that are reinvested at a rate of 70%. In such case, in calculating the relevant payment amount, the holder will be deemed to receive, and the Issuer or the Guarantor will be deemed to withhold, 30% of any dividend equivalent payments (as defined in Section 871(m) of the Code) in respect of the relevant U.S. securities. The Issuer or the Guarantor will not pay any additional amounts to the holder on account of the Section 871(m) amount deemed withheld. </w:t>
      </w:r>
    </w:p>
    <w:p w14:paraId="37149BEF" w14:textId="77777777" w:rsidR="00206AC4" w:rsidRPr="00E65655" w:rsidRDefault="00206AC4" w:rsidP="00206AC4">
      <w:pPr>
        <w:pStyle w:val="BodyTextIndent"/>
        <w:widowControl w:val="0"/>
        <w:spacing w:after="140" w:line="290" w:lineRule="auto"/>
        <w:ind w:left="0" w:firstLine="720"/>
        <w:rPr>
          <w:rFonts w:eastAsiaTheme="minorEastAsia" w:cs="Arial"/>
          <w:szCs w:val="20"/>
          <w:lang w:val="en-US" w:eastAsia="zh-CN"/>
        </w:rPr>
      </w:pPr>
      <w:proofErr w:type="gramStart"/>
      <w:r w:rsidRPr="00E65655">
        <w:rPr>
          <w:rFonts w:eastAsia="Arial" w:cs="Arial"/>
          <w:szCs w:val="20"/>
          <w:lang w:val="en-US"/>
        </w:rPr>
        <w:t>For the purpose of</w:t>
      </w:r>
      <w:proofErr w:type="gramEnd"/>
      <w:r w:rsidRPr="00E65655">
        <w:rPr>
          <w:rFonts w:eastAsia="Arial" w:cs="Arial"/>
          <w:szCs w:val="20"/>
          <w:lang w:val="en-US"/>
        </w:rPr>
        <w:t xml:space="preserve"> this Condition: </w:t>
      </w:r>
    </w:p>
    <w:p w14:paraId="2CAEFA1D" w14:textId="77777777" w:rsidR="00206AC4" w:rsidRPr="00E65655" w:rsidRDefault="00206AC4" w:rsidP="00206AC4">
      <w:pPr>
        <w:pStyle w:val="BodyTextIndent"/>
        <w:widowControl w:val="0"/>
        <w:spacing w:after="140" w:line="290" w:lineRule="auto"/>
        <w:ind w:left="0" w:firstLine="720"/>
        <w:rPr>
          <w:rFonts w:eastAsiaTheme="minorEastAsia" w:cs="Arial"/>
          <w:szCs w:val="20"/>
          <w:lang w:val="en-US" w:eastAsia="zh-CN"/>
        </w:rPr>
      </w:pPr>
      <w:r w:rsidRPr="00E65655">
        <w:rPr>
          <w:rFonts w:eastAsiaTheme="minorEastAsia" w:cs="Arial"/>
          <w:szCs w:val="20"/>
          <w:lang w:val="en-US" w:eastAsia="zh-CN"/>
        </w:rPr>
        <w:t>“</w:t>
      </w:r>
      <w:r w:rsidRPr="00E65655">
        <w:rPr>
          <w:rFonts w:eastAsia="Arial" w:cs="Arial"/>
          <w:b/>
          <w:bCs/>
          <w:szCs w:val="20"/>
          <w:lang w:val="en-US"/>
        </w:rPr>
        <w:t>Section 871(m) Regulations</w:t>
      </w:r>
      <w:r w:rsidRPr="00E65655">
        <w:rPr>
          <w:rFonts w:eastAsiaTheme="minorEastAsia" w:cs="Arial"/>
          <w:szCs w:val="20"/>
          <w:lang w:val="en-US" w:eastAsia="zh-CN"/>
        </w:rPr>
        <w:t>”</w:t>
      </w:r>
      <w:r w:rsidRPr="00E65655">
        <w:rPr>
          <w:rFonts w:eastAsia="Arial" w:cs="Arial"/>
          <w:szCs w:val="20"/>
          <w:lang w:val="en-US"/>
        </w:rPr>
        <w:t xml:space="preserve"> means the U.S. Treasury regulations issued under Section 871(m) of the Code. </w:t>
      </w:r>
    </w:p>
    <w:p w14:paraId="4AD38145" w14:textId="454937B4" w:rsidR="00206AC4" w:rsidRPr="00E65655" w:rsidRDefault="00206AC4" w:rsidP="00206AC4">
      <w:pPr>
        <w:pStyle w:val="BodyTextIndent"/>
        <w:widowControl w:val="0"/>
        <w:spacing w:after="140" w:line="290" w:lineRule="auto"/>
        <w:ind w:left="0" w:firstLine="720"/>
        <w:rPr>
          <w:rFonts w:eastAsiaTheme="minorEastAsia" w:cs="Arial"/>
          <w:szCs w:val="20"/>
          <w:lang w:val="en-US" w:eastAsia="zh-CN"/>
        </w:rPr>
      </w:pPr>
      <w:r w:rsidRPr="00E65655">
        <w:rPr>
          <w:rFonts w:eastAsia="Arial" w:cs="Arial"/>
          <w:szCs w:val="20"/>
          <w:lang w:val="en-US"/>
        </w:rPr>
        <w:t>“</w:t>
      </w:r>
      <w:r w:rsidRPr="00E65655">
        <w:rPr>
          <w:rFonts w:eastAsia="Arial" w:cs="Arial"/>
          <w:b/>
          <w:bCs/>
          <w:szCs w:val="20"/>
          <w:lang w:val="en-US"/>
        </w:rPr>
        <w:t>Specified Warrants</w:t>
      </w:r>
      <w:r w:rsidRPr="00E65655">
        <w:rPr>
          <w:rFonts w:eastAsia="Arial" w:cs="Arial"/>
          <w:szCs w:val="20"/>
          <w:lang w:val="en-US"/>
        </w:rPr>
        <w:t xml:space="preserve">” means, subject to special rules from 2017 through 2026 set out in Notice 2024-44 (the </w:t>
      </w:r>
      <w:r w:rsidRPr="00E65655">
        <w:rPr>
          <w:rFonts w:eastAsia="Arial" w:cs="Arial"/>
          <w:b/>
          <w:bCs/>
          <w:szCs w:val="20"/>
          <w:lang w:val="en-US"/>
        </w:rPr>
        <w:t>Notice</w:t>
      </w:r>
      <w:r w:rsidRPr="00E65655">
        <w:rPr>
          <w:rFonts w:eastAsia="Arial" w:cs="Arial"/>
          <w:szCs w:val="20"/>
          <w:lang w:val="en-US"/>
        </w:rPr>
        <w:t>), Warrants issued on or after 1 January 2017 that substantially replicate the economic performance of one or more U.S. underlying equities as determined by the Issuer on the date for such Warrants as of which the expected delta of the product is determined by the Issuer, based on tests set out in the applicable Section 871(m) Regulations, such that the Warrants are subject to withholding under the Section 871(m) Regulations.</w:t>
      </w:r>
    </w:p>
    <w:p w14:paraId="02B0DF17" w14:textId="77777777" w:rsidR="00B756B4" w:rsidRPr="00E65655" w:rsidRDefault="00B756B4" w:rsidP="00B756B4">
      <w:pPr>
        <w:pStyle w:val="abcde"/>
        <w:tabs>
          <w:tab w:val="clear" w:pos="1276"/>
        </w:tabs>
        <w:spacing w:after="140" w:line="290" w:lineRule="auto"/>
        <w:ind w:left="720" w:hanging="720"/>
        <w:jc w:val="left"/>
        <w:rPr>
          <w:rFonts w:ascii="Arial" w:hAnsi="Arial" w:cs="Arial"/>
          <w:b/>
          <w:bCs/>
        </w:rPr>
      </w:pPr>
      <w:r w:rsidRPr="00E65655">
        <w:rPr>
          <w:rFonts w:ascii="Arial" w:hAnsi="Arial" w:cs="Arial"/>
          <w:b/>
          <w:bCs/>
        </w:rPr>
        <w:t>7.</w:t>
      </w:r>
      <w:r w:rsidRPr="00E65655">
        <w:rPr>
          <w:rFonts w:ascii="Arial" w:hAnsi="Arial" w:cs="Arial"/>
          <w:b/>
          <w:bCs/>
        </w:rPr>
        <w:tab/>
        <w:t>Purchases</w:t>
      </w:r>
    </w:p>
    <w:p w14:paraId="566B22D6" w14:textId="77777777" w:rsidR="00B756B4" w:rsidRPr="00E65655" w:rsidRDefault="00B756B4" w:rsidP="00B756B4">
      <w:pPr>
        <w:widowControl w:val="0"/>
        <w:spacing w:after="140" w:line="290" w:lineRule="auto"/>
        <w:ind w:firstLine="720"/>
        <w:jc w:val="both"/>
        <w:rPr>
          <w:rFonts w:cs="Arial"/>
          <w:szCs w:val="20"/>
          <w:lang w:eastAsia="zh-CN"/>
        </w:rPr>
      </w:pPr>
      <w:bookmarkStart w:id="50" w:name="_DV_M309"/>
      <w:bookmarkEnd w:id="50"/>
      <w:r w:rsidRPr="00E65655">
        <w:rPr>
          <w:rFonts w:cs="Arial"/>
          <w:szCs w:val="20"/>
        </w:rPr>
        <w:t>The Issuer, the Guarantor or any of their respective subsidiaries may at any time purchase Certificates at any price in the open market or by tender or by private treaty. Any Certificates so purchased may be held or resold or surrendered for cancellation.</w:t>
      </w:r>
    </w:p>
    <w:p w14:paraId="67244F66" w14:textId="77777777" w:rsidR="00B756B4" w:rsidRPr="00E65655" w:rsidRDefault="00B756B4" w:rsidP="00B756B4">
      <w:pPr>
        <w:pStyle w:val="Number1111"/>
        <w:spacing w:after="140" w:line="290" w:lineRule="auto"/>
        <w:rPr>
          <w:rFonts w:ascii="Arial" w:hAnsi="Arial" w:cs="Arial"/>
        </w:rPr>
      </w:pPr>
      <w:bookmarkStart w:id="51" w:name="_DV_M310"/>
      <w:bookmarkEnd w:id="51"/>
      <w:r w:rsidRPr="00E65655">
        <w:rPr>
          <w:rFonts w:ascii="Arial" w:hAnsi="Arial" w:cs="Arial"/>
        </w:rPr>
        <w:t>8.</w:t>
      </w:r>
      <w:r w:rsidRPr="00E65655">
        <w:rPr>
          <w:rFonts w:ascii="Arial" w:hAnsi="Arial" w:cs="Arial"/>
        </w:rPr>
        <w:tab/>
        <w:t>Meetings of Certificate Holders; Modification</w:t>
      </w:r>
    </w:p>
    <w:p w14:paraId="7706DCDC" w14:textId="77777777" w:rsidR="00B756B4" w:rsidRPr="00E65655" w:rsidRDefault="00B756B4" w:rsidP="00B756B4">
      <w:pPr>
        <w:pStyle w:val="abcde"/>
        <w:tabs>
          <w:tab w:val="clear" w:pos="1276"/>
        </w:tabs>
        <w:spacing w:after="140" w:line="290" w:lineRule="auto"/>
        <w:ind w:left="1440" w:hanging="731"/>
        <w:rPr>
          <w:rFonts w:ascii="Arial" w:hAnsi="Arial" w:cs="Arial"/>
        </w:rPr>
      </w:pPr>
      <w:bookmarkStart w:id="52" w:name="_DV_M311"/>
      <w:bookmarkEnd w:id="52"/>
      <w:r w:rsidRPr="00E65655">
        <w:rPr>
          <w:rFonts w:ascii="Arial" w:hAnsi="Arial" w:cs="Arial"/>
        </w:rPr>
        <w:t>(a)</w:t>
      </w:r>
      <w:r w:rsidRPr="00E65655">
        <w:rPr>
          <w:rFonts w:ascii="Arial" w:hAnsi="Arial" w:cs="Arial"/>
        </w:rPr>
        <w:tab/>
      </w:r>
      <w:r w:rsidRPr="00E65655">
        <w:rPr>
          <w:rFonts w:ascii="Arial" w:hAnsi="Arial" w:cs="Arial"/>
          <w:i/>
          <w:iCs/>
        </w:rPr>
        <w:t xml:space="preserve">Meetings of </w:t>
      </w:r>
      <w:r w:rsidRPr="00E65655">
        <w:rPr>
          <w:rFonts w:ascii="Arial" w:hAnsi="Arial" w:cs="Arial"/>
          <w:i/>
        </w:rPr>
        <w:t>Certificate Holder</w:t>
      </w:r>
      <w:r w:rsidRPr="00E65655">
        <w:rPr>
          <w:rFonts w:ascii="Arial" w:hAnsi="Arial" w:cs="Arial"/>
          <w:i/>
          <w:iCs/>
        </w:rPr>
        <w:t>s</w:t>
      </w:r>
      <w:r w:rsidRPr="00E65655">
        <w:rPr>
          <w:rFonts w:ascii="Arial" w:hAnsi="Arial" w:cs="Arial"/>
        </w:rPr>
        <w:t>. The Master Warrant Agent Agreement or Warrant Agent Agreement contains provisions for convening meetings of the Certificate Holders to consider any matter affecting their interests, including the sanctioning by Extraordinary Resolution (as defined in the Master Warrant Agent Agreement or Warrant Agent Agreement) of a modification of the provisions of the Certificates or of the Master Warrant Agent Agreement or Warrant Agent Agreement.</w:t>
      </w:r>
    </w:p>
    <w:p w14:paraId="5D53D7D6" w14:textId="77777777" w:rsidR="00B756B4" w:rsidRPr="00E65655" w:rsidRDefault="00B756B4" w:rsidP="00B756B4">
      <w:pPr>
        <w:pStyle w:val="abcde"/>
        <w:tabs>
          <w:tab w:val="clear" w:pos="1276"/>
        </w:tabs>
        <w:spacing w:after="140" w:line="290" w:lineRule="auto"/>
        <w:ind w:left="1440" w:firstLine="0"/>
        <w:rPr>
          <w:rFonts w:ascii="Arial" w:hAnsi="Arial" w:cs="Arial"/>
        </w:rPr>
      </w:pPr>
      <w:bookmarkStart w:id="53" w:name="_DV_M312"/>
      <w:bookmarkEnd w:id="53"/>
      <w:r w:rsidRPr="00E65655">
        <w:rPr>
          <w:rFonts w:ascii="Arial" w:hAnsi="Arial" w:cs="Arial"/>
        </w:rPr>
        <w:lastRenderedPageBreak/>
        <w:t>At least 21 days’ notice (exclusive of the day on which the notice is given and of the day on which the meeting is held) specifying the date, time and place of the meeting shall be given to the Certificate Holders.</w:t>
      </w:r>
    </w:p>
    <w:p w14:paraId="748C0694" w14:textId="77777777" w:rsidR="00B756B4" w:rsidRPr="00E65655" w:rsidRDefault="00B756B4" w:rsidP="00B756B4">
      <w:pPr>
        <w:pStyle w:val="abcde"/>
        <w:tabs>
          <w:tab w:val="clear" w:pos="1276"/>
        </w:tabs>
        <w:spacing w:after="140" w:line="290" w:lineRule="auto"/>
        <w:ind w:left="1440" w:firstLine="0"/>
        <w:rPr>
          <w:rFonts w:ascii="Arial" w:hAnsi="Arial" w:cs="Arial"/>
        </w:rPr>
      </w:pPr>
      <w:bookmarkStart w:id="54" w:name="_DV_M313"/>
      <w:bookmarkEnd w:id="54"/>
      <w:r w:rsidRPr="00E65655">
        <w:rPr>
          <w:rFonts w:ascii="Arial" w:hAnsi="Arial" w:cs="Arial"/>
        </w:rPr>
        <w:t>Such a meeting may be convened by the Issuer or by Certificate Holders holding not less than ten per cent. of the Certificates for the time being remaining unexercised. The quorum at any such meeting for passing an Extraordinary Resolution will be two or more persons holding or representing not less than 25 per cent. of the Certificates for the time being remaining unexercised, or at any adjourned meeting, two or more persons being or representing Certificate Holders whatever the number of Certificates so held or represented.</w:t>
      </w:r>
    </w:p>
    <w:p w14:paraId="3AE553CD" w14:textId="77777777" w:rsidR="00B756B4" w:rsidRPr="00E65655" w:rsidRDefault="00B756B4" w:rsidP="00B756B4">
      <w:pPr>
        <w:pStyle w:val="abcde"/>
        <w:tabs>
          <w:tab w:val="clear" w:pos="1276"/>
        </w:tabs>
        <w:spacing w:after="140" w:line="290" w:lineRule="auto"/>
        <w:ind w:left="1440" w:firstLine="0"/>
        <w:rPr>
          <w:rFonts w:ascii="Arial" w:hAnsi="Arial" w:cs="Arial"/>
        </w:rPr>
      </w:pPr>
      <w:bookmarkStart w:id="55" w:name="_DV_M314"/>
      <w:bookmarkEnd w:id="55"/>
      <w:r w:rsidRPr="00E65655">
        <w:rPr>
          <w:rFonts w:ascii="Arial" w:hAnsi="Arial" w:cs="Arial"/>
        </w:rPr>
        <w:t>A resolution will be an Extraordinary Resolution when it has been passed at a duly convened meeting by not less than three-quarters of the votes cast by such Certificate Holders who, being entitled to do so, vote in person or by proxy.</w:t>
      </w:r>
    </w:p>
    <w:p w14:paraId="0ACCB904" w14:textId="77777777" w:rsidR="00B756B4" w:rsidRPr="00E65655" w:rsidRDefault="00B756B4" w:rsidP="00B756B4">
      <w:pPr>
        <w:pStyle w:val="abcde"/>
        <w:tabs>
          <w:tab w:val="clear" w:pos="1276"/>
        </w:tabs>
        <w:spacing w:after="140" w:line="290" w:lineRule="auto"/>
        <w:ind w:left="1440" w:firstLine="0"/>
        <w:rPr>
          <w:rFonts w:ascii="Arial" w:hAnsi="Arial" w:cs="Arial"/>
        </w:rPr>
      </w:pPr>
      <w:bookmarkStart w:id="56" w:name="_DV_M315"/>
      <w:bookmarkEnd w:id="56"/>
      <w:r w:rsidRPr="00E65655">
        <w:rPr>
          <w:rFonts w:ascii="Arial" w:hAnsi="Arial" w:cs="Arial"/>
        </w:rPr>
        <w:t xml:space="preserve">An Extraordinary Resolution passed at any meeting of the Certificate Holders shall be binding on all the Certificate Holders </w:t>
      </w:r>
      <w:proofErr w:type="gramStart"/>
      <w:r w:rsidRPr="00E65655">
        <w:rPr>
          <w:rFonts w:ascii="Arial" w:hAnsi="Arial" w:cs="Arial"/>
        </w:rPr>
        <w:t>whether or not</w:t>
      </w:r>
      <w:proofErr w:type="gramEnd"/>
      <w:r w:rsidRPr="00E65655">
        <w:rPr>
          <w:rFonts w:ascii="Arial" w:hAnsi="Arial" w:cs="Arial"/>
        </w:rPr>
        <w:t xml:space="preserve"> they are present at the meeting. Resolutions can be passed in writing if passed unanimously.</w:t>
      </w:r>
    </w:p>
    <w:p w14:paraId="6AE28440" w14:textId="77777777" w:rsidR="00B756B4" w:rsidRPr="00E65655" w:rsidRDefault="00B756B4" w:rsidP="007E3327">
      <w:pPr>
        <w:pStyle w:val="abcde"/>
        <w:widowControl/>
        <w:tabs>
          <w:tab w:val="clear" w:pos="1276"/>
        </w:tabs>
        <w:spacing w:after="140" w:line="281" w:lineRule="auto"/>
        <w:ind w:left="1440" w:hanging="734"/>
        <w:rPr>
          <w:rFonts w:ascii="Arial" w:hAnsi="Arial" w:cs="Arial"/>
        </w:rPr>
      </w:pPr>
      <w:bookmarkStart w:id="57" w:name="_DV_M316"/>
      <w:bookmarkEnd w:id="57"/>
      <w:r w:rsidRPr="00E65655">
        <w:rPr>
          <w:rFonts w:ascii="Arial" w:hAnsi="Arial" w:cs="Arial"/>
        </w:rPr>
        <w:t>(b)</w:t>
      </w:r>
      <w:r w:rsidRPr="00E65655">
        <w:rPr>
          <w:rFonts w:ascii="Arial" w:hAnsi="Arial" w:cs="Arial"/>
        </w:rPr>
        <w:tab/>
      </w:r>
      <w:r w:rsidRPr="00E65655">
        <w:rPr>
          <w:rFonts w:ascii="Arial" w:hAnsi="Arial" w:cs="Arial"/>
          <w:i/>
          <w:iCs/>
        </w:rPr>
        <w:t>Modification</w:t>
      </w:r>
      <w:r w:rsidRPr="00E65655">
        <w:rPr>
          <w:rFonts w:ascii="Arial" w:hAnsi="Arial" w:cs="Arial"/>
        </w:rPr>
        <w:t>. The Issuer may, without the consent of the Certificate Holders, effect (i) any modification of the provisions of the Certificates or the Master Instrument which is not materially prejudicial to the interests of the Certificate Holders or (ii) any modification of the provisions of the Certificates or the Master Instrument which is of a formal, minor or technical nature, which is made to correct an obvious error or which is necessary in order to comply with mandatory provisions of Singapore law. Any such modification shall be binding on the Certificate Holders and shall be notified to them by the Warrant Agent before the date such modification becomes effective or as soon as practicable thereafter in accordance with Condition 9.</w:t>
      </w:r>
    </w:p>
    <w:p w14:paraId="0EF87521" w14:textId="77777777" w:rsidR="00B756B4" w:rsidRPr="00E65655" w:rsidRDefault="00B756B4" w:rsidP="007E3327">
      <w:pPr>
        <w:widowControl w:val="0"/>
        <w:spacing w:after="140" w:line="281" w:lineRule="auto"/>
        <w:jc w:val="both"/>
        <w:outlineLvl w:val="0"/>
        <w:rPr>
          <w:rFonts w:cs="Arial"/>
          <w:b/>
          <w:bCs/>
          <w:szCs w:val="20"/>
        </w:rPr>
      </w:pPr>
      <w:bookmarkStart w:id="58" w:name="_DV_M317"/>
      <w:bookmarkEnd w:id="58"/>
      <w:r w:rsidRPr="00E65655">
        <w:rPr>
          <w:rFonts w:cs="Arial"/>
          <w:b/>
          <w:bCs/>
          <w:szCs w:val="20"/>
        </w:rPr>
        <w:t>9.</w:t>
      </w:r>
      <w:r w:rsidRPr="00E65655">
        <w:rPr>
          <w:rFonts w:cs="Arial"/>
          <w:b/>
          <w:bCs/>
          <w:szCs w:val="20"/>
        </w:rPr>
        <w:tab/>
        <w:t>Notices</w:t>
      </w:r>
    </w:p>
    <w:p w14:paraId="6CB2196D" w14:textId="77777777" w:rsidR="00B756B4" w:rsidRPr="00E65655" w:rsidRDefault="00B756B4" w:rsidP="007E3327">
      <w:pPr>
        <w:widowControl w:val="0"/>
        <w:numPr>
          <w:ilvl w:val="4"/>
          <w:numId w:val="0"/>
        </w:numPr>
        <w:spacing w:after="140" w:line="281" w:lineRule="auto"/>
        <w:ind w:left="1440" w:hanging="720"/>
        <w:jc w:val="both"/>
        <w:rPr>
          <w:rFonts w:cs="Arial"/>
          <w:szCs w:val="20"/>
        </w:rPr>
      </w:pPr>
      <w:bookmarkStart w:id="59" w:name="_DV_M318"/>
      <w:bookmarkEnd w:id="59"/>
      <w:r w:rsidRPr="00E65655">
        <w:rPr>
          <w:rFonts w:cs="Arial"/>
          <w:szCs w:val="20"/>
        </w:rPr>
        <w:t>(a)</w:t>
      </w:r>
      <w:r w:rsidRPr="00E65655">
        <w:rPr>
          <w:rFonts w:cs="Arial"/>
          <w:szCs w:val="20"/>
        </w:rPr>
        <w:tab/>
      </w:r>
      <w:r w:rsidRPr="00E65655">
        <w:rPr>
          <w:rFonts w:cs="Arial"/>
          <w:i/>
          <w:iCs/>
          <w:szCs w:val="20"/>
        </w:rPr>
        <w:t>Documents.</w:t>
      </w:r>
      <w:r w:rsidRPr="00E65655">
        <w:rPr>
          <w:rFonts w:cs="Arial"/>
          <w:szCs w:val="20"/>
        </w:rPr>
        <w:t xml:space="preserve">  All cheques and other documents required or permitted by these Conditions to be sent to a Certificate Holder or to which a Certificate Holder is entitled or which the Issuer shall have agreed to deliver to a Certificate Holder may be delivered by hand or sent by post addressed to the Certificate Holder at his address appearing in the records maintained by CDP or, in the case of joint Certificate Holders, addressed to the joint holder first named at his address appearing in the records maintained by CDP, and airmail post shall be used if that address is not in Singapore. All documents delivered or sent in accordance with this paragraph shall be delivered or sent at the risk of the relevant Certificate Holder.</w:t>
      </w:r>
    </w:p>
    <w:p w14:paraId="07864B69" w14:textId="77777777" w:rsidR="00B756B4" w:rsidRPr="00E65655" w:rsidRDefault="00B756B4" w:rsidP="007E3327">
      <w:pPr>
        <w:widowControl w:val="0"/>
        <w:numPr>
          <w:ilvl w:val="4"/>
          <w:numId w:val="0"/>
        </w:numPr>
        <w:spacing w:after="140" w:line="281" w:lineRule="auto"/>
        <w:ind w:left="1440" w:hanging="720"/>
        <w:jc w:val="both"/>
        <w:rPr>
          <w:rFonts w:cs="Arial"/>
          <w:szCs w:val="20"/>
        </w:rPr>
      </w:pPr>
      <w:bookmarkStart w:id="60" w:name="_DV_M319"/>
      <w:bookmarkEnd w:id="60"/>
      <w:r w:rsidRPr="00E65655">
        <w:rPr>
          <w:rFonts w:cs="Arial"/>
          <w:szCs w:val="20"/>
        </w:rPr>
        <w:t>(b)</w:t>
      </w:r>
      <w:r w:rsidRPr="00E65655">
        <w:rPr>
          <w:rFonts w:cs="Arial"/>
          <w:szCs w:val="20"/>
        </w:rPr>
        <w:tab/>
      </w:r>
      <w:r w:rsidRPr="00E65655">
        <w:rPr>
          <w:rFonts w:cs="Arial"/>
          <w:i/>
          <w:iCs/>
          <w:szCs w:val="20"/>
        </w:rPr>
        <w:t>Notices.</w:t>
      </w:r>
      <w:r w:rsidRPr="00E65655">
        <w:rPr>
          <w:rFonts w:cs="Arial"/>
          <w:szCs w:val="20"/>
        </w:rPr>
        <w:t xml:space="preserve">  All notices to Certificate Holders will be validly given if published in English on the </w:t>
      </w:r>
      <w:proofErr w:type="gramStart"/>
      <w:r w:rsidRPr="00E65655">
        <w:rPr>
          <w:rFonts w:cs="Arial"/>
          <w:szCs w:val="20"/>
        </w:rPr>
        <w:t>web-site</w:t>
      </w:r>
      <w:proofErr w:type="gramEnd"/>
      <w:r w:rsidRPr="00E65655">
        <w:rPr>
          <w:rFonts w:cs="Arial"/>
          <w:szCs w:val="20"/>
        </w:rPr>
        <w:t xml:space="preserve"> of the SGX-ST. Such notices shall be deemed to have been given on the date of the first such publication. If publication on the </w:t>
      </w:r>
      <w:proofErr w:type="gramStart"/>
      <w:r w:rsidRPr="00E65655">
        <w:rPr>
          <w:rFonts w:cs="Arial"/>
          <w:szCs w:val="20"/>
        </w:rPr>
        <w:t>web-site</w:t>
      </w:r>
      <w:proofErr w:type="gramEnd"/>
      <w:r w:rsidRPr="00E65655">
        <w:rPr>
          <w:rFonts w:cs="Arial"/>
          <w:szCs w:val="20"/>
        </w:rPr>
        <w:t xml:space="preserve"> of the SGX-ST is not practicable, notice will be given in such other manner as the Issuer may determine. The Issuer shall, at least one month prior to the expiry of any Certificate, give notice of the date of expiry of such Certificate in the manner prescribed above.</w:t>
      </w:r>
    </w:p>
    <w:p w14:paraId="4607A255" w14:textId="77777777" w:rsidR="00B756B4" w:rsidRPr="00E65655" w:rsidRDefault="00B756B4" w:rsidP="007E3327">
      <w:pPr>
        <w:widowControl w:val="0"/>
        <w:spacing w:after="140" w:line="281" w:lineRule="auto"/>
        <w:jc w:val="both"/>
        <w:outlineLvl w:val="0"/>
        <w:rPr>
          <w:rFonts w:cs="Arial"/>
          <w:b/>
          <w:bCs/>
          <w:szCs w:val="20"/>
        </w:rPr>
      </w:pPr>
      <w:bookmarkStart w:id="61" w:name="_DV_M320"/>
      <w:bookmarkEnd w:id="61"/>
      <w:r w:rsidRPr="00E65655">
        <w:rPr>
          <w:rFonts w:cs="Arial"/>
          <w:b/>
          <w:bCs/>
          <w:szCs w:val="20"/>
        </w:rPr>
        <w:t>10.</w:t>
      </w:r>
      <w:r w:rsidRPr="00E65655">
        <w:rPr>
          <w:rFonts w:cs="Arial"/>
          <w:b/>
          <w:bCs/>
          <w:szCs w:val="20"/>
        </w:rPr>
        <w:tab/>
        <w:t>Liquidation</w:t>
      </w:r>
    </w:p>
    <w:p w14:paraId="2DEB70A5" w14:textId="77777777" w:rsidR="00B756B4" w:rsidRPr="00E65655" w:rsidRDefault="00B756B4" w:rsidP="007E3327">
      <w:pPr>
        <w:widowControl w:val="0"/>
        <w:spacing w:after="140" w:line="281" w:lineRule="auto"/>
        <w:ind w:firstLine="720"/>
        <w:jc w:val="both"/>
        <w:outlineLvl w:val="0"/>
        <w:rPr>
          <w:rFonts w:cs="Arial"/>
          <w:bCs/>
          <w:szCs w:val="20"/>
        </w:rPr>
      </w:pPr>
      <w:r w:rsidRPr="00E65655">
        <w:rPr>
          <w:rFonts w:cs="Arial"/>
          <w:bCs/>
          <w:szCs w:val="20"/>
        </w:rPr>
        <w:t xml:space="preserve">In the event of a liquidation or dissolution of the Company or the appointment of a liquidator (including a provisional liquidator) or receiver or judicial manager or trustee or administrator or analogous person under Singapore or other applicable law in respect of the whole or substantially the whole of its undertaking, property or assets, all unexercised Certificates will lapse and shall cease to </w:t>
      </w:r>
      <w:r w:rsidRPr="00E65655">
        <w:rPr>
          <w:rFonts w:cs="Arial"/>
          <w:bCs/>
          <w:szCs w:val="20"/>
        </w:rPr>
        <w:lastRenderedPageBreak/>
        <w:t>be valid for any purpose, in the case of voluntary liquidation, on the effective date of the relevant resolution and, in the case of an involuntary liquidation or dissolution, on the date of the relevant court order or, in the case of the appointment of a liquidator (including a provisional liquidator) or receiver or judicial manager or trustee or administrator or analogous person under Singapore or other applicable law in respect of the whole or substantially the whole of its undertaking, property or assets, on the date when such appointment is effective but subject (in any such case) to any contrary mandatory requirement of law.  In the event of the voluntary liquidation of the Company, the Issuer shall make such adjustments or amendments as it reasonably believes are appropriate in the circumstances.</w:t>
      </w:r>
    </w:p>
    <w:p w14:paraId="3C4D34A5" w14:textId="77777777" w:rsidR="00B756B4" w:rsidRPr="00E65655" w:rsidRDefault="00B756B4" w:rsidP="007E3327">
      <w:pPr>
        <w:widowControl w:val="0"/>
        <w:spacing w:after="140" w:line="281" w:lineRule="auto"/>
        <w:ind w:left="720" w:hanging="720"/>
        <w:jc w:val="both"/>
        <w:outlineLvl w:val="0"/>
        <w:rPr>
          <w:rFonts w:cs="Arial"/>
          <w:b/>
          <w:bCs/>
          <w:szCs w:val="20"/>
        </w:rPr>
      </w:pPr>
      <w:r w:rsidRPr="00E65655">
        <w:rPr>
          <w:rFonts w:cs="Arial"/>
          <w:b/>
          <w:bCs/>
          <w:szCs w:val="20"/>
        </w:rPr>
        <w:t>11.</w:t>
      </w:r>
      <w:r w:rsidRPr="00E65655">
        <w:rPr>
          <w:rFonts w:cs="Arial"/>
          <w:b/>
          <w:bCs/>
          <w:szCs w:val="20"/>
        </w:rPr>
        <w:tab/>
        <w:t>Further Issues</w:t>
      </w:r>
    </w:p>
    <w:p w14:paraId="78E97B73" w14:textId="77777777" w:rsidR="00B756B4" w:rsidRPr="00E65655" w:rsidRDefault="00B756B4" w:rsidP="007E3327">
      <w:pPr>
        <w:widowControl w:val="0"/>
        <w:spacing w:after="140" w:line="281" w:lineRule="auto"/>
        <w:ind w:firstLine="720"/>
        <w:jc w:val="both"/>
        <w:rPr>
          <w:rFonts w:cs="Arial"/>
          <w:szCs w:val="20"/>
        </w:rPr>
      </w:pPr>
      <w:bookmarkStart w:id="62" w:name="_DV_M321"/>
      <w:bookmarkEnd w:id="62"/>
      <w:r w:rsidRPr="00E65655">
        <w:rPr>
          <w:rFonts w:cs="Arial"/>
          <w:szCs w:val="20"/>
        </w:rPr>
        <w:t xml:space="preserve">The Issuer shall be at liberty from time to time, without the consent of the Certificate Holders, to create and issue further certificates </w:t>
      </w:r>
      <w:proofErr w:type="gramStart"/>
      <w:r w:rsidRPr="00E65655">
        <w:rPr>
          <w:rFonts w:cs="Arial"/>
          <w:szCs w:val="20"/>
        </w:rPr>
        <w:t>so as to</w:t>
      </w:r>
      <w:proofErr w:type="gramEnd"/>
      <w:r w:rsidRPr="00E65655">
        <w:rPr>
          <w:rFonts w:cs="Arial"/>
          <w:szCs w:val="20"/>
        </w:rPr>
        <w:t xml:space="preserve"> form a single series with the Certificates, subject to the approval of the SGX-ST.</w:t>
      </w:r>
    </w:p>
    <w:p w14:paraId="3031DEFE" w14:textId="77777777" w:rsidR="00B756B4" w:rsidRPr="00E65655" w:rsidRDefault="00B756B4" w:rsidP="007E3327">
      <w:pPr>
        <w:pStyle w:val="Number1111"/>
        <w:spacing w:after="140" w:line="281" w:lineRule="auto"/>
        <w:outlineLvl w:val="9"/>
        <w:rPr>
          <w:rFonts w:ascii="Arial" w:hAnsi="Arial" w:cs="Arial"/>
        </w:rPr>
      </w:pPr>
      <w:r w:rsidRPr="00E65655">
        <w:rPr>
          <w:rFonts w:ascii="Arial" w:hAnsi="Arial" w:cs="Arial"/>
        </w:rPr>
        <w:t>12.</w:t>
      </w:r>
      <w:r w:rsidRPr="00E65655">
        <w:rPr>
          <w:rFonts w:ascii="Arial" w:hAnsi="Arial" w:cs="Arial"/>
        </w:rPr>
        <w:tab/>
        <w:t>De</w:t>
      </w:r>
      <w:r w:rsidRPr="00E65655">
        <w:rPr>
          <w:rFonts w:ascii="Arial" w:hAnsi="Arial" w:cs="Arial" w:hint="eastAsia"/>
          <w:lang w:eastAsia="zh-CN"/>
        </w:rPr>
        <w:t>l</w:t>
      </w:r>
      <w:r w:rsidRPr="00E65655">
        <w:rPr>
          <w:rFonts w:ascii="Arial" w:hAnsi="Arial" w:cs="Arial"/>
        </w:rPr>
        <w:t>isting</w:t>
      </w:r>
    </w:p>
    <w:p w14:paraId="044485A0" w14:textId="77777777" w:rsidR="00B756B4" w:rsidRPr="00E65655" w:rsidRDefault="00B756B4" w:rsidP="007E3327">
      <w:pPr>
        <w:pStyle w:val="Number1111"/>
        <w:spacing w:after="140" w:line="281" w:lineRule="auto"/>
        <w:ind w:left="1440" w:hanging="720"/>
        <w:rPr>
          <w:rFonts w:ascii="Arial" w:hAnsi="Arial" w:cs="Arial"/>
          <w:b w:val="0"/>
        </w:rPr>
      </w:pPr>
      <w:r w:rsidRPr="00E65655">
        <w:rPr>
          <w:rFonts w:ascii="Arial" w:hAnsi="Arial" w:cs="Arial"/>
          <w:b w:val="0"/>
        </w:rPr>
        <w:t>(a)</w:t>
      </w:r>
      <w:r w:rsidRPr="00E65655">
        <w:rPr>
          <w:rFonts w:ascii="Arial" w:hAnsi="Arial" w:cs="Arial"/>
          <w:b w:val="0"/>
        </w:rPr>
        <w:tab/>
        <w:t>De</w:t>
      </w:r>
      <w:r w:rsidRPr="00E65655">
        <w:rPr>
          <w:rFonts w:ascii="Arial" w:hAnsi="Arial" w:cs="Arial" w:hint="eastAsia"/>
          <w:b w:val="0"/>
          <w:lang w:eastAsia="zh-CN"/>
        </w:rPr>
        <w:t>l</w:t>
      </w:r>
      <w:r w:rsidRPr="00E65655">
        <w:rPr>
          <w:rFonts w:ascii="Arial" w:hAnsi="Arial" w:cs="Arial"/>
          <w:b w:val="0"/>
        </w:rPr>
        <w:t xml:space="preserve">isting.  If at any time, </w:t>
      </w:r>
      <w:r w:rsidRPr="00E65655">
        <w:rPr>
          <w:rFonts w:ascii="Arial" w:hAnsi="Arial" w:cs="Arial" w:hint="eastAsia"/>
          <w:b w:val="0"/>
          <w:lang w:eastAsia="zh-CN"/>
        </w:rPr>
        <w:t>the</w:t>
      </w:r>
      <w:r w:rsidRPr="00E65655">
        <w:rPr>
          <w:rFonts w:ascii="Arial" w:hAnsi="Arial" w:cs="Arial"/>
          <w:b w:val="0"/>
          <w:lang w:eastAsia="zh-CN"/>
        </w:rPr>
        <w:t xml:space="preserve"> </w:t>
      </w:r>
      <w:r w:rsidRPr="00E65655">
        <w:rPr>
          <w:rFonts w:ascii="Arial" w:hAnsi="Arial" w:cs="Arial" w:hint="eastAsia"/>
          <w:b w:val="0"/>
          <w:lang w:eastAsia="zh-CN"/>
        </w:rPr>
        <w:t>Underlying Stock</w:t>
      </w:r>
      <w:r w:rsidRPr="00E65655">
        <w:rPr>
          <w:rFonts w:ascii="Arial" w:hAnsi="Arial" w:cs="Arial"/>
          <w:b w:val="0"/>
          <w:lang w:eastAsia="zh-CN"/>
        </w:rPr>
        <w:t xml:space="preserve"> ceases to</w:t>
      </w:r>
      <w:r w:rsidRPr="00E65655">
        <w:rPr>
          <w:rFonts w:ascii="Arial" w:hAnsi="Arial" w:cs="Arial"/>
          <w:b w:val="0"/>
        </w:rPr>
        <w:t xml:space="preserve"> be listed on the Relevant Stock Exchange</w:t>
      </w:r>
      <w:r w:rsidRPr="00E65655">
        <w:rPr>
          <w:rFonts w:ascii="Arial" w:hAnsi="Arial" w:cs="Arial" w:hint="eastAsia"/>
          <w:b w:val="0"/>
          <w:lang w:eastAsia="zh-CN"/>
        </w:rPr>
        <w:t>,</w:t>
      </w:r>
      <w:r w:rsidRPr="00E65655">
        <w:rPr>
          <w:rFonts w:ascii="Arial" w:hAnsi="Arial" w:cs="Arial"/>
          <w:b w:val="0"/>
        </w:rPr>
        <w:t xml:space="preserve"> the Issuer shall give effect to these Conditions in such manner and make such adjustments and amendments to the rights attaching to the Certificates as it shall, in its absolute discretion, consider appropriate to ensure, so far as it is reasonably able to do so, that the interests of the Certificate Holders generally are not materially prejudiced as a consequence of such </w:t>
      </w:r>
      <w:r w:rsidRPr="00E65655">
        <w:rPr>
          <w:rFonts w:ascii="Arial" w:hAnsi="Arial" w:cs="Arial" w:hint="eastAsia"/>
          <w:b w:val="0"/>
          <w:lang w:eastAsia="zh-CN"/>
        </w:rPr>
        <w:t>d</w:t>
      </w:r>
      <w:r w:rsidRPr="00E65655">
        <w:rPr>
          <w:rFonts w:ascii="Arial" w:hAnsi="Arial" w:cs="Arial"/>
          <w:b w:val="0"/>
        </w:rPr>
        <w:t>e</w:t>
      </w:r>
      <w:r w:rsidRPr="00E65655">
        <w:rPr>
          <w:rFonts w:ascii="Arial" w:hAnsi="Arial" w:cs="Arial" w:hint="eastAsia"/>
          <w:b w:val="0"/>
          <w:lang w:eastAsia="zh-CN"/>
        </w:rPr>
        <w:t>l</w:t>
      </w:r>
      <w:r w:rsidRPr="00E65655">
        <w:rPr>
          <w:rFonts w:ascii="Arial" w:hAnsi="Arial" w:cs="Arial"/>
          <w:b w:val="0"/>
        </w:rPr>
        <w:t>isting (without considering the individual circumstances of any Certificate Holder or the tax or other consequences that may result in any particular jurisdiction).</w:t>
      </w:r>
    </w:p>
    <w:p w14:paraId="53C70C50" w14:textId="77777777" w:rsidR="00B756B4" w:rsidRPr="00E65655" w:rsidRDefault="00B756B4" w:rsidP="007E3327">
      <w:pPr>
        <w:pStyle w:val="Number1111"/>
        <w:spacing w:after="140" w:line="281" w:lineRule="auto"/>
        <w:ind w:left="1440" w:hanging="720"/>
        <w:outlineLvl w:val="9"/>
        <w:rPr>
          <w:rFonts w:ascii="Arial" w:hAnsi="Arial" w:cs="Arial"/>
          <w:b w:val="0"/>
        </w:rPr>
      </w:pPr>
      <w:r w:rsidRPr="00E65655">
        <w:rPr>
          <w:rFonts w:ascii="Arial" w:hAnsi="Arial" w:cs="Arial"/>
          <w:b w:val="0"/>
        </w:rPr>
        <w:t>(b)</w:t>
      </w:r>
      <w:r w:rsidRPr="00E65655">
        <w:rPr>
          <w:rFonts w:ascii="Arial" w:hAnsi="Arial" w:cs="Arial"/>
          <w:b w:val="0"/>
        </w:rPr>
        <w:tab/>
        <w:t>Issuer's Determination.  The Issuer shall determine, in its absolute discretion, any adjustment or amendment and its determination shall be conclusive and binding on the Certificate Holders save in the case of manifest error.  Notice of any adjustments or amendments shall be given to the Certificate Holders in accordance with Condition 9 as soon as practicable after they are determined.</w:t>
      </w:r>
    </w:p>
    <w:p w14:paraId="163033F4" w14:textId="77777777" w:rsidR="00B756B4" w:rsidRPr="00E65655" w:rsidRDefault="00B756B4" w:rsidP="00B756B4">
      <w:pPr>
        <w:pStyle w:val="Number1111"/>
        <w:spacing w:after="140" w:line="290" w:lineRule="auto"/>
        <w:ind w:left="720" w:hanging="720"/>
        <w:outlineLvl w:val="9"/>
        <w:rPr>
          <w:rFonts w:ascii="Arial" w:hAnsi="Arial" w:cs="Arial"/>
        </w:rPr>
      </w:pPr>
      <w:r w:rsidRPr="00E65655">
        <w:rPr>
          <w:rFonts w:ascii="Arial" w:hAnsi="Arial" w:cs="Arial"/>
        </w:rPr>
        <w:t>13.</w:t>
      </w:r>
      <w:r w:rsidRPr="00E65655">
        <w:rPr>
          <w:rFonts w:ascii="Arial" w:hAnsi="Arial" w:cs="Arial"/>
        </w:rPr>
        <w:tab/>
        <w:t>Early Termination</w:t>
      </w:r>
    </w:p>
    <w:p w14:paraId="5245D7C7" w14:textId="40DF80C8" w:rsidR="00B756B4" w:rsidRPr="00E65655" w:rsidRDefault="00B756B4" w:rsidP="00B756B4">
      <w:pPr>
        <w:widowControl w:val="0"/>
        <w:spacing w:after="140" w:line="290" w:lineRule="auto"/>
        <w:ind w:left="1440" w:hanging="720"/>
        <w:jc w:val="both"/>
      </w:pPr>
      <w:r w:rsidRPr="00E65655">
        <w:rPr>
          <w:rFonts w:cs="Arial"/>
          <w:szCs w:val="20"/>
        </w:rPr>
        <w:t>(a)</w:t>
      </w:r>
      <w:r w:rsidRPr="00E65655">
        <w:rPr>
          <w:rFonts w:cs="Arial"/>
          <w:szCs w:val="20"/>
        </w:rPr>
        <w:tab/>
      </w:r>
      <w:r w:rsidRPr="00E65655">
        <w:rPr>
          <w:rFonts w:cs="Arial"/>
          <w:i/>
          <w:szCs w:val="20"/>
        </w:rPr>
        <w:t xml:space="preserve">Early </w:t>
      </w:r>
      <w:r w:rsidRPr="00E65655">
        <w:rPr>
          <w:i/>
        </w:rPr>
        <w:t>Termination for Illegality and Force Majeure, etc.</w:t>
      </w:r>
      <w:r w:rsidRPr="00E65655">
        <w:t xml:space="preserve"> If the Issuer determines that a Regulatory Event (as defined below) has occurred and, for reasons beyond its control, the performance of its obligations under the Certificates has become illegal or impractical in whole or in part for any reason, or the Issuer determines that, for reasons beyond its control, it is no longer legal or practical for it to maintain its hedging arrangements with respect to the Certificates for any reason, the Issuer may in its discretion and without obligation terminate the Certificates early in accordance with Condition 1</w:t>
      </w:r>
      <w:r w:rsidRPr="00E65655">
        <w:rPr>
          <w:rFonts w:hint="eastAsia"/>
          <w:lang w:eastAsia="zh-CN"/>
        </w:rPr>
        <w:t>3</w:t>
      </w:r>
      <w:r w:rsidRPr="00E65655">
        <w:t>(</w:t>
      </w:r>
      <w:r w:rsidR="00E559F3" w:rsidRPr="00E65655">
        <w:rPr>
          <w:lang w:eastAsia="zh-CN"/>
        </w:rPr>
        <w:t>e</w:t>
      </w:r>
      <w:r w:rsidRPr="00E65655">
        <w:t>).</w:t>
      </w:r>
    </w:p>
    <w:p w14:paraId="5C73D9B6" w14:textId="77777777" w:rsidR="00B756B4" w:rsidRPr="00E65655" w:rsidRDefault="00B756B4" w:rsidP="00B756B4">
      <w:pPr>
        <w:pStyle w:val="ListParagraph"/>
        <w:widowControl w:val="0"/>
        <w:spacing w:after="140" w:line="290" w:lineRule="auto"/>
        <w:ind w:left="1440"/>
        <w:jc w:val="both"/>
      </w:pPr>
      <w:r w:rsidRPr="00E65655">
        <w:t>Should any one or more of the provisions contained in the Conditions be or become invalid, the validity of the remaining provisions shall not in any way be affected thereby.</w:t>
      </w:r>
    </w:p>
    <w:p w14:paraId="637414F3" w14:textId="77777777" w:rsidR="00B756B4" w:rsidRPr="00E65655" w:rsidRDefault="00B756B4" w:rsidP="00B756B4">
      <w:pPr>
        <w:pStyle w:val="ListParagraph"/>
        <w:widowControl w:val="0"/>
        <w:spacing w:after="140" w:line="290" w:lineRule="auto"/>
        <w:ind w:left="1440"/>
        <w:jc w:val="both"/>
      </w:pPr>
      <w:r w:rsidRPr="00E65655">
        <w:t>For the purposes of this Condition:</w:t>
      </w:r>
    </w:p>
    <w:p w14:paraId="77549573" w14:textId="5AC1BBFB" w:rsidR="00B756B4" w:rsidRPr="00E65655" w:rsidRDefault="00B756B4" w:rsidP="00B756B4">
      <w:pPr>
        <w:pStyle w:val="ListParagraph"/>
        <w:widowControl w:val="0"/>
        <w:spacing w:after="140" w:line="290" w:lineRule="auto"/>
        <w:ind w:left="1440"/>
        <w:jc w:val="both"/>
        <w:rPr>
          <w:rFonts w:cs="Arial"/>
        </w:rPr>
      </w:pPr>
      <w:r w:rsidRPr="00E65655">
        <w:t>“</w:t>
      </w:r>
      <w:r w:rsidRPr="00E65655">
        <w:rPr>
          <w:b/>
        </w:rPr>
        <w:t>Regulatory Event</w:t>
      </w:r>
      <w:r w:rsidRPr="00E65655">
        <w:t xml:space="preserve">” means, following the occurrence of a Change in Law (as defined below) with respect to the Issuer and/or </w:t>
      </w:r>
      <w:r w:rsidR="007F6676" w:rsidRPr="00E65655">
        <w:rPr>
          <w:rFonts w:cs="Arial"/>
        </w:rPr>
        <w:t>Societe Generale</w:t>
      </w:r>
      <w:r w:rsidRPr="00E65655">
        <w:rPr>
          <w:rFonts w:cs="Arial"/>
        </w:rPr>
        <w:t xml:space="preserve"> as Guarantor or in any other capacity (including without limitation as hedging counterparty of the Issuer, market maker of the Certificates or direct or indirect shareholder or sponsor of the Issuer) or any of its affiliates involved in the issuer of the Certificates (hereafter the “</w:t>
      </w:r>
      <w:r w:rsidRPr="00E65655">
        <w:rPr>
          <w:rFonts w:cs="Arial"/>
          <w:b/>
        </w:rPr>
        <w:t>Relevant Affiliates</w:t>
      </w:r>
      <w:r w:rsidRPr="00E65655">
        <w:rPr>
          <w:rFonts w:cs="Arial"/>
        </w:rPr>
        <w:t xml:space="preserve">” and each of the Issuer, </w:t>
      </w:r>
      <w:r w:rsidR="007F6676" w:rsidRPr="00E65655">
        <w:rPr>
          <w:rFonts w:cs="Arial"/>
        </w:rPr>
        <w:t>Societe Generale</w:t>
      </w:r>
      <w:r w:rsidRPr="00E65655">
        <w:rPr>
          <w:rFonts w:cs="Arial"/>
        </w:rPr>
        <w:t xml:space="preserve"> and the Relevant Affiliates, a “</w:t>
      </w:r>
      <w:r w:rsidRPr="00E65655">
        <w:rPr>
          <w:rFonts w:cs="Arial"/>
          <w:b/>
        </w:rPr>
        <w:t>Relevant Entity</w:t>
      </w:r>
      <w:r w:rsidRPr="00E65655">
        <w:rPr>
          <w:rFonts w:cs="Arial"/>
        </w:rPr>
        <w:t xml:space="preserve">”) that, after the Certificates have been issued, (i) any Relevant Entity would incur a materially increased (as compared with circumstances existing prior to </w:t>
      </w:r>
      <w:r w:rsidRPr="00E65655">
        <w:rPr>
          <w:rFonts w:cs="Arial"/>
        </w:rPr>
        <w:lastRenderedPageBreak/>
        <w:t xml:space="preserve">such event) amount of tax, duty, liability, penalty, expense, fee, cost or regulatory capital charge however defined or collateral requirements for performing its obligations under the Certificates or hedging the Issuer’s obligations under the Certificates, including, without limitation, due to clearing requirements of, or the absence of, clearing of the transactions entered into in connection with the issue of, or hedging the Issuer’s obligation under, the Certificates, (ii) it is or will become for any Relevant Entity impracticable, impossible (in each case, after using commercially reasonable efforts), unlawful, illegal or otherwise prohibited or contrary, in whole or in part, under any law, regulation, rule, judgement, order or directive of any governmental, administrative or judicial authority, or power, applicable to such Relevant Entity (a) to hold, acquire, issue, reissue, substitute, maintain, settle, or as the case may be, guarantee, the Certificates, (b) to acquire, hold, sponsor or dispose of any asset(s) (or any interest thereof) of any other transaction(s) such Relevant Entity may use in connection with the issue of the Certificates or to hedge the Issuer’s obligations under the Certificates, (c) to perform obligations in connection with, the Certificates or any contractual arrangement entered into between the Issuer and </w:t>
      </w:r>
      <w:r w:rsidR="007F6676" w:rsidRPr="00E65655">
        <w:rPr>
          <w:rFonts w:cs="Arial"/>
        </w:rPr>
        <w:t>Societe Generale</w:t>
      </w:r>
      <w:r w:rsidRPr="00E65655">
        <w:rPr>
          <w:rFonts w:cs="Arial"/>
        </w:rPr>
        <w:t xml:space="preserve"> or any Relevant Affiliate (including without limitation to hedge the Issuer’s obligations under the Certificates) or (d) to hold, acquire, maintain, increase, substitute or redeem all or a substantial part of its direct or indirect shareholding in the Issuer’s capital or the capital of any Relevant Affiliate or to directly or indirectly sponsor the Issuer or any Relevant Affiliate, or (iii) there is or may be a material adverse effect on a Relevant Entity in connection with the issue of the Certificates.</w:t>
      </w:r>
    </w:p>
    <w:p w14:paraId="02F6618E" w14:textId="77777777" w:rsidR="00B756B4" w:rsidRPr="00E65655" w:rsidRDefault="00B756B4" w:rsidP="00B756B4">
      <w:pPr>
        <w:pStyle w:val="ListParagraph"/>
        <w:widowControl w:val="0"/>
        <w:spacing w:after="140" w:line="290" w:lineRule="auto"/>
        <w:ind w:left="1440"/>
        <w:jc w:val="both"/>
        <w:rPr>
          <w:rFonts w:cs="Arial"/>
        </w:rPr>
      </w:pPr>
      <w:r w:rsidRPr="00E65655">
        <w:rPr>
          <w:rFonts w:cs="Arial"/>
        </w:rPr>
        <w:t>“</w:t>
      </w:r>
      <w:r w:rsidRPr="00E65655">
        <w:rPr>
          <w:rFonts w:cs="Arial"/>
          <w:b/>
        </w:rPr>
        <w:t>Change in law</w:t>
      </w:r>
      <w:r w:rsidRPr="00E65655">
        <w:rPr>
          <w:rFonts w:cs="Arial"/>
        </w:rPr>
        <w:t>” means (i) the adoption, enactment, promulgation, execution or ratification of any applicable new law, regulation or rule (including, without limitation, any applicable tax law, regulation or rule) after the Certificates have been issued, (ii) the implementation or application of any applicable law, regulation or rule (including, without limitation, any applicable tax law, regulation or rule) already in force when the Certificates have been issued but in respect of which the manner of its implementation or application was not known or unclear at the time, or (iii) the change of any applicable law, regulation or rule existing when the Certificates are issued, or the change in the interpretation or application or practice relating thereto, existing when the Certificates are issued of any applicable law, regulation or rule, by any competent court, tribunal, regulatory authority or any other entity exercising executive, legislative, judicial, taxing, regulatory or administrative powers or functions of or pertaining to government (including any additional or alternative court, tribunal, authority or entity, to that existing when the Certificates are issued).</w:t>
      </w:r>
    </w:p>
    <w:p w14:paraId="410932F8" w14:textId="4534AB0D" w:rsidR="00B756B4" w:rsidRPr="00E65655" w:rsidRDefault="00B756B4" w:rsidP="00B756B4">
      <w:pPr>
        <w:widowControl w:val="0"/>
        <w:spacing w:after="140" w:line="290" w:lineRule="auto"/>
        <w:ind w:left="1440" w:hanging="720"/>
        <w:jc w:val="both"/>
        <w:rPr>
          <w:rFonts w:cs="Arial"/>
          <w:szCs w:val="20"/>
        </w:rPr>
      </w:pPr>
      <w:r w:rsidRPr="00E65655">
        <w:rPr>
          <w:rFonts w:cs="Arial"/>
          <w:szCs w:val="20"/>
        </w:rPr>
        <w:t>(b)</w:t>
      </w:r>
      <w:r w:rsidRPr="00E65655">
        <w:rPr>
          <w:rFonts w:cs="Arial"/>
          <w:szCs w:val="20"/>
        </w:rPr>
        <w:tab/>
      </w:r>
      <w:r w:rsidRPr="00E65655">
        <w:rPr>
          <w:rFonts w:cs="Arial"/>
          <w:i/>
          <w:szCs w:val="20"/>
        </w:rPr>
        <w:t>Early Termination for Holding Limit Event</w:t>
      </w:r>
      <w:r w:rsidRPr="00E65655">
        <w:rPr>
          <w:rFonts w:cs="Arial"/>
          <w:szCs w:val="20"/>
        </w:rPr>
        <w:t>. The Issuer may in its discretion and without obligation terminate the Certificates early in accordance with Condition 13(</w:t>
      </w:r>
      <w:r w:rsidR="00E559F3" w:rsidRPr="00E65655">
        <w:rPr>
          <w:rFonts w:cs="Arial"/>
          <w:szCs w:val="20"/>
        </w:rPr>
        <w:t>e</w:t>
      </w:r>
      <w:r w:rsidRPr="00E65655">
        <w:rPr>
          <w:rFonts w:cs="Arial"/>
          <w:szCs w:val="20"/>
        </w:rPr>
        <w:t>) where a Holding Limit Event (as defined below) occurs.</w:t>
      </w:r>
    </w:p>
    <w:p w14:paraId="18F51849" w14:textId="77777777" w:rsidR="00B756B4" w:rsidRPr="00E65655" w:rsidRDefault="00B756B4" w:rsidP="00B756B4">
      <w:pPr>
        <w:widowControl w:val="0"/>
        <w:spacing w:after="140" w:line="290" w:lineRule="auto"/>
        <w:ind w:left="1440"/>
        <w:jc w:val="both"/>
        <w:rPr>
          <w:rFonts w:cs="Arial"/>
          <w:szCs w:val="20"/>
        </w:rPr>
      </w:pPr>
      <w:r w:rsidRPr="00E65655">
        <w:rPr>
          <w:rFonts w:cs="Arial"/>
          <w:szCs w:val="20"/>
        </w:rPr>
        <w:t>For the purposes of this Condition:</w:t>
      </w:r>
    </w:p>
    <w:p w14:paraId="0DB157E1" w14:textId="77777777" w:rsidR="00B756B4" w:rsidRPr="00E65655" w:rsidRDefault="00B756B4" w:rsidP="00B756B4">
      <w:pPr>
        <w:widowControl w:val="0"/>
        <w:spacing w:after="140" w:line="290" w:lineRule="auto"/>
        <w:ind w:left="1440"/>
        <w:jc w:val="both"/>
        <w:rPr>
          <w:rFonts w:cs="Arial"/>
          <w:szCs w:val="20"/>
        </w:rPr>
      </w:pPr>
      <w:r w:rsidRPr="00E65655">
        <w:rPr>
          <w:rFonts w:cs="Arial"/>
          <w:szCs w:val="20"/>
        </w:rPr>
        <w:t>“</w:t>
      </w:r>
      <w:r w:rsidRPr="00E65655">
        <w:rPr>
          <w:rFonts w:cs="Arial"/>
          <w:b/>
          <w:szCs w:val="20"/>
        </w:rPr>
        <w:t>Holding Limit Event</w:t>
      </w:r>
      <w:r w:rsidRPr="00E65655">
        <w:rPr>
          <w:rFonts w:cs="Arial"/>
          <w:szCs w:val="20"/>
        </w:rPr>
        <w:t xml:space="preserve">” means, assuming the investor is the Issuer and/or any of its affiliates, the Issuer together with its affiliates, in aggregate hold, an interest in the Underlying Stock, constituting or likely to constitute (directly or indirectly) ownership, control or the power to vote a percentage of any class of voting securities of the Underlying Stock, of the Underlying Stock in excess of a percentage permitted or advisable, as determined by the Issuer, for the purpose of its compliance with the Bank Holding Company Act of 1956 as amended by Section 619 of the Dodd-Frank Wall Street Reform and Consumer Protection Act (the Volcker Rule), including any requests, </w:t>
      </w:r>
      <w:r w:rsidRPr="00E65655">
        <w:rPr>
          <w:rFonts w:cs="Arial"/>
          <w:szCs w:val="20"/>
        </w:rPr>
        <w:lastRenderedPageBreak/>
        <w:t>regulations, rules, guidelines or directives made by the relevant governmental authority under, or issued by the relevant governmental authority in connection with, such statutes.</w:t>
      </w:r>
    </w:p>
    <w:p w14:paraId="6F6984B9" w14:textId="738FA979" w:rsidR="00E559F3" w:rsidRPr="00E65655" w:rsidRDefault="00E559F3" w:rsidP="00E559F3">
      <w:pPr>
        <w:widowControl w:val="0"/>
        <w:spacing w:after="140" w:line="290" w:lineRule="auto"/>
        <w:ind w:left="1440" w:hanging="720"/>
        <w:jc w:val="both"/>
        <w:rPr>
          <w:rFonts w:cs="Arial"/>
          <w:color w:val="000000" w:themeColor="text1"/>
          <w:szCs w:val="20"/>
          <w:u w:color="FF0000"/>
          <w:shd w:val="clear" w:color="auto" w:fill="FFFFFF"/>
          <w:lang w:val="en-US"/>
        </w:rPr>
      </w:pPr>
      <w:bookmarkStart w:id="63" w:name="_cp_change_250"/>
      <w:bookmarkEnd w:id="63"/>
      <w:r w:rsidRPr="00E65655">
        <w:rPr>
          <w:rFonts w:cs="Arial"/>
          <w:szCs w:val="20"/>
        </w:rPr>
        <w:t>(c)</w:t>
      </w:r>
      <w:r w:rsidRPr="00E65655">
        <w:rPr>
          <w:rFonts w:cs="Arial"/>
          <w:szCs w:val="20"/>
        </w:rPr>
        <w:tab/>
      </w:r>
      <w:r w:rsidRPr="00E65655">
        <w:rPr>
          <w:rFonts w:cs="Arial"/>
          <w:i/>
          <w:color w:val="000000" w:themeColor="text1"/>
          <w:szCs w:val="20"/>
          <w:u w:color="FF0000"/>
          <w:shd w:val="clear" w:color="auto" w:fill="FFFFFF"/>
          <w:lang w:eastAsia="zh-CN"/>
        </w:rPr>
        <w:t>Early Termination for Hedging Disruption</w:t>
      </w:r>
      <w:r w:rsidRPr="00E65655">
        <w:rPr>
          <w:rFonts w:cs="Arial"/>
          <w:color w:val="000000" w:themeColor="text1"/>
          <w:szCs w:val="20"/>
          <w:u w:color="FF0000"/>
          <w:shd w:val="clear" w:color="auto" w:fill="FFFFFF"/>
          <w:lang w:eastAsia="zh-CN"/>
        </w:rPr>
        <w:t xml:space="preserve">. </w:t>
      </w:r>
      <w:r w:rsidRPr="00E65655">
        <w:rPr>
          <w:rFonts w:cs="Arial"/>
          <w:color w:val="000000" w:themeColor="text1"/>
          <w:szCs w:val="20"/>
          <w:u w:color="FF0000"/>
          <w:shd w:val="clear" w:color="auto" w:fill="FFFFFF"/>
          <w:lang w:val="en-US"/>
        </w:rPr>
        <w:t>If the Issuer or any of its affiliates is, following commercially reasonable efforts, not in the position (i) to enter, re-enter, replace, maintain, liquidate, acquire or dispose of any Hedge Positions (as defined below) or (ii) to freely realize, recover, receive, repatriate, remit, regain or transfer the proceeds of any Hedge Position (where either (i) or (ii) shall constitute a "</w:t>
      </w:r>
      <w:r w:rsidRPr="00E65655">
        <w:rPr>
          <w:rFonts w:cs="Arial"/>
          <w:b/>
          <w:color w:val="000000" w:themeColor="text1"/>
          <w:szCs w:val="20"/>
          <w:u w:color="FF0000"/>
          <w:shd w:val="clear" w:color="auto" w:fill="FFFFFF"/>
          <w:lang w:val="en-US"/>
        </w:rPr>
        <w:t>Hedging Disruption</w:t>
      </w:r>
      <w:r w:rsidRPr="00E65655">
        <w:rPr>
          <w:rFonts w:cs="Arial"/>
          <w:color w:val="000000" w:themeColor="text1"/>
          <w:szCs w:val="20"/>
          <w:u w:color="FF0000"/>
          <w:shd w:val="clear" w:color="auto" w:fill="FFFFFF"/>
          <w:lang w:val="en-US"/>
        </w:rPr>
        <w:t xml:space="preserve">"), the Issuer may terminate the Certificates early in accordance with Condition 13(e) provided that the intrinsic value on the previous trading day of the relevant Certificate is at or above the Issue Price. The Issuer’s decision on whether a Hedging Disruption has occurred is final and conclusive. For the avoidance of doubt, Hedging Disruptions shall include the scenario where any Hedge Position cannot be maintained up to the amount necessary to cover </w:t>
      </w:r>
      <w:proofErr w:type="gramStart"/>
      <w:r w:rsidRPr="00E65655">
        <w:rPr>
          <w:rFonts w:cs="Arial"/>
          <w:color w:val="000000" w:themeColor="text1"/>
          <w:szCs w:val="20"/>
          <w:u w:color="FF0000"/>
          <w:shd w:val="clear" w:color="auto" w:fill="FFFFFF"/>
          <w:lang w:val="en-US"/>
        </w:rPr>
        <w:t>all of</w:t>
      </w:r>
      <w:proofErr w:type="gramEnd"/>
      <w:r w:rsidRPr="00E65655">
        <w:rPr>
          <w:rFonts w:cs="Arial"/>
          <w:color w:val="000000" w:themeColor="text1"/>
          <w:szCs w:val="20"/>
          <w:u w:color="FF0000"/>
          <w:shd w:val="clear" w:color="auto" w:fill="FFFFFF"/>
          <w:lang w:val="en-US"/>
        </w:rPr>
        <w:t xml:space="preserve"> the Issuer’s obligations under the Certificates.</w:t>
      </w:r>
    </w:p>
    <w:p w14:paraId="575F53D6" w14:textId="3A96D5AA" w:rsidR="00204A9A" w:rsidRPr="00E65655" w:rsidRDefault="00204A9A" w:rsidP="00204A9A">
      <w:pPr>
        <w:widowControl w:val="0"/>
        <w:spacing w:after="140" w:line="290" w:lineRule="auto"/>
        <w:ind w:left="1440"/>
        <w:jc w:val="both"/>
        <w:rPr>
          <w:rFonts w:cs="Arial"/>
          <w:szCs w:val="20"/>
        </w:rPr>
      </w:pPr>
      <w:r w:rsidRPr="00E65655">
        <w:rPr>
          <w:rFonts w:cs="Arial"/>
          <w:szCs w:val="20"/>
        </w:rPr>
        <w:t>For the purposes hereof, “Hedge Positions” means any one or more commercially reasonable (i) positions (including long or short positions) or contracts in, or relating to, securities, options, futures, other derivatives contracts or foreign exchange, (ii) stock loan or borrowing transactions or (iii) other instruments, contracts, transactions or arrangements (howsoever described) that the Issuer or any of its affiliates determines necessary to hedge, individually or on a portfolio basis, any risk (including, without limitation, market risk, price risk, foreign exchange risk and interest rate risk) in relation to the assumption and fulfilment of the Issuer’s obligations under the Certificates.</w:t>
      </w:r>
    </w:p>
    <w:p w14:paraId="6784FE6B" w14:textId="56130917" w:rsidR="00B756B4" w:rsidRPr="00E65655" w:rsidRDefault="00B756B4" w:rsidP="00B756B4">
      <w:pPr>
        <w:widowControl w:val="0"/>
        <w:spacing w:after="140" w:line="290" w:lineRule="auto"/>
        <w:ind w:left="1440" w:hanging="720"/>
        <w:jc w:val="both"/>
        <w:rPr>
          <w:rFonts w:cs="Arial"/>
          <w:szCs w:val="20"/>
        </w:rPr>
      </w:pPr>
      <w:r w:rsidRPr="00E65655">
        <w:rPr>
          <w:rFonts w:cs="Arial"/>
          <w:szCs w:val="20"/>
        </w:rPr>
        <w:t>(</w:t>
      </w:r>
      <w:r w:rsidR="00E559F3" w:rsidRPr="00E65655">
        <w:rPr>
          <w:rFonts w:cs="Arial"/>
          <w:szCs w:val="20"/>
        </w:rPr>
        <w:t>d</w:t>
      </w:r>
      <w:r w:rsidRPr="00E65655">
        <w:rPr>
          <w:rFonts w:cs="Arial"/>
          <w:szCs w:val="20"/>
        </w:rPr>
        <w:t>)</w:t>
      </w:r>
      <w:r w:rsidRPr="00E65655">
        <w:rPr>
          <w:rFonts w:cs="Arial"/>
          <w:szCs w:val="20"/>
        </w:rPr>
        <w:tab/>
      </w:r>
      <w:r w:rsidRPr="00E65655">
        <w:rPr>
          <w:rFonts w:cs="Arial"/>
          <w:i/>
          <w:szCs w:val="20"/>
        </w:rPr>
        <w:t xml:space="preserve">Early </w:t>
      </w:r>
      <w:r w:rsidRPr="00E65655">
        <w:rPr>
          <w:i/>
        </w:rPr>
        <w:t>Termination for other reasons.</w:t>
      </w:r>
      <w:r w:rsidRPr="00E65655">
        <w:t xml:space="preserve"> The Issuer reserves the right (such right to be exercised in the Issuer’s sole and unfettered discretion and without any obligation whatsoever) to terminate the Certificates in accordance with Condition 13(</w:t>
      </w:r>
      <w:r w:rsidR="00E559F3" w:rsidRPr="00E65655">
        <w:rPr>
          <w:lang w:eastAsia="zh-CN"/>
        </w:rPr>
        <w:t>e</w:t>
      </w:r>
      <w:r w:rsidRPr="00E65655">
        <w:t>) where an event or events occur which it believes in its sole discretion should, in the context of the issue of the Certificates and the obligations of the Issuer, give rise to such termination provided that such termination (i) is considered by the Issuer not to be materially prejudicial to the interests of Certificate Holders generally (without considering the circumstances of any individual Certificate Holder or the tax or other consequences of such termination in any particular jurisdiction); or (ii) is otherwise considered by the Issuer to be appropriate and such termination is approved by the SGX-ST.</w:t>
      </w:r>
    </w:p>
    <w:p w14:paraId="3C4B046E" w14:textId="5F928242" w:rsidR="00B756B4" w:rsidRPr="00E65655" w:rsidRDefault="00B756B4" w:rsidP="00876F89">
      <w:pPr>
        <w:widowControl w:val="0"/>
        <w:spacing w:after="140" w:line="290" w:lineRule="auto"/>
        <w:ind w:left="1440" w:hanging="720"/>
        <w:jc w:val="both"/>
      </w:pPr>
      <w:r w:rsidRPr="00E65655">
        <w:rPr>
          <w:rFonts w:cs="Arial"/>
          <w:szCs w:val="20"/>
        </w:rPr>
        <w:t>(</w:t>
      </w:r>
      <w:r w:rsidR="00E559F3" w:rsidRPr="00E65655">
        <w:rPr>
          <w:rFonts w:cs="Arial"/>
          <w:szCs w:val="20"/>
        </w:rPr>
        <w:t>e</w:t>
      </w:r>
      <w:r w:rsidRPr="00E65655">
        <w:rPr>
          <w:rFonts w:cs="Arial"/>
          <w:szCs w:val="20"/>
        </w:rPr>
        <w:t>)</w:t>
      </w:r>
      <w:r w:rsidRPr="00E65655">
        <w:rPr>
          <w:rFonts w:cs="Arial"/>
          <w:szCs w:val="20"/>
        </w:rPr>
        <w:tab/>
      </w:r>
      <w:r w:rsidRPr="00E65655">
        <w:rPr>
          <w:rFonts w:cs="Arial"/>
          <w:i/>
          <w:szCs w:val="20"/>
        </w:rPr>
        <w:t>Termination</w:t>
      </w:r>
      <w:r w:rsidRPr="00E65655">
        <w:rPr>
          <w:rFonts w:cs="Arial"/>
          <w:szCs w:val="20"/>
        </w:rPr>
        <w:t xml:space="preserve">. </w:t>
      </w:r>
      <w:r w:rsidRPr="00E65655">
        <w:t xml:space="preserve">If the Issuer terminates the Certificates early, the Issuer will give notice to the Certificate Holders in accordance with Condition 9. The Issuer will, if and to the extent permitted by applicable law, pay an amount to each Certificate Holder in respect of each Certificate held by such holder equal to the fair market value of a Certificate notwithstanding such illegality, impracticality or the relevant event less the cost to the Issuer of unwinding any underlying related hedging arrangements, all as determined by the Issuer in its sole and absolute discretion. </w:t>
      </w:r>
      <w:r w:rsidR="00E559F3" w:rsidRPr="00E65655">
        <w:t xml:space="preserve">The determination of the fair market value may deviate from the determination of the Cash Settlement Amount under different scenarios, including but not limited to, where (i) the Daily Reset (as defined in the relevant Supplemental Listing Document) mechanism is suspended and/or (ii) the Final Reference Level is determined based on the closing price of the Underlying Stock on multiple Underlying Stock Business Days or Exchange Business Days, as the case may be. </w:t>
      </w:r>
      <w:r w:rsidRPr="00E65655">
        <w:t>Payment will be made in such manner as shall be notified to the Certificate Holders in accordance with Condition 9.</w:t>
      </w:r>
    </w:p>
    <w:p w14:paraId="24F5BDAA" w14:textId="77777777" w:rsidR="00B756B4" w:rsidRPr="00E65655" w:rsidRDefault="00B756B4" w:rsidP="00B756B4">
      <w:pPr>
        <w:widowControl w:val="0"/>
        <w:spacing w:after="140" w:line="290" w:lineRule="auto"/>
        <w:ind w:left="720" w:hanging="720"/>
        <w:jc w:val="both"/>
        <w:outlineLvl w:val="0"/>
        <w:rPr>
          <w:rFonts w:cs="Arial"/>
          <w:b/>
          <w:bCs/>
          <w:szCs w:val="20"/>
        </w:rPr>
      </w:pPr>
      <w:bookmarkStart w:id="64" w:name="_DV_M322"/>
      <w:bookmarkEnd w:id="64"/>
      <w:r w:rsidRPr="00E65655">
        <w:rPr>
          <w:rFonts w:cs="Arial"/>
          <w:b/>
          <w:bCs/>
          <w:szCs w:val="20"/>
        </w:rPr>
        <w:lastRenderedPageBreak/>
        <w:t>1</w:t>
      </w:r>
      <w:r w:rsidRPr="00E65655">
        <w:rPr>
          <w:rFonts w:cs="Arial" w:hint="eastAsia"/>
          <w:b/>
          <w:bCs/>
          <w:szCs w:val="20"/>
        </w:rPr>
        <w:t>4</w:t>
      </w:r>
      <w:r w:rsidRPr="00E65655">
        <w:rPr>
          <w:rFonts w:cs="Arial"/>
          <w:b/>
          <w:bCs/>
          <w:szCs w:val="20"/>
        </w:rPr>
        <w:t>.</w:t>
      </w:r>
      <w:r w:rsidRPr="00E65655">
        <w:rPr>
          <w:rFonts w:cs="Arial"/>
          <w:b/>
          <w:bCs/>
          <w:szCs w:val="20"/>
        </w:rPr>
        <w:tab/>
      </w:r>
      <w:bookmarkStart w:id="65" w:name="_cp_change_67"/>
      <w:bookmarkEnd w:id="65"/>
      <w:r w:rsidRPr="00E65655">
        <w:rPr>
          <w:rFonts w:cs="Arial"/>
          <w:b/>
          <w:bCs/>
          <w:szCs w:val="20"/>
        </w:rPr>
        <w:t>Substitution of the Issuer</w:t>
      </w:r>
    </w:p>
    <w:p w14:paraId="0279E419" w14:textId="77777777" w:rsidR="00B756B4" w:rsidRPr="00E65655" w:rsidRDefault="00B756B4" w:rsidP="00876F89">
      <w:pPr>
        <w:spacing w:after="140" w:line="290" w:lineRule="auto"/>
        <w:ind w:firstLine="720"/>
        <w:jc w:val="both"/>
        <w:outlineLvl w:val="0"/>
        <w:rPr>
          <w:shd w:val="clear" w:color="auto" w:fill="FFFFFF"/>
        </w:rPr>
      </w:pPr>
      <w:bookmarkStart w:id="66" w:name="_cp_change_69"/>
      <w:bookmarkEnd w:id="66"/>
      <w:r w:rsidRPr="00E65655">
        <w:rPr>
          <w:shd w:val="clear" w:color="auto" w:fill="FFFFFF"/>
        </w:rPr>
        <w:t>The Issuer may be replaced by the Guarantor or any subsidiary of the Guarantor as principal obligor in respect of the Certificates without the consent of the relevant Certificate Holders. If the Issuer determines that it shall be replaced by the Guarantor or any subsidiary of the Guarantor (the “</w:t>
      </w:r>
      <w:r w:rsidRPr="00E65655">
        <w:rPr>
          <w:b/>
          <w:shd w:val="clear" w:color="auto" w:fill="FFFFFF"/>
        </w:rPr>
        <w:t>Substituted Obligor</w:t>
      </w:r>
      <w:r w:rsidRPr="00E65655">
        <w:rPr>
          <w:shd w:val="clear" w:color="auto" w:fill="FFFFFF"/>
        </w:rPr>
        <w:t>”), it shall give at least 90 days’ notice (exclusive of the day on which the notice is given and of the day on which the substitution is effected) specifying the date of the substitution, in accordance with Condition 9, to the Certificate Holders of such event and, immediately on the expiry of such notice, the Substituted Obligor shall become the principal obligor in place of the Issuer and the Certificate Holders shall thereupon cease to have any rights or claims whatsoever against the Issuer.</w:t>
      </w:r>
    </w:p>
    <w:p w14:paraId="1930558C" w14:textId="77777777" w:rsidR="00B756B4" w:rsidRPr="00E65655" w:rsidRDefault="00B756B4" w:rsidP="00B756B4">
      <w:pPr>
        <w:widowControl w:val="0"/>
        <w:spacing w:after="140" w:line="290" w:lineRule="auto"/>
        <w:ind w:firstLine="720"/>
        <w:jc w:val="both"/>
        <w:outlineLvl w:val="0"/>
        <w:rPr>
          <w:shd w:val="clear" w:color="auto" w:fill="FFFFFF"/>
        </w:rPr>
      </w:pPr>
      <w:bookmarkStart w:id="67" w:name="_cp_change_71"/>
      <w:bookmarkEnd w:id="67"/>
      <w:r w:rsidRPr="00E65655">
        <w:rPr>
          <w:shd w:val="clear" w:color="auto" w:fill="FFFFFF"/>
        </w:rPr>
        <w:t>Upon any such substitution, all references to the Issuer in the Conditions and all agreements relating to the Certificates will be to the Substituted Obligor and the Certificates will be modified as required, and the Certificate Holders will be notified of the modified terms and conditions of such Certificates in accordance with Condition 9.</w:t>
      </w:r>
    </w:p>
    <w:p w14:paraId="6E4E93C1" w14:textId="77777777" w:rsidR="00B756B4" w:rsidRPr="00E65655" w:rsidRDefault="00B756B4" w:rsidP="00B756B4">
      <w:pPr>
        <w:widowControl w:val="0"/>
        <w:spacing w:after="140" w:line="290" w:lineRule="auto"/>
        <w:ind w:firstLine="720"/>
        <w:jc w:val="both"/>
        <w:outlineLvl w:val="0"/>
        <w:rPr>
          <w:rFonts w:cs="Arial"/>
          <w:b/>
          <w:bCs/>
          <w:szCs w:val="20"/>
        </w:rPr>
      </w:pPr>
      <w:bookmarkStart w:id="68" w:name="_cp_change_73"/>
      <w:bookmarkEnd w:id="68"/>
      <w:r w:rsidRPr="00E65655">
        <w:rPr>
          <w:shd w:val="clear" w:color="auto" w:fill="FFFFFF"/>
        </w:rPr>
        <w:t>For the purposes of this Condition, it is expressly agreed that by subscribing to, acquiring or otherwise purchasing or holding the Certificates, the Certificate Holders are expressly deemed to have consented to the substitution of the Issuer by the Substituted Obligor and to the release of the Issuer from any and all obligations in respect of the Certificates and all agreements relating thereto and are expressly deemed to have accepted such substitution and the consequences thereof.</w:t>
      </w:r>
    </w:p>
    <w:p w14:paraId="57875749" w14:textId="77777777" w:rsidR="00B756B4" w:rsidRPr="00E65655" w:rsidRDefault="00B756B4" w:rsidP="00B756B4">
      <w:pPr>
        <w:widowControl w:val="0"/>
        <w:spacing w:after="140" w:line="290" w:lineRule="auto"/>
        <w:ind w:left="720" w:hanging="720"/>
        <w:jc w:val="both"/>
        <w:outlineLvl w:val="0"/>
        <w:rPr>
          <w:rFonts w:cs="Arial"/>
          <w:b/>
          <w:bCs/>
          <w:szCs w:val="20"/>
        </w:rPr>
      </w:pPr>
      <w:r w:rsidRPr="00E65655">
        <w:rPr>
          <w:rFonts w:cs="Arial"/>
          <w:b/>
          <w:bCs/>
          <w:szCs w:val="20"/>
        </w:rPr>
        <w:t>15.</w:t>
      </w:r>
      <w:r w:rsidRPr="00E65655">
        <w:rPr>
          <w:rFonts w:cs="Arial"/>
          <w:b/>
          <w:bCs/>
          <w:szCs w:val="20"/>
        </w:rPr>
        <w:tab/>
        <w:t>Governing Law</w:t>
      </w:r>
    </w:p>
    <w:p w14:paraId="7E2C753D" w14:textId="77777777" w:rsidR="00B756B4" w:rsidRPr="00E65655" w:rsidRDefault="00B756B4" w:rsidP="00B756B4">
      <w:pPr>
        <w:widowControl w:val="0"/>
        <w:spacing w:after="140" w:line="290" w:lineRule="auto"/>
        <w:ind w:firstLine="720"/>
        <w:jc w:val="both"/>
        <w:rPr>
          <w:rFonts w:cs="Arial"/>
          <w:szCs w:val="20"/>
        </w:rPr>
      </w:pPr>
      <w:bookmarkStart w:id="69" w:name="_DV_M323"/>
      <w:bookmarkEnd w:id="69"/>
      <w:r w:rsidRPr="00E65655">
        <w:rPr>
          <w:rFonts w:cs="Arial"/>
          <w:szCs w:val="20"/>
        </w:rPr>
        <w:t>The Certificates, the Master Instrument and the Master Warrant Agent Agreement or Warrant Agent Agreement will be governed by and construed in accordance with Singapore law. The Issuer and the Guarantor and each Certificate Holder (by its purchase of the Certificates) shall be deemed to have submitted for all purposes in connection with the Certificates, the Master Instrument and the Master Warrant Agent Agreement or Warrant Agent Agreement to the non-exclusive jurisdiction of the courts of Singapore. The Guarantee shall be governed by and construed in accordance with Singapore law.</w:t>
      </w:r>
    </w:p>
    <w:p w14:paraId="0A9AB0AE" w14:textId="77777777" w:rsidR="00B756B4" w:rsidRPr="00E65655" w:rsidRDefault="00B756B4" w:rsidP="00B756B4">
      <w:pPr>
        <w:widowControl w:val="0"/>
        <w:spacing w:after="140" w:line="290" w:lineRule="auto"/>
        <w:jc w:val="both"/>
        <w:outlineLvl w:val="0"/>
        <w:rPr>
          <w:rFonts w:cs="Arial"/>
          <w:b/>
          <w:bCs/>
          <w:szCs w:val="20"/>
        </w:rPr>
      </w:pPr>
      <w:bookmarkStart w:id="70" w:name="_DV_M324"/>
      <w:bookmarkEnd w:id="70"/>
      <w:r w:rsidRPr="00E65655">
        <w:rPr>
          <w:rFonts w:cs="Arial"/>
          <w:b/>
          <w:bCs/>
          <w:szCs w:val="20"/>
        </w:rPr>
        <w:t>1</w:t>
      </w:r>
      <w:r w:rsidRPr="00E65655">
        <w:rPr>
          <w:rFonts w:cs="Arial" w:hint="eastAsia"/>
          <w:b/>
          <w:bCs/>
          <w:szCs w:val="20"/>
          <w:lang w:eastAsia="zh-CN"/>
        </w:rPr>
        <w:t>6</w:t>
      </w:r>
      <w:r w:rsidRPr="00E65655">
        <w:rPr>
          <w:rFonts w:cs="Arial"/>
          <w:b/>
          <w:bCs/>
          <w:szCs w:val="20"/>
        </w:rPr>
        <w:t>.</w:t>
      </w:r>
      <w:r w:rsidRPr="00E65655">
        <w:rPr>
          <w:rFonts w:cs="Arial"/>
          <w:b/>
          <w:bCs/>
          <w:szCs w:val="20"/>
        </w:rPr>
        <w:tab/>
        <w:t>Prescription</w:t>
      </w:r>
    </w:p>
    <w:p w14:paraId="6B78BF14" w14:textId="77777777" w:rsidR="00B756B4" w:rsidRPr="00E65655" w:rsidRDefault="00B756B4" w:rsidP="00B756B4">
      <w:pPr>
        <w:widowControl w:val="0"/>
        <w:spacing w:after="140" w:line="290" w:lineRule="auto"/>
        <w:ind w:firstLine="720"/>
        <w:jc w:val="both"/>
        <w:rPr>
          <w:rFonts w:cs="Arial"/>
          <w:szCs w:val="20"/>
        </w:rPr>
      </w:pPr>
      <w:bookmarkStart w:id="71" w:name="_DV_M325"/>
      <w:bookmarkEnd w:id="71"/>
      <w:r w:rsidRPr="00E65655">
        <w:rPr>
          <w:rFonts w:cs="Arial"/>
          <w:szCs w:val="20"/>
        </w:rPr>
        <w:t>Claims against the Issuer for payment of any amount in respect of the Certificates will become void unless made within six years of the Expiry Date and, thereafter, any sums payable in respect of such Certificates shall be forfeited and shall revert to the Issuer.</w:t>
      </w:r>
    </w:p>
    <w:p w14:paraId="12474121" w14:textId="77777777" w:rsidR="00B756B4" w:rsidRPr="00E65655" w:rsidRDefault="00B756B4" w:rsidP="00581C01">
      <w:pPr>
        <w:pStyle w:val="BodyTextIndent2"/>
        <w:keepNext/>
        <w:keepLines/>
        <w:widowControl w:val="0"/>
        <w:spacing w:after="140" w:line="290" w:lineRule="auto"/>
        <w:ind w:firstLine="0"/>
        <w:rPr>
          <w:rFonts w:ascii="Arial" w:hAnsi="Arial" w:cs="Arial"/>
          <w:b/>
          <w:bCs/>
          <w:sz w:val="20"/>
        </w:rPr>
      </w:pPr>
      <w:bookmarkStart w:id="72" w:name="_DV_M326"/>
      <w:bookmarkEnd w:id="72"/>
      <w:r w:rsidRPr="00E65655">
        <w:rPr>
          <w:rFonts w:ascii="Arial" w:hAnsi="Arial" w:cs="Arial"/>
          <w:b/>
          <w:bCs/>
          <w:sz w:val="20"/>
        </w:rPr>
        <w:t>1</w:t>
      </w:r>
      <w:r w:rsidRPr="00E65655">
        <w:rPr>
          <w:rFonts w:ascii="Arial" w:hAnsi="Arial" w:cs="Arial" w:hint="eastAsia"/>
          <w:b/>
          <w:bCs/>
          <w:sz w:val="20"/>
          <w:lang w:eastAsia="zh-CN"/>
        </w:rPr>
        <w:t>7</w:t>
      </w:r>
      <w:r w:rsidRPr="00E65655">
        <w:rPr>
          <w:rFonts w:ascii="Arial" w:hAnsi="Arial" w:cs="Arial"/>
          <w:b/>
          <w:bCs/>
          <w:sz w:val="20"/>
        </w:rPr>
        <w:t>.</w:t>
      </w:r>
      <w:r w:rsidRPr="00E65655">
        <w:rPr>
          <w:rFonts w:ascii="Arial" w:hAnsi="Arial" w:cs="Arial"/>
          <w:b/>
          <w:bCs/>
          <w:sz w:val="20"/>
        </w:rPr>
        <w:tab/>
        <w:t>Contracts (Rights of Third Parties) Act 2001 of Singapore</w:t>
      </w:r>
    </w:p>
    <w:p w14:paraId="529A40F7" w14:textId="77777777" w:rsidR="00B756B4" w:rsidRPr="00E65655" w:rsidRDefault="00B756B4" w:rsidP="00581C01">
      <w:pPr>
        <w:pStyle w:val="Body"/>
        <w:keepNext/>
        <w:spacing w:after="140" w:line="290" w:lineRule="auto"/>
        <w:ind w:firstLine="720"/>
        <w:rPr>
          <w:rFonts w:ascii="Arial" w:hAnsi="Arial" w:cs="Arial"/>
        </w:rPr>
      </w:pPr>
      <w:bookmarkStart w:id="73" w:name="_DV_M327"/>
      <w:bookmarkEnd w:id="73"/>
      <w:r w:rsidRPr="00E65655">
        <w:rPr>
          <w:rFonts w:ascii="Arial" w:eastAsia="SimSun" w:hAnsi="Arial" w:cs="Arial"/>
        </w:rPr>
        <w:t>Unless otherwise provided in the Global Warrant, the Master Instrument and the Master Warrant Agent Agreement or Warrant Agent Agreement, a person who is not a party to any contracts made pursuant to the Global Warrant, the Master Instrument and the Master Warrant Agent Agreement or Warrant Agent Agreement has no rights under the Contracts (Rights of Third Parties) Act 2001 of Singapore to enforce any terms of such contracts. Except as expressly provided herein, the consent of any third party is not required for any subsequent agreement by the parties hereto to amend or vary (including any release or compromise of any liability) or terminate such contracts.</w:t>
      </w:r>
    </w:p>
    <w:p w14:paraId="099DAB8B" w14:textId="77777777" w:rsidR="00F766F7" w:rsidRPr="00E65655" w:rsidRDefault="00F766F7" w:rsidP="00B756B4">
      <w:pPr>
        <w:widowControl w:val="0"/>
        <w:spacing w:after="140" w:line="290" w:lineRule="auto"/>
        <w:outlineLvl w:val="0"/>
        <w:rPr>
          <w:rFonts w:cs="Arial"/>
          <w:b/>
          <w:bCs/>
          <w:szCs w:val="20"/>
        </w:rPr>
      </w:pPr>
    </w:p>
    <w:p w14:paraId="722C3C68" w14:textId="77777777" w:rsidR="004F6E28" w:rsidRPr="00E65655" w:rsidRDefault="004F6E28">
      <w:pPr>
        <w:pStyle w:val="BodyText2"/>
        <w:tabs>
          <w:tab w:val="left" w:pos="720"/>
        </w:tabs>
        <w:spacing w:line="290" w:lineRule="auto"/>
        <w:jc w:val="center"/>
        <w:rPr>
          <w:b/>
          <w:sz w:val="20"/>
        </w:rPr>
      </w:pPr>
      <w:r w:rsidRPr="00E65655">
        <w:rPr>
          <w:color w:val="auto"/>
          <w:sz w:val="20"/>
        </w:rPr>
        <w:br w:type="page"/>
      </w:r>
      <w:r w:rsidRPr="00E65655">
        <w:rPr>
          <w:b/>
          <w:sz w:val="20"/>
        </w:rPr>
        <w:lastRenderedPageBreak/>
        <w:t>SUMMARY OF THE ISSUE</w:t>
      </w:r>
    </w:p>
    <w:p w14:paraId="261657CC" w14:textId="77777777" w:rsidR="004F6E28" w:rsidRPr="00E65655" w:rsidRDefault="004F6E28">
      <w:pPr>
        <w:pStyle w:val="BodyText2"/>
        <w:tabs>
          <w:tab w:val="left" w:pos="720"/>
        </w:tabs>
        <w:spacing w:line="290" w:lineRule="auto"/>
        <w:jc w:val="center"/>
        <w:rPr>
          <w:b/>
          <w:i/>
          <w:iCs/>
          <w:sz w:val="20"/>
        </w:rPr>
      </w:pPr>
    </w:p>
    <w:p w14:paraId="4232E3E2" w14:textId="755E271D" w:rsidR="004F6E28" w:rsidRPr="00E65655" w:rsidRDefault="004F6E28">
      <w:pPr>
        <w:pStyle w:val="PlainText"/>
        <w:spacing w:line="290" w:lineRule="auto"/>
        <w:ind w:firstLine="720"/>
        <w:jc w:val="both"/>
        <w:rPr>
          <w:rFonts w:ascii="Arial" w:hAnsi="Arial"/>
          <w:i/>
          <w:iCs/>
        </w:rPr>
      </w:pPr>
      <w:r w:rsidRPr="00E65655">
        <w:rPr>
          <w:rFonts w:ascii="Arial" w:hAnsi="Arial"/>
          <w:i/>
          <w:iCs/>
        </w:rPr>
        <w:t>The following is a summary of the issue and should be read in conjunction with, and is qualified by reference to, the other information set out in this document</w:t>
      </w:r>
      <w:r w:rsidR="00EA4B40" w:rsidRPr="00E65655">
        <w:rPr>
          <w:rFonts w:ascii="Arial" w:hAnsi="Arial"/>
          <w:i/>
          <w:iCs/>
        </w:rPr>
        <w:t xml:space="preserve"> and</w:t>
      </w:r>
      <w:r w:rsidRPr="00E65655">
        <w:rPr>
          <w:rFonts w:ascii="Arial" w:hAnsi="Arial"/>
          <w:i/>
          <w:iCs/>
        </w:rPr>
        <w:t xml:space="preserve"> the Base Listing Document. Terms used in this Summary are defined in the Conditions.</w:t>
      </w:r>
    </w:p>
    <w:p w14:paraId="355D267A" w14:textId="77777777" w:rsidR="004F6E28" w:rsidRPr="00E65655" w:rsidRDefault="004F6E28">
      <w:pPr>
        <w:pStyle w:val="PlainText"/>
        <w:spacing w:line="290" w:lineRule="auto"/>
        <w:jc w:val="both"/>
        <w:rPr>
          <w:rFonts w:ascii="Arial" w:hAnsi="Arial"/>
        </w:rPr>
      </w:pPr>
    </w:p>
    <w:tbl>
      <w:tblPr>
        <w:tblW w:w="0" w:type="auto"/>
        <w:tblLayout w:type="fixed"/>
        <w:tblLook w:val="0000" w:firstRow="0" w:lastRow="0" w:firstColumn="0" w:lastColumn="0" w:noHBand="0" w:noVBand="0"/>
      </w:tblPr>
      <w:tblGrid>
        <w:gridCol w:w="2538"/>
        <w:gridCol w:w="6706"/>
      </w:tblGrid>
      <w:tr w:rsidR="004F6E28" w:rsidRPr="00E65655" w14:paraId="30EB87C2" w14:textId="77777777" w:rsidTr="00763A72">
        <w:tc>
          <w:tcPr>
            <w:tcW w:w="2538" w:type="dxa"/>
          </w:tcPr>
          <w:p w14:paraId="5199D3D6"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Issuer:</w:t>
            </w:r>
          </w:p>
        </w:tc>
        <w:tc>
          <w:tcPr>
            <w:tcW w:w="6706" w:type="dxa"/>
          </w:tcPr>
          <w:p w14:paraId="359F0765" w14:textId="2BBE6473" w:rsidR="004F6E28" w:rsidRPr="00E65655" w:rsidRDefault="00F14E81" w:rsidP="00763A72">
            <w:pPr>
              <w:pStyle w:val="PlainText"/>
              <w:widowControl w:val="0"/>
              <w:spacing w:before="120" w:after="120" w:line="290" w:lineRule="auto"/>
              <w:jc w:val="both"/>
              <w:rPr>
                <w:rFonts w:ascii="Arial" w:hAnsi="Arial"/>
              </w:rPr>
            </w:pPr>
            <w:r w:rsidRPr="00E65655">
              <w:rPr>
                <w:rFonts w:ascii="Arial" w:hAnsi="Arial" w:cs="Arial"/>
              </w:rPr>
              <w:t>SG Issuer</w:t>
            </w:r>
          </w:p>
        </w:tc>
      </w:tr>
      <w:tr w:rsidR="004F6E28" w:rsidRPr="00E65655" w14:paraId="5D0832D6" w14:textId="77777777" w:rsidTr="00763A72">
        <w:tc>
          <w:tcPr>
            <w:tcW w:w="2538" w:type="dxa"/>
          </w:tcPr>
          <w:p w14:paraId="56C3DDB0" w14:textId="77777777" w:rsidR="004F6E28" w:rsidRPr="00E65655" w:rsidRDefault="00E31624" w:rsidP="00763A72">
            <w:pPr>
              <w:pStyle w:val="PlainText"/>
              <w:widowControl w:val="0"/>
              <w:spacing w:before="120" w:after="120" w:line="290" w:lineRule="auto"/>
              <w:jc w:val="both"/>
              <w:rPr>
                <w:rFonts w:ascii="Arial" w:hAnsi="Arial"/>
              </w:rPr>
            </w:pPr>
            <w:r w:rsidRPr="00E65655">
              <w:rPr>
                <w:rFonts w:ascii="Arial" w:hAnsi="Arial"/>
              </w:rPr>
              <w:t>Company</w:t>
            </w:r>
            <w:r w:rsidR="004F6E28" w:rsidRPr="00E65655">
              <w:rPr>
                <w:rFonts w:ascii="Arial" w:hAnsi="Arial"/>
              </w:rPr>
              <w:t>:</w:t>
            </w:r>
          </w:p>
        </w:tc>
        <w:tc>
          <w:tcPr>
            <w:tcW w:w="6706" w:type="dxa"/>
          </w:tcPr>
          <w:p w14:paraId="6BA611DD" w14:textId="43DA85EE" w:rsidR="00A26E11" w:rsidRPr="00E65655" w:rsidRDefault="00FA5B08" w:rsidP="00343B39">
            <w:pPr>
              <w:pStyle w:val="PlainText"/>
              <w:widowControl w:val="0"/>
              <w:spacing w:before="120" w:after="120" w:line="290" w:lineRule="auto"/>
              <w:jc w:val="both"/>
              <w:rPr>
                <w:rFonts w:ascii="Arial" w:hAnsi="Arial" w:cs="Arial"/>
              </w:rPr>
            </w:pPr>
            <w:r w:rsidRPr="00FA5B08">
              <w:rPr>
                <w:rFonts w:ascii="Arial" w:hAnsi="Arial" w:cs="Arial"/>
                <w:lang w:eastAsia="zh-CN"/>
              </w:rPr>
              <w:t>Yangzijiang Shipbuilding (Holdings) Ltd.</w:t>
            </w:r>
          </w:p>
        </w:tc>
      </w:tr>
      <w:tr w:rsidR="004F6E28" w:rsidRPr="00E65655" w14:paraId="527D12C1" w14:textId="77777777" w:rsidTr="00763A72">
        <w:tc>
          <w:tcPr>
            <w:tcW w:w="2538" w:type="dxa"/>
          </w:tcPr>
          <w:p w14:paraId="1E9316C8"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 xml:space="preserve">The </w:t>
            </w:r>
            <w:r w:rsidR="00C112F4" w:rsidRPr="00E65655">
              <w:rPr>
                <w:rFonts w:ascii="Arial" w:hAnsi="Arial"/>
              </w:rPr>
              <w:t>Certificates</w:t>
            </w:r>
            <w:r w:rsidRPr="00E65655">
              <w:rPr>
                <w:rFonts w:ascii="Arial" w:hAnsi="Arial"/>
              </w:rPr>
              <w:t>:</w:t>
            </w:r>
          </w:p>
        </w:tc>
        <w:tc>
          <w:tcPr>
            <w:tcW w:w="6706" w:type="dxa"/>
          </w:tcPr>
          <w:p w14:paraId="55D11E1D" w14:textId="1C114F31"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 xml:space="preserve">European Style </w:t>
            </w:r>
            <w:r w:rsidR="00F14E81" w:rsidRPr="00E65655">
              <w:rPr>
                <w:rFonts w:ascii="Arial" w:hAnsi="Arial"/>
              </w:rPr>
              <w:t xml:space="preserve">Cash Settled </w:t>
            </w:r>
            <w:r w:rsidR="006362D4" w:rsidRPr="00E65655">
              <w:rPr>
                <w:rFonts w:ascii="Arial" w:hAnsi="Arial"/>
              </w:rPr>
              <w:t>Short</w:t>
            </w:r>
            <w:r w:rsidR="0051618C" w:rsidRPr="00E65655">
              <w:rPr>
                <w:rFonts w:ascii="Arial" w:hAnsi="Arial"/>
              </w:rPr>
              <w:t xml:space="preserve"> </w:t>
            </w:r>
            <w:r w:rsidR="00F14E81" w:rsidRPr="00E65655">
              <w:rPr>
                <w:rFonts w:ascii="Arial" w:hAnsi="Arial"/>
              </w:rPr>
              <w:t>Certificates</w:t>
            </w:r>
            <w:r w:rsidR="00E31624" w:rsidRPr="00E65655">
              <w:rPr>
                <w:rFonts w:ascii="Arial" w:hAnsi="Arial"/>
              </w:rPr>
              <w:t xml:space="preserve"> relating to </w:t>
            </w:r>
            <w:r w:rsidR="00381C3C" w:rsidRPr="00E65655">
              <w:rPr>
                <w:rFonts w:ascii="Arial" w:hAnsi="Arial" w:cs="Arial" w:hint="eastAsia"/>
                <w:lang w:eastAsia="zh-CN"/>
              </w:rPr>
              <w:t xml:space="preserve">the </w:t>
            </w:r>
            <w:r w:rsidR="003F66C9" w:rsidRPr="00E65655">
              <w:rPr>
                <w:rFonts w:ascii="Arial" w:hAnsi="Arial" w:cs="Arial" w:hint="eastAsia"/>
                <w:lang w:eastAsia="zh-CN"/>
              </w:rPr>
              <w:t>Underlying Stock</w:t>
            </w:r>
          </w:p>
        </w:tc>
      </w:tr>
      <w:tr w:rsidR="004F6E28" w:rsidRPr="00E65655" w14:paraId="1824BC67" w14:textId="77777777" w:rsidTr="00763A72">
        <w:tc>
          <w:tcPr>
            <w:tcW w:w="2538" w:type="dxa"/>
          </w:tcPr>
          <w:p w14:paraId="23455640"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Number:</w:t>
            </w:r>
          </w:p>
        </w:tc>
        <w:tc>
          <w:tcPr>
            <w:tcW w:w="6706" w:type="dxa"/>
          </w:tcPr>
          <w:p w14:paraId="4D6E3644" w14:textId="740C3955" w:rsidR="004F6E28" w:rsidRPr="00E65655" w:rsidRDefault="00FA5B08" w:rsidP="00763A72">
            <w:pPr>
              <w:pStyle w:val="PlainText"/>
              <w:widowControl w:val="0"/>
              <w:spacing w:before="120" w:after="120" w:line="290" w:lineRule="auto"/>
              <w:jc w:val="both"/>
              <w:rPr>
                <w:rFonts w:ascii="Arial" w:hAnsi="Arial"/>
              </w:rPr>
            </w:pPr>
            <w:r>
              <w:rPr>
                <w:rFonts w:ascii="Arial" w:hAnsi="Arial" w:hint="eastAsia"/>
                <w:lang w:eastAsia="zh-CN"/>
              </w:rPr>
              <w:t>6</w:t>
            </w:r>
            <w:r w:rsidR="00E356B6" w:rsidRPr="00E65655">
              <w:rPr>
                <w:rFonts w:ascii="Arial" w:hAnsi="Arial"/>
                <w:lang w:eastAsia="zh-CN"/>
              </w:rPr>
              <w:t>,</w:t>
            </w:r>
            <w:r>
              <w:rPr>
                <w:rFonts w:ascii="Arial" w:hAnsi="Arial" w:hint="eastAsia"/>
                <w:lang w:eastAsia="zh-CN"/>
              </w:rPr>
              <w:t>3</w:t>
            </w:r>
            <w:r w:rsidR="00E356B6" w:rsidRPr="00E65655">
              <w:rPr>
                <w:rFonts w:ascii="Arial" w:hAnsi="Arial"/>
                <w:lang w:eastAsia="zh-CN"/>
              </w:rPr>
              <w:t>00,000</w:t>
            </w:r>
            <w:r w:rsidR="00220A3D" w:rsidRPr="00E65655">
              <w:rPr>
                <w:rFonts w:ascii="Arial" w:hAnsi="Arial"/>
                <w:lang w:eastAsia="zh-CN"/>
              </w:rPr>
              <w:t xml:space="preserve"> </w:t>
            </w:r>
            <w:r w:rsidR="006322E3" w:rsidRPr="00E65655">
              <w:rPr>
                <w:rFonts w:ascii="Arial" w:hAnsi="Arial"/>
              </w:rPr>
              <w:t>Certificates</w:t>
            </w:r>
          </w:p>
        </w:tc>
      </w:tr>
      <w:tr w:rsidR="004F6E28" w:rsidRPr="00E65655" w14:paraId="5170C609" w14:textId="77777777" w:rsidTr="00763A72">
        <w:tc>
          <w:tcPr>
            <w:tcW w:w="2538" w:type="dxa"/>
          </w:tcPr>
          <w:p w14:paraId="545C6BE5"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Form:</w:t>
            </w:r>
          </w:p>
        </w:tc>
        <w:tc>
          <w:tcPr>
            <w:tcW w:w="6706" w:type="dxa"/>
          </w:tcPr>
          <w:p w14:paraId="4B21240C" w14:textId="44BD3225"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 xml:space="preserve">The </w:t>
            </w:r>
            <w:r w:rsidR="006322E3" w:rsidRPr="00E65655">
              <w:rPr>
                <w:rFonts w:ascii="Arial" w:hAnsi="Arial"/>
              </w:rPr>
              <w:t>Certificates</w:t>
            </w:r>
            <w:r w:rsidRPr="00E65655">
              <w:rPr>
                <w:rFonts w:ascii="Arial" w:hAnsi="Arial"/>
              </w:rPr>
              <w:t xml:space="preserve"> will be issued subject to, and with the benefit of, </w:t>
            </w:r>
            <w:r w:rsidR="006B24C4" w:rsidRPr="00E65655">
              <w:rPr>
                <w:rFonts w:ascii="Arial" w:hAnsi="Arial"/>
              </w:rPr>
              <w:t>a master</w:t>
            </w:r>
            <w:r w:rsidRPr="00E65655">
              <w:rPr>
                <w:rFonts w:ascii="Arial" w:hAnsi="Arial"/>
              </w:rPr>
              <w:t xml:space="preserve"> instrum</w:t>
            </w:r>
            <w:r w:rsidR="00855593" w:rsidRPr="00E65655">
              <w:rPr>
                <w:rFonts w:ascii="Arial" w:hAnsi="Arial"/>
              </w:rPr>
              <w:t>ent by way of deed poll dated</w:t>
            </w:r>
            <w:r w:rsidR="00F40455" w:rsidRPr="00E65655">
              <w:rPr>
                <w:rFonts w:ascii="Arial" w:hAnsi="Arial"/>
              </w:rPr>
              <w:t xml:space="preserve"> </w:t>
            </w:r>
            <w:r w:rsidR="00E37576" w:rsidRPr="00E65655">
              <w:rPr>
                <w:rFonts w:ascii="Arial" w:hAnsi="Arial"/>
              </w:rPr>
              <w:t>1</w:t>
            </w:r>
            <w:r w:rsidR="007F6676" w:rsidRPr="00E65655">
              <w:rPr>
                <w:rFonts w:ascii="Arial" w:hAnsi="Arial"/>
              </w:rPr>
              <w:t>3</w:t>
            </w:r>
            <w:r w:rsidR="00E37576" w:rsidRPr="00E65655">
              <w:rPr>
                <w:rFonts w:ascii="Arial" w:hAnsi="Arial"/>
              </w:rPr>
              <w:t xml:space="preserve"> June 202</w:t>
            </w:r>
            <w:r w:rsidR="007F6676" w:rsidRPr="00E65655">
              <w:rPr>
                <w:rFonts w:ascii="Arial" w:hAnsi="Arial"/>
              </w:rPr>
              <w:t>5</w:t>
            </w:r>
            <w:r w:rsidRPr="00E65655">
              <w:rPr>
                <w:rFonts w:ascii="Arial" w:hAnsi="Arial"/>
              </w:rPr>
              <w:t xml:space="preserve"> (the </w:t>
            </w:r>
            <w:r w:rsidR="003A710D" w:rsidRPr="00E65655">
              <w:rPr>
                <w:rFonts w:ascii="Arial" w:hAnsi="Arial"/>
              </w:rPr>
              <w:t>“</w:t>
            </w:r>
            <w:r w:rsidR="006B24C4" w:rsidRPr="00E65655">
              <w:rPr>
                <w:rFonts w:ascii="Arial" w:hAnsi="Arial"/>
                <w:b/>
              </w:rPr>
              <w:t>Master</w:t>
            </w:r>
            <w:r w:rsidR="006B24C4" w:rsidRPr="00E65655">
              <w:rPr>
                <w:rFonts w:ascii="Arial" w:hAnsi="Arial"/>
              </w:rPr>
              <w:t xml:space="preserve"> </w:t>
            </w:r>
            <w:r w:rsidRPr="00E65655">
              <w:rPr>
                <w:rFonts w:ascii="Arial" w:hAnsi="Arial"/>
                <w:b/>
              </w:rPr>
              <w:t>Instrument</w:t>
            </w:r>
            <w:r w:rsidR="003A710D" w:rsidRPr="00E65655">
              <w:rPr>
                <w:rFonts w:ascii="Arial" w:hAnsi="Arial"/>
              </w:rPr>
              <w:t>”</w:t>
            </w:r>
            <w:r w:rsidRPr="00E65655">
              <w:rPr>
                <w:rFonts w:ascii="Arial" w:hAnsi="Arial"/>
              </w:rPr>
              <w:t xml:space="preserve">) and </w:t>
            </w:r>
            <w:r w:rsidR="007A2122" w:rsidRPr="00E65655">
              <w:rPr>
                <w:rFonts w:ascii="Arial" w:hAnsi="Arial" w:cs="Arial"/>
              </w:rPr>
              <w:t xml:space="preserve">executed by the Issuer and the Guarantor and a </w:t>
            </w:r>
            <w:bookmarkStart w:id="74" w:name="_DV_C23"/>
            <w:r w:rsidR="007A2122" w:rsidRPr="00E65655">
              <w:rPr>
                <w:rStyle w:val="DeltaViewInsertion"/>
                <w:rFonts w:ascii="Arial" w:hAnsi="Arial" w:cs="Arial"/>
                <w:color w:val="auto"/>
                <w:u w:val="none"/>
              </w:rPr>
              <w:t xml:space="preserve">master </w:t>
            </w:r>
            <w:bookmarkStart w:id="75" w:name="_DV_M142"/>
            <w:bookmarkEnd w:id="74"/>
            <w:bookmarkEnd w:id="75"/>
            <w:r w:rsidR="007A2122" w:rsidRPr="00E65655">
              <w:rPr>
                <w:rFonts w:ascii="Arial" w:hAnsi="Arial" w:cs="Arial"/>
              </w:rPr>
              <w:t xml:space="preserve">warrant agent agreement dated </w:t>
            </w:r>
            <w:bookmarkStart w:id="76" w:name="_DV_C25"/>
            <w:r w:rsidR="000D5DD3" w:rsidRPr="00E65655">
              <w:rPr>
                <w:rFonts w:ascii="Arial" w:hAnsi="Arial"/>
              </w:rPr>
              <w:t>29 May 2017</w:t>
            </w:r>
            <w:bookmarkStart w:id="77" w:name="_DV_M143"/>
            <w:bookmarkEnd w:id="76"/>
            <w:bookmarkEnd w:id="77"/>
            <w:r w:rsidR="007A2122" w:rsidRPr="00E65655">
              <w:rPr>
                <w:rFonts w:ascii="Arial" w:hAnsi="Arial" w:cs="Arial"/>
              </w:rPr>
              <w:t xml:space="preserve"> (the “</w:t>
            </w:r>
            <w:bookmarkStart w:id="78" w:name="_DV_C26"/>
            <w:r w:rsidR="007A2122" w:rsidRPr="00E65655">
              <w:rPr>
                <w:rStyle w:val="DeltaViewInsertion"/>
                <w:rFonts w:ascii="Arial" w:hAnsi="Arial" w:cs="Arial"/>
                <w:b/>
                <w:bCs/>
                <w:color w:val="auto"/>
                <w:u w:val="none"/>
              </w:rPr>
              <w:t xml:space="preserve">Master </w:t>
            </w:r>
            <w:bookmarkStart w:id="79" w:name="_DV_M144"/>
            <w:bookmarkEnd w:id="78"/>
            <w:bookmarkEnd w:id="79"/>
            <w:r w:rsidR="007A2122" w:rsidRPr="00E65655">
              <w:rPr>
                <w:rFonts w:ascii="Arial" w:hAnsi="Arial" w:cs="Arial"/>
                <w:b/>
                <w:bCs/>
              </w:rPr>
              <w:t>Warrant Agent Agreement</w:t>
            </w:r>
            <w:r w:rsidR="007A2122" w:rsidRPr="00E65655">
              <w:rPr>
                <w:rFonts w:ascii="Arial" w:hAnsi="Arial" w:cs="Arial"/>
              </w:rPr>
              <w:t>”) and made between the Issuer, the Guarantor and the Warrant Agent</w:t>
            </w:r>
            <w:r w:rsidR="007B6169" w:rsidRPr="00E65655">
              <w:rPr>
                <w:rFonts w:ascii="Arial" w:hAnsi="Arial" w:cs="Arial"/>
              </w:rPr>
              <w:t xml:space="preserve"> (as amended and/or supplemented from time to time)</w:t>
            </w:r>
            <w:r w:rsidR="007A2122" w:rsidRPr="00E65655">
              <w:rPr>
                <w:rFonts w:ascii="Arial" w:hAnsi="Arial" w:cs="Arial"/>
              </w:rPr>
              <w:t>.</w:t>
            </w:r>
          </w:p>
        </w:tc>
      </w:tr>
      <w:tr w:rsidR="004F6E28" w:rsidRPr="00E65655" w14:paraId="7FFEF9B8" w14:textId="77777777" w:rsidTr="00763A72">
        <w:tc>
          <w:tcPr>
            <w:tcW w:w="2538" w:type="dxa"/>
          </w:tcPr>
          <w:p w14:paraId="6E6A33C3"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Cash Settlement Amount:</w:t>
            </w:r>
          </w:p>
        </w:tc>
        <w:tc>
          <w:tcPr>
            <w:tcW w:w="6706" w:type="dxa"/>
          </w:tcPr>
          <w:p w14:paraId="7B50C0A3" w14:textId="77777777" w:rsidR="004F6E28" w:rsidRPr="00E65655" w:rsidRDefault="004F6E28" w:rsidP="00763A72">
            <w:pPr>
              <w:pStyle w:val="PlainText"/>
              <w:widowControl w:val="0"/>
              <w:spacing w:before="120" w:after="120" w:line="290" w:lineRule="auto"/>
              <w:jc w:val="both"/>
              <w:rPr>
                <w:rFonts w:ascii="Arial" w:hAnsi="Arial" w:cs="Arial"/>
              </w:rPr>
            </w:pPr>
            <w:r w:rsidRPr="00E65655">
              <w:rPr>
                <w:rFonts w:ascii="Arial" w:hAnsi="Arial" w:cs="Arial"/>
              </w:rPr>
              <w:t xml:space="preserve">In respect of each </w:t>
            </w:r>
            <w:r w:rsidR="0013604A" w:rsidRPr="00E65655">
              <w:rPr>
                <w:rFonts w:ascii="Arial" w:hAnsi="Arial" w:cs="Arial"/>
              </w:rPr>
              <w:t>Certificate</w:t>
            </w:r>
            <w:r w:rsidRPr="00E65655">
              <w:rPr>
                <w:rFonts w:ascii="Arial" w:hAnsi="Arial" w:cs="Arial"/>
              </w:rPr>
              <w:t>, is the amount (if positive) equal to:</w:t>
            </w:r>
          </w:p>
          <w:p w14:paraId="2A865F33" w14:textId="72297F4D" w:rsidR="004F6E28" w:rsidRPr="00E65655" w:rsidRDefault="006322E3" w:rsidP="00763A72">
            <w:pPr>
              <w:pStyle w:val="PlainText"/>
              <w:widowControl w:val="0"/>
              <w:spacing w:before="120" w:after="120" w:line="290" w:lineRule="auto"/>
              <w:jc w:val="both"/>
              <w:rPr>
                <w:rFonts w:ascii="Arial" w:hAnsi="Arial"/>
              </w:rPr>
            </w:pPr>
            <w:r w:rsidRPr="00E65655">
              <w:rPr>
                <w:rFonts w:ascii="Arial" w:hAnsi="Arial" w:cs="Arial"/>
              </w:rPr>
              <w:t>Not</w:t>
            </w:r>
            <w:r w:rsidR="00F02D76" w:rsidRPr="00E65655">
              <w:rPr>
                <w:rFonts w:ascii="Arial" w:hAnsi="Arial" w:cs="Arial"/>
              </w:rPr>
              <w:t>ional Amount per Certificate x Closing Level</w:t>
            </w:r>
          </w:p>
        </w:tc>
      </w:tr>
      <w:tr w:rsidR="004F6E28" w:rsidRPr="00E65655" w14:paraId="3FBE4EAC" w14:textId="77777777" w:rsidTr="00763A72">
        <w:tc>
          <w:tcPr>
            <w:tcW w:w="2538" w:type="dxa"/>
          </w:tcPr>
          <w:p w14:paraId="73BF1202"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Denominations:</w:t>
            </w:r>
          </w:p>
        </w:tc>
        <w:tc>
          <w:tcPr>
            <w:tcW w:w="6706" w:type="dxa"/>
          </w:tcPr>
          <w:p w14:paraId="474BBDD4" w14:textId="3D058F81" w:rsidR="004F6E28" w:rsidRPr="00E65655" w:rsidRDefault="006322E3" w:rsidP="00763A72">
            <w:pPr>
              <w:pStyle w:val="PlainText"/>
              <w:widowControl w:val="0"/>
              <w:spacing w:before="120" w:after="120" w:line="290" w:lineRule="auto"/>
              <w:jc w:val="both"/>
              <w:rPr>
                <w:rFonts w:ascii="Arial" w:hAnsi="Arial"/>
              </w:rPr>
            </w:pPr>
            <w:r w:rsidRPr="00E65655">
              <w:rPr>
                <w:rFonts w:ascii="Arial" w:hAnsi="Arial"/>
              </w:rPr>
              <w:t>Certificates</w:t>
            </w:r>
            <w:r w:rsidR="004F6E28" w:rsidRPr="00E65655">
              <w:rPr>
                <w:rFonts w:ascii="Arial" w:hAnsi="Arial"/>
              </w:rPr>
              <w:t xml:space="preserve"> are represented by a global warrant in respect of all the </w:t>
            </w:r>
            <w:r w:rsidRPr="00E65655">
              <w:rPr>
                <w:rFonts w:ascii="Arial" w:hAnsi="Arial"/>
              </w:rPr>
              <w:t>Certificates</w:t>
            </w:r>
            <w:r w:rsidR="004F6E28" w:rsidRPr="00E65655">
              <w:rPr>
                <w:rFonts w:ascii="Arial" w:hAnsi="Arial"/>
              </w:rPr>
              <w:t>.</w:t>
            </w:r>
          </w:p>
        </w:tc>
      </w:tr>
      <w:tr w:rsidR="004F6E28" w:rsidRPr="00E65655" w14:paraId="05A2BB14" w14:textId="77777777" w:rsidTr="00763A72">
        <w:tc>
          <w:tcPr>
            <w:tcW w:w="2538" w:type="dxa"/>
          </w:tcPr>
          <w:p w14:paraId="02DD0277"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Exercise:</w:t>
            </w:r>
          </w:p>
        </w:tc>
        <w:tc>
          <w:tcPr>
            <w:tcW w:w="6706" w:type="dxa"/>
          </w:tcPr>
          <w:p w14:paraId="66A93D54" w14:textId="195F1C4F" w:rsidR="00035056" w:rsidRPr="00E65655" w:rsidRDefault="004F6E28" w:rsidP="00763A72">
            <w:pPr>
              <w:pStyle w:val="PlainText"/>
              <w:widowControl w:val="0"/>
              <w:spacing w:before="120" w:after="120" w:line="290" w:lineRule="auto"/>
              <w:jc w:val="both"/>
              <w:rPr>
                <w:rFonts w:ascii="Arial" w:hAnsi="Arial"/>
              </w:rPr>
            </w:pPr>
            <w:r w:rsidRPr="00E65655">
              <w:rPr>
                <w:rFonts w:ascii="Arial" w:hAnsi="Arial" w:cs="Arial"/>
              </w:rPr>
              <w:t xml:space="preserve">The </w:t>
            </w:r>
            <w:r w:rsidR="00172BD5" w:rsidRPr="00E65655">
              <w:rPr>
                <w:rFonts w:ascii="Arial" w:hAnsi="Arial" w:cs="Arial"/>
              </w:rPr>
              <w:t>Certificates</w:t>
            </w:r>
            <w:r w:rsidRPr="00E65655">
              <w:rPr>
                <w:rFonts w:ascii="Arial" w:hAnsi="Arial" w:cs="Arial"/>
              </w:rPr>
              <w:t xml:space="preserve"> may only be exercised on the Expiry Date </w:t>
            </w:r>
            <w:r w:rsidR="00223EF4" w:rsidRPr="00E65655">
              <w:rPr>
                <w:rFonts w:ascii="Arial" w:hAnsi="Arial" w:cs="Arial"/>
              </w:rPr>
              <w:t xml:space="preserve">or if the Expiry Date is not a Business Day, the immediately preceding Business Day, </w:t>
            </w:r>
            <w:r w:rsidRPr="00E65655">
              <w:rPr>
                <w:rFonts w:ascii="Arial" w:hAnsi="Arial" w:cs="Arial"/>
              </w:rPr>
              <w:t>in a Board Lot or integral multiples thereof</w:t>
            </w:r>
            <w:r w:rsidRPr="00E65655">
              <w:rPr>
                <w:rFonts w:ascii="Arial" w:hAnsi="Arial" w:cs="Arial"/>
                <w:spacing w:val="-3"/>
              </w:rPr>
              <w:t xml:space="preserve">. </w:t>
            </w:r>
            <w:r w:rsidR="00172BD5" w:rsidRPr="00E65655">
              <w:rPr>
                <w:rFonts w:ascii="Arial" w:hAnsi="Arial" w:cs="Arial"/>
                <w:spacing w:val="-3"/>
              </w:rPr>
              <w:t>Certificate Holders</w:t>
            </w:r>
            <w:r w:rsidRPr="00E65655">
              <w:rPr>
                <w:rFonts w:ascii="Arial" w:hAnsi="Arial" w:cs="Arial"/>
                <w:spacing w:val="-3"/>
              </w:rPr>
              <w:t xml:space="preserve"> will not be required to deliver an exercise notice. If the Cash Settlement Amount </w:t>
            </w:r>
            <w:r w:rsidR="000D4EA1" w:rsidRPr="00E65655">
              <w:rPr>
                <w:rFonts w:ascii="Arial" w:hAnsi="Arial" w:cs="Arial"/>
                <w:spacing w:val="-3"/>
              </w:rPr>
              <w:t xml:space="preserve">(less any Exercise Expenses) </w:t>
            </w:r>
            <w:r w:rsidRPr="00E65655">
              <w:rPr>
                <w:rFonts w:ascii="Arial" w:hAnsi="Arial" w:cs="Arial"/>
                <w:spacing w:val="-3"/>
              </w:rPr>
              <w:t xml:space="preserve">is positive, all </w:t>
            </w:r>
            <w:r w:rsidR="00172BD5" w:rsidRPr="00E65655">
              <w:rPr>
                <w:rFonts w:ascii="Arial" w:hAnsi="Arial" w:cs="Arial"/>
                <w:spacing w:val="-3"/>
              </w:rPr>
              <w:t>Certificates</w:t>
            </w:r>
            <w:r w:rsidRPr="00E65655">
              <w:rPr>
                <w:rFonts w:ascii="Arial" w:hAnsi="Arial" w:cs="Arial"/>
                <w:spacing w:val="-3"/>
              </w:rPr>
              <w:t xml:space="preserve"> will be deemed to have been automatically exercised at 10:00 a.m. (Singapore time) on the Expiry Date</w:t>
            </w:r>
            <w:r w:rsidR="00143BCF" w:rsidRPr="00E65655">
              <w:rPr>
                <w:rFonts w:ascii="Arial" w:hAnsi="Arial" w:cs="Arial"/>
                <w:spacing w:val="-3"/>
              </w:rPr>
              <w:t xml:space="preserve"> or if the Expiry Date is not a Business Day, the immediately preceding Business Day</w:t>
            </w:r>
            <w:r w:rsidRPr="00E65655">
              <w:rPr>
                <w:rFonts w:ascii="Arial" w:hAnsi="Arial" w:cs="Arial"/>
                <w:spacing w:val="-3"/>
              </w:rPr>
              <w:t xml:space="preserve">. </w:t>
            </w:r>
            <w:r w:rsidR="00035056" w:rsidRPr="00E65655">
              <w:rPr>
                <w:rFonts w:ascii="Arial" w:hAnsi="Arial" w:cs="Arial"/>
              </w:rPr>
              <w:t>The Cash Settlement Amount less the Exercise Expenses in respect of the Certificates shall be paid in the manner set out in Condition 4(c) of the Conditions. In the event the Cash Settlement Amount (less any Exercise Expenses) is zero, all Certificates shall be deemed to have expired at 10:00 a.m. (Singapore time) on the Expiry Date or if the Expiry Date is not a Business Day, the immediately preceding Business Day, and Certificate Holders shall not be entitled to receive any payment from the Issuer in respect of the Certificates.</w:t>
            </w:r>
          </w:p>
        </w:tc>
      </w:tr>
      <w:tr w:rsidR="004F6E28" w:rsidRPr="00E65655" w14:paraId="2D61B30A" w14:textId="77777777" w:rsidTr="00763A72">
        <w:tc>
          <w:tcPr>
            <w:tcW w:w="2538" w:type="dxa"/>
          </w:tcPr>
          <w:p w14:paraId="5762471F" w14:textId="70CDD15F" w:rsidR="004F6E28" w:rsidRPr="00E65655" w:rsidRDefault="004F6E28" w:rsidP="00763A72">
            <w:pPr>
              <w:pStyle w:val="PlainText"/>
              <w:widowControl w:val="0"/>
              <w:spacing w:before="120" w:after="120" w:line="290" w:lineRule="auto"/>
              <w:rPr>
                <w:rFonts w:ascii="Arial" w:hAnsi="Arial"/>
              </w:rPr>
            </w:pPr>
            <w:r w:rsidRPr="00E65655">
              <w:rPr>
                <w:rFonts w:ascii="Arial" w:hAnsi="Arial"/>
              </w:rPr>
              <w:t>Exercise and Trading Currency:</w:t>
            </w:r>
          </w:p>
        </w:tc>
        <w:tc>
          <w:tcPr>
            <w:tcW w:w="6706" w:type="dxa"/>
          </w:tcPr>
          <w:p w14:paraId="704F4D9F"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S</w:t>
            </w:r>
            <w:r w:rsidR="00AA64D1" w:rsidRPr="00E65655">
              <w:rPr>
                <w:rFonts w:ascii="Arial" w:hAnsi="Arial"/>
              </w:rPr>
              <w:t>GD</w:t>
            </w:r>
          </w:p>
        </w:tc>
      </w:tr>
      <w:tr w:rsidR="004F6E28" w:rsidRPr="00E65655" w14:paraId="56ED3FE1" w14:textId="77777777" w:rsidTr="00763A72">
        <w:tc>
          <w:tcPr>
            <w:tcW w:w="2538" w:type="dxa"/>
          </w:tcPr>
          <w:p w14:paraId="181E5E3A" w14:textId="77777777" w:rsidR="004F6E28" w:rsidRPr="00E65655" w:rsidRDefault="004F6E28" w:rsidP="00763A72">
            <w:pPr>
              <w:pStyle w:val="PlainText"/>
              <w:widowControl w:val="0"/>
              <w:spacing w:before="120" w:after="120" w:line="290" w:lineRule="auto"/>
              <w:rPr>
                <w:rFonts w:ascii="Arial" w:hAnsi="Arial"/>
              </w:rPr>
            </w:pPr>
            <w:r w:rsidRPr="00E65655">
              <w:rPr>
                <w:rFonts w:ascii="Arial" w:hAnsi="Arial"/>
              </w:rPr>
              <w:t>Board Lot:</w:t>
            </w:r>
          </w:p>
        </w:tc>
        <w:tc>
          <w:tcPr>
            <w:tcW w:w="6706" w:type="dxa"/>
          </w:tcPr>
          <w:p w14:paraId="7323E6F3" w14:textId="77777777" w:rsidR="00EA7730" w:rsidRPr="00E65655" w:rsidRDefault="00172BD5" w:rsidP="00763A72">
            <w:pPr>
              <w:pStyle w:val="PlainText"/>
              <w:widowControl w:val="0"/>
              <w:spacing w:before="120" w:after="120" w:line="290" w:lineRule="auto"/>
              <w:jc w:val="both"/>
              <w:rPr>
                <w:rFonts w:ascii="Arial" w:hAnsi="Arial"/>
              </w:rPr>
            </w:pPr>
            <w:r w:rsidRPr="00E65655">
              <w:rPr>
                <w:rFonts w:ascii="Arial" w:hAnsi="Arial"/>
              </w:rPr>
              <w:t>100 Certificates</w:t>
            </w:r>
          </w:p>
          <w:p w14:paraId="1DEE3829" w14:textId="423B2C6B" w:rsidR="00727864" w:rsidRPr="00E65655" w:rsidRDefault="00727864" w:rsidP="00763A72">
            <w:pPr>
              <w:pStyle w:val="PlainText"/>
              <w:widowControl w:val="0"/>
              <w:spacing w:before="120" w:after="120" w:line="290" w:lineRule="auto"/>
              <w:jc w:val="both"/>
              <w:rPr>
                <w:rFonts w:ascii="Arial" w:hAnsi="Arial"/>
              </w:rPr>
            </w:pPr>
          </w:p>
        </w:tc>
      </w:tr>
      <w:tr w:rsidR="004F6E28" w:rsidRPr="00E65655" w14:paraId="05DD2AA4" w14:textId="77777777" w:rsidTr="00763A72">
        <w:tc>
          <w:tcPr>
            <w:tcW w:w="2538" w:type="dxa"/>
          </w:tcPr>
          <w:p w14:paraId="66B88369"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lastRenderedPageBreak/>
              <w:t xml:space="preserve">Transfers of </w:t>
            </w:r>
            <w:r w:rsidR="006322E3" w:rsidRPr="00E65655">
              <w:rPr>
                <w:rFonts w:ascii="Arial" w:hAnsi="Arial"/>
              </w:rPr>
              <w:t>Certificates</w:t>
            </w:r>
            <w:r w:rsidRPr="00E65655">
              <w:rPr>
                <w:rFonts w:ascii="Arial" w:hAnsi="Arial"/>
              </w:rPr>
              <w:t>:</w:t>
            </w:r>
          </w:p>
        </w:tc>
        <w:tc>
          <w:tcPr>
            <w:tcW w:w="6706" w:type="dxa"/>
          </w:tcPr>
          <w:p w14:paraId="539B3F6D" w14:textId="7142F597" w:rsidR="004F6E28" w:rsidRPr="00E65655" w:rsidRDefault="006322E3" w:rsidP="00763A72">
            <w:pPr>
              <w:pStyle w:val="PlainText"/>
              <w:widowControl w:val="0"/>
              <w:spacing w:before="120" w:after="120" w:line="290" w:lineRule="auto"/>
              <w:jc w:val="both"/>
              <w:rPr>
                <w:rFonts w:ascii="Arial" w:hAnsi="Arial"/>
              </w:rPr>
            </w:pPr>
            <w:r w:rsidRPr="00E65655">
              <w:rPr>
                <w:rFonts w:ascii="Arial" w:hAnsi="Arial"/>
              </w:rPr>
              <w:t>Certificates</w:t>
            </w:r>
            <w:r w:rsidR="004F6E28" w:rsidRPr="00E65655">
              <w:rPr>
                <w:rFonts w:ascii="Arial" w:hAnsi="Arial"/>
              </w:rPr>
              <w:t xml:space="preserve"> may only be transferred in Board Lots (or integral multiples thereof). All transfers in </w:t>
            </w:r>
            <w:r w:rsidRPr="00E65655">
              <w:rPr>
                <w:rFonts w:ascii="Arial" w:hAnsi="Arial"/>
              </w:rPr>
              <w:t>Certificates</w:t>
            </w:r>
            <w:r w:rsidR="004F6E28" w:rsidRPr="00E65655">
              <w:rPr>
                <w:rFonts w:ascii="Arial" w:hAnsi="Arial"/>
              </w:rPr>
              <w:t xml:space="preserve">, in the open market or otherwise, must be </w:t>
            </w:r>
            <w:proofErr w:type="gramStart"/>
            <w:r w:rsidR="004F6E28" w:rsidRPr="00E65655">
              <w:rPr>
                <w:rFonts w:ascii="Arial" w:hAnsi="Arial"/>
              </w:rPr>
              <w:t>effected</w:t>
            </w:r>
            <w:proofErr w:type="gramEnd"/>
            <w:r w:rsidR="004F6E28" w:rsidRPr="00E65655">
              <w:rPr>
                <w:rFonts w:ascii="Arial" w:hAnsi="Arial"/>
              </w:rPr>
              <w:t xml:space="preserve"> through a securities account with </w:t>
            </w:r>
            <w:r w:rsidR="004F6E28" w:rsidRPr="00E65655">
              <w:rPr>
                <w:rFonts w:ascii="Arial" w:hAnsi="Arial"/>
                <w:bCs/>
              </w:rPr>
              <w:t>CDP</w:t>
            </w:r>
            <w:r w:rsidR="004F6E28" w:rsidRPr="00E65655">
              <w:rPr>
                <w:rFonts w:ascii="Arial" w:hAnsi="Arial"/>
              </w:rPr>
              <w:t>. Title will pass upon registration of the transfer in the records of CDP.</w:t>
            </w:r>
          </w:p>
        </w:tc>
      </w:tr>
      <w:tr w:rsidR="004F6E28" w:rsidRPr="00E65655" w14:paraId="3F2B2852" w14:textId="77777777" w:rsidTr="00763A72">
        <w:tc>
          <w:tcPr>
            <w:tcW w:w="2538" w:type="dxa"/>
          </w:tcPr>
          <w:p w14:paraId="10B99A97"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Listing:</w:t>
            </w:r>
          </w:p>
        </w:tc>
        <w:tc>
          <w:tcPr>
            <w:tcW w:w="6706" w:type="dxa"/>
          </w:tcPr>
          <w:p w14:paraId="457F4948" w14:textId="77D2A9D8" w:rsidR="004F6E28" w:rsidRPr="00E65655" w:rsidRDefault="004F6E28" w:rsidP="004211B2">
            <w:pPr>
              <w:pStyle w:val="PlainText"/>
              <w:widowControl w:val="0"/>
              <w:spacing w:before="120" w:after="120" w:line="290" w:lineRule="auto"/>
              <w:jc w:val="both"/>
              <w:rPr>
                <w:rFonts w:ascii="Arial" w:hAnsi="Arial"/>
              </w:rPr>
            </w:pPr>
            <w:r w:rsidRPr="00E65655">
              <w:rPr>
                <w:rFonts w:ascii="Arial" w:hAnsi="Arial"/>
              </w:rPr>
              <w:t xml:space="preserve">Application has been made to the SGX-ST for permission to deal in and for quotation of the </w:t>
            </w:r>
            <w:r w:rsidR="006322E3" w:rsidRPr="00E65655">
              <w:rPr>
                <w:rFonts w:ascii="Arial" w:hAnsi="Arial"/>
              </w:rPr>
              <w:t>Certificates</w:t>
            </w:r>
            <w:r w:rsidRPr="00E65655">
              <w:rPr>
                <w:rFonts w:ascii="Arial" w:hAnsi="Arial"/>
              </w:rPr>
              <w:t xml:space="preserve"> and the SGX-ST has agreed in principle to grant permission to deal in and for quotation of the </w:t>
            </w:r>
            <w:r w:rsidR="006322E3" w:rsidRPr="00E65655">
              <w:rPr>
                <w:rFonts w:ascii="Arial" w:hAnsi="Arial"/>
              </w:rPr>
              <w:t>Certificates</w:t>
            </w:r>
            <w:r w:rsidRPr="00E65655">
              <w:rPr>
                <w:rFonts w:ascii="Arial" w:hAnsi="Arial"/>
              </w:rPr>
              <w:t xml:space="preserve">.  Issue of the </w:t>
            </w:r>
            <w:r w:rsidR="006322E3" w:rsidRPr="00E65655">
              <w:rPr>
                <w:rFonts w:ascii="Arial" w:hAnsi="Arial"/>
              </w:rPr>
              <w:t>Certificates</w:t>
            </w:r>
            <w:r w:rsidRPr="00E65655">
              <w:rPr>
                <w:rFonts w:ascii="Arial" w:hAnsi="Arial"/>
              </w:rPr>
              <w:t xml:space="preserve"> is conditional on such listing being granted. It is expected that dealings in the </w:t>
            </w:r>
            <w:r w:rsidR="006322E3" w:rsidRPr="00E65655">
              <w:rPr>
                <w:rFonts w:ascii="Arial" w:hAnsi="Arial"/>
              </w:rPr>
              <w:t>Certificates</w:t>
            </w:r>
            <w:r w:rsidRPr="00E65655">
              <w:rPr>
                <w:rFonts w:ascii="Arial" w:hAnsi="Arial"/>
              </w:rPr>
              <w:t xml:space="preserve"> on the SGX</w:t>
            </w:r>
            <w:r w:rsidR="00855593" w:rsidRPr="00E65655">
              <w:rPr>
                <w:rFonts w:ascii="Arial" w:hAnsi="Arial"/>
              </w:rPr>
              <w:t>-ST will commence on or about</w:t>
            </w:r>
            <w:r w:rsidR="00927F06" w:rsidRPr="00E65655">
              <w:rPr>
                <w:rFonts w:ascii="Arial" w:hAnsi="Arial"/>
              </w:rPr>
              <w:t xml:space="preserve"> </w:t>
            </w:r>
            <w:r w:rsidR="00D0331C" w:rsidRPr="00D0331C">
              <w:rPr>
                <w:rFonts w:ascii="Arial" w:hAnsi="Arial" w:cs="Arial"/>
                <w:lang w:eastAsia="zh-CN"/>
              </w:rPr>
              <w:t xml:space="preserve">30 </w:t>
            </w:r>
            <w:r w:rsidR="00FA5B08">
              <w:rPr>
                <w:rFonts w:ascii="Arial" w:hAnsi="Arial" w:cs="Arial" w:hint="eastAsia"/>
                <w:lang w:eastAsia="zh-CN"/>
              </w:rPr>
              <w:t>April</w:t>
            </w:r>
            <w:r w:rsidR="00D0331C" w:rsidRPr="00D0331C">
              <w:rPr>
                <w:rFonts w:ascii="Arial" w:hAnsi="Arial" w:cs="Arial"/>
                <w:lang w:eastAsia="zh-CN"/>
              </w:rPr>
              <w:t xml:space="preserve"> 2026</w:t>
            </w:r>
            <w:r w:rsidRPr="00E65655">
              <w:rPr>
                <w:rFonts w:ascii="Arial" w:hAnsi="Arial"/>
              </w:rPr>
              <w:t>.</w:t>
            </w:r>
          </w:p>
        </w:tc>
      </w:tr>
      <w:tr w:rsidR="004F6E28" w:rsidRPr="00E65655" w14:paraId="5BC7CDA2" w14:textId="77777777" w:rsidTr="00763A72">
        <w:tc>
          <w:tcPr>
            <w:tcW w:w="2538" w:type="dxa"/>
          </w:tcPr>
          <w:p w14:paraId="75B6B178"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Governing Law:</w:t>
            </w:r>
          </w:p>
        </w:tc>
        <w:tc>
          <w:tcPr>
            <w:tcW w:w="6706" w:type="dxa"/>
          </w:tcPr>
          <w:p w14:paraId="6A8A6EC1" w14:textId="6509F145"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The laws of Singapore</w:t>
            </w:r>
          </w:p>
        </w:tc>
      </w:tr>
      <w:tr w:rsidR="004F6E28" w:rsidRPr="00E65655" w14:paraId="44C64E59" w14:textId="77777777" w:rsidTr="00763A72">
        <w:tc>
          <w:tcPr>
            <w:tcW w:w="2538" w:type="dxa"/>
          </w:tcPr>
          <w:p w14:paraId="1B28B2CB"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Warrant Agent:</w:t>
            </w:r>
          </w:p>
        </w:tc>
        <w:tc>
          <w:tcPr>
            <w:tcW w:w="6706" w:type="dxa"/>
          </w:tcPr>
          <w:p w14:paraId="035FE1A7"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The Central Depository (Pte) Limited</w:t>
            </w:r>
          </w:p>
          <w:p w14:paraId="5A1D8DBF" w14:textId="77777777" w:rsidR="00C56F7D" w:rsidRPr="00E65655" w:rsidRDefault="00C56F7D" w:rsidP="00C56F7D">
            <w:pPr>
              <w:widowControl w:val="0"/>
              <w:tabs>
                <w:tab w:val="left" w:pos="720"/>
                <w:tab w:val="left" w:pos="1440"/>
              </w:tabs>
              <w:spacing w:before="120" w:after="120" w:line="290" w:lineRule="auto"/>
              <w:rPr>
                <w:rFonts w:cs="Arial"/>
              </w:rPr>
            </w:pPr>
            <w:r w:rsidRPr="00E65655">
              <w:rPr>
                <w:rFonts w:cs="Arial"/>
              </w:rPr>
              <w:t>4 Shenton Way</w:t>
            </w:r>
          </w:p>
          <w:p w14:paraId="3AD3AEDB" w14:textId="77777777" w:rsidR="00C56F7D" w:rsidRPr="00E65655" w:rsidRDefault="00C56F7D" w:rsidP="00C56F7D">
            <w:pPr>
              <w:widowControl w:val="0"/>
              <w:tabs>
                <w:tab w:val="left" w:pos="720"/>
                <w:tab w:val="left" w:pos="1440"/>
              </w:tabs>
              <w:spacing w:before="120" w:after="120" w:line="290" w:lineRule="auto"/>
              <w:rPr>
                <w:rFonts w:cs="Arial"/>
              </w:rPr>
            </w:pPr>
            <w:r w:rsidRPr="00E65655">
              <w:rPr>
                <w:rFonts w:cs="Arial"/>
              </w:rPr>
              <w:t>#02-01 SGX Centre 2</w:t>
            </w:r>
          </w:p>
          <w:p w14:paraId="77EFC786" w14:textId="65E7D28F" w:rsidR="004F6E28" w:rsidRPr="00E65655" w:rsidRDefault="00C56F7D" w:rsidP="00C56F7D">
            <w:pPr>
              <w:widowControl w:val="0"/>
              <w:tabs>
                <w:tab w:val="left" w:pos="720"/>
                <w:tab w:val="left" w:pos="1440"/>
              </w:tabs>
              <w:spacing w:before="120" w:after="120" w:line="290" w:lineRule="auto"/>
            </w:pPr>
            <w:r w:rsidRPr="00E65655">
              <w:rPr>
                <w:rFonts w:cs="Arial"/>
              </w:rPr>
              <w:t>Singapore 068807</w:t>
            </w:r>
          </w:p>
        </w:tc>
      </w:tr>
      <w:tr w:rsidR="004F6E28" w:rsidRPr="00E65655" w14:paraId="32C0C575" w14:textId="77777777" w:rsidTr="00763A72">
        <w:tc>
          <w:tcPr>
            <w:tcW w:w="2538" w:type="dxa"/>
          </w:tcPr>
          <w:p w14:paraId="06B8911D"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Further Issues</w:t>
            </w:r>
            <w:r w:rsidR="0012788D" w:rsidRPr="00E65655">
              <w:rPr>
                <w:rFonts w:ascii="Arial" w:hAnsi="Arial"/>
              </w:rPr>
              <w:t>:</w:t>
            </w:r>
            <w:r w:rsidRPr="00E65655">
              <w:rPr>
                <w:rFonts w:ascii="Arial" w:hAnsi="Arial"/>
              </w:rPr>
              <w:t xml:space="preserve"> </w:t>
            </w:r>
          </w:p>
        </w:tc>
        <w:tc>
          <w:tcPr>
            <w:tcW w:w="6706" w:type="dxa"/>
          </w:tcPr>
          <w:p w14:paraId="71A3C4C6" w14:textId="77777777" w:rsidR="004F6E28" w:rsidRPr="00E65655" w:rsidRDefault="004F6E28" w:rsidP="00763A72">
            <w:pPr>
              <w:pStyle w:val="PlainText"/>
              <w:widowControl w:val="0"/>
              <w:spacing w:before="120" w:after="120" w:line="290" w:lineRule="auto"/>
              <w:jc w:val="both"/>
              <w:rPr>
                <w:rFonts w:ascii="Arial" w:hAnsi="Arial"/>
              </w:rPr>
            </w:pPr>
            <w:r w:rsidRPr="00E65655">
              <w:rPr>
                <w:rFonts w:ascii="Arial" w:hAnsi="Arial"/>
              </w:rPr>
              <w:t xml:space="preserve">Further issues which will form a single series with the </w:t>
            </w:r>
            <w:r w:rsidR="006322E3" w:rsidRPr="00E65655">
              <w:rPr>
                <w:rFonts w:ascii="Arial" w:hAnsi="Arial"/>
              </w:rPr>
              <w:t>Certificates</w:t>
            </w:r>
            <w:r w:rsidRPr="00E65655">
              <w:rPr>
                <w:rFonts w:ascii="Arial" w:hAnsi="Arial"/>
              </w:rPr>
              <w:t xml:space="preserve"> will be permitted</w:t>
            </w:r>
            <w:r w:rsidR="00CC03A9" w:rsidRPr="00E65655">
              <w:rPr>
                <w:rFonts w:ascii="Arial" w:hAnsi="Arial"/>
              </w:rPr>
              <w:t>, subject to the approval of the SGX-ST</w:t>
            </w:r>
            <w:r w:rsidRPr="00E65655">
              <w:rPr>
                <w:rFonts w:ascii="Arial" w:hAnsi="Arial"/>
              </w:rPr>
              <w:t xml:space="preserve">. </w:t>
            </w:r>
          </w:p>
        </w:tc>
      </w:tr>
    </w:tbl>
    <w:p w14:paraId="2863F824" w14:textId="77777777" w:rsidR="007B3CE3" w:rsidRPr="00E65655" w:rsidRDefault="007B3CE3" w:rsidP="00763A72">
      <w:pPr>
        <w:autoSpaceDE w:val="0"/>
        <w:autoSpaceDN w:val="0"/>
        <w:adjustRightInd w:val="0"/>
        <w:spacing w:line="290" w:lineRule="auto"/>
        <w:jc w:val="both"/>
      </w:pPr>
    </w:p>
    <w:p w14:paraId="1E33405E" w14:textId="77777777" w:rsidR="008D03F8" w:rsidRPr="00E65655" w:rsidRDefault="008D03F8" w:rsidP="00763A72">
      <w:pPr>
        <w:autoSpaceDE w:val="0"/>
        <w:autoSpaceDN w:val="0"/>
        <w:adjustRightInd w:val="0"/>
        <w:spacing w:line="290" w:lineRule="auto"/>
        <w:jc w:val="both"/>
      </w:pPr>
    </w:p>
    <w:p w14:paraId="2F390DF9" w14:textId="620EB62A" w:rsidR="008D03F8" w:rsidRPr="00E65655" w:rsidRDefault="004A4E2C" w:rsidP="00763A72">
      <w:pPr>
        <w:autoSpaceDE w:val="0"/>
        <w:autoSpaceDN w:val="0"/>
        <w:adjustRightInd w:val="0"/>
        <w:spacing w:line="290" w:lineRule="auto"/>
        <w:ind w:firstLine="720"/>
        <w:jc w:val="both"/>
      </w:pPr>
      <w:r w:rsidRPr="00E65655">
        <w:t xml:space="preserve">The above summary is </w:t>
      </w:r>
      <w:r w:rsidR="008D03F8" w:rsidRPr="00E65655">
        <w:t>qualified in its entirety by reference to the detailed information appearing elsewhere in this document</w:t>
      </w:r>
      <w:r w:rsidR="00424DE2" w:rsidRPr="00E65655">
        <w:t xml:space="preserve"> and</w:t>
      </w:r>
      <w:r w:rsidR="00916589" w:rsidRPr="00E65655">
        <w:t xml:space="preserve"> </w:t>
      </w:r>
      <w:r w:rsidR="008D03F8" w:rsidRPr="00E65655">
        <w:t>the Base Listing Document.</w:t>
      </w:r>
    </w:p>
    <w:p w14:paraId="3AD9C94C" w14:textId="77777777" w:rsidR="000F0371" w:rsidRPr="00E65655" w:rsidRDefault="004F6E28" w:rsidP="00A82419">
      <w:pPr>
        <w:autoSpaceDE w:val="0"/>
        <w:autoSpaceDN w:val="0"/>
        <w:adjustRightInd w:val="0"/>
        <w:spacing w:after="140" w:line="290" w:lineRule="auto"/>
        <w:jc w:val="center"/>
        <w:rPr>
          <w:b/>
        </w:rPr>
      </w:pPr>
      <w:r w:rsidRPr="00E65655">
        <w:rPr>
          <w:i/>
        </w:rPr>
        <w:br w:type="page"/>
      </w:r>
      <w:r w:rsidR="000F0371" w:rsidRPr="00E65655">
        <w:rPr>
          <w:b/>
        </w:rPr>
        <w:lastRenderedPageBreak/>
        <w:t xml:space="preserve">INFORMATION RELATING TO </w:t>
      </w:r>
      <w:r w:rsidR="00D8572B" w:rsidRPr="00E65655">
        <w:rPr>
          <w:b/>
        </w:rPr>
        <w:t xml:space="preserve">THE </w:t>
      </w:r>
      <w:r w:rsidR="000F0371" w:rsidRPr="00E65655">
        <w:rPr>
          <w:b/>
        </w:rPr>
        <w:t xml:space="preserve">EUROPEAN STYLE CASH SETTLED </w:t>
      </w:r>
      <w:r w:rsidR="006362D4" w:rsidRPr="00E65655">
        <w:rPr>
          <w:b/>
        </w:rPr>
        <w:t>SHORT</w:t>
      </w:r>
      <w:r w:rsidR="003C7A6D" w:rsidRPr="00E65655">
        <w:rPr>
          <w:b/>
        </w:rPr>
        <w:t xml:space="preserve"> </w:t>
      </w:r>
      <w:r w:rsidR="000F0371" w:rsidRPr="00E65655">
        <w:rPr>
          <w:b/>
        </w:rPr>
        <w:t>CERTIFICATES</w:t>
      </w:r>
      <w:r w:rsidR="00D8572B" w:rsidRPr="00E65655">
        <w:rPr>
          <w:b/>
        </w:rPr>
        <w:t xml:space="preserve"> ON SINGLE EQUITIES</w:t>
      </w:r>
    </w:p>
    <w:p w14:paraId="500C3928" w14:textId="77777777" w:rsidR="00F21AC0" w:rsidRPr="00E65655" w:rsidRDefault="00F21AC0" w:rsidP="00A82419">
      <w:pPr>
        <w:autoSpaceDE w:val="0"/>
        <w:autoSpaceDN w:val="0"/>
        <w:adjustRightInd w:val="0"/>
        <w:spacing w:after="140" w:line="290" w:lineRule="auto"/>
        <w:jc w:val="center"/>
        <w:rPr>
          <w:b/>
        </w:rPr>
      </w:pPr>
    </w:p>
    <w:p w14:paraId="7FF9977B" w14:textId="77777777" w:rsidR="000F0371" w:rsidRPr="00E65655" w:rsidRDefault="000F0371" w:rsidP="008D03F8">
      <w:pPr>
        <w:autoSpaceDE w:val="0"/>
        <w:autoSpaceDN w:val="0"/>
        <w:adjustRightInd w:val="0"/>
        <w:spacing w:after="140" w:line="290" w:lineRule="auto"/>
        <w:rPr>
          <w:b/>
        </w:rPr>
      </w:pPr>
      <w:r w:rsidRPr="00E65655">
        <w:rPr>
          <w:b/>
        </w:rPr>
        <w:t>What are</w:t>
      </w:r>
      <w:r w:rsidRPr="00E65655">
        <w:t xml:space="preserve"> </w:t>
      </w:r>
      <w:r w:rsidRPr="00E65655">
        <w:rPr>
          <w:b/>
        </w:rPr>
        <w:t xml:space="preserve">European Style Cash Settled </w:t>
      </w:r>
      <w:r w:rsidR="000D300C" w:rsidRPr="00E65655">
        <w:rPr>
          <w:b/>
        </w:rPr>
        <w:t>Short</w:t>
      </w:r>
      <w:r w:rsidR="003C7A6D" w:rsidRPr="00E65655">
        <w:rPr>
          <w:b/>
        </w:rPr>
        <w:t xml:space="preserve"> </w:t>
      </w:r>
      <w:r w:rsidRPr="00E65655">
        <w:rPr>
          <w:b/>
        </w:rPr>
        <w:t>Certificates</w:t>
      </w:r>
      <w:r w:rsidR="00D8572B" w:rsidRPr="00E65655">
        <w:rPr>
          <w:b/>
        </w:rPr>
        <w:t xml:space="preserve"> on Single Equities</w:t>
      </w:r>
      <w:r w:rsidRPr="00E65655">
        <w:rPr>
          <w:b/>
        </w:rPr>
        <w:t>?</w:t>
      </w:r>
    </w:p>
    <w:p w14:paraId="253555BA" w14:textId="77777777" w:rsidR="00B34728" w:rsidRPr="00E65655" w:rsidRDefault="00D42766" w:rsidP="00381C3C">
      <w:pPr>
        <w:pStyle w:val="PlainText"/>
        <w:spacing w:after="140" w:line="290" w:lineRule="auto"/>
        <w:jc w:val="both"/>
        <w:rPr>
          <w:rFonts w:ascii="Arial" w:hAnsi="Arial" w:cs="Arial"/>
          <w:lang w:eastAsia="zh-CN"/>
        </w:rPr>
      </w:pPr>
      <w:r w:rsidRPr="00E65655">
        <w:rPr>
          <w:rFonts w:ascii="Arial" w:hAnsi="Arial" w:cs="Arial"/>
        </w:rPr>
        <w:t xml:space="preserve">European style cash settled </w:t>
      </w:r>
      <w:r w:rsidR="000D300C" w:rsidRPr="00E65655">
        <w:rPr>
          <w:rFonts w:ascii="Arial" w:hAnsi="Arial" w:cs="Arial"/>
        </w:rPr>
        <w:t>short</w:t>
      </w:r>
      <w:r w:rsidR="003C7A6D" w:rsidRPr="00E65655">
        <w:rPr>
          <w:rFonts w:ascii="Arial" w:hAnsi="Arial" w:cs="Arial"/>
        </w:rPr>
        <w:t xml:space="preserve"> </w:t>
      </w:r>
      <w:r w:rsidRPr="00E65655">
        <w:rPr>
          <w:rFonts w:ascii="Arial" w:hAnsi="Arial" w:cs="Arial"/>
        </w:rPr>
        <w:t xml:space="preserve">certificates </w:t>
      </w:r>
      <w:r w:rsidR="00EE289F" w:rsidRPr="00E65655">
        <w:rPr>
          <w:rFonts w:ascii="Arial" w:hAnsi="Arial" w:cs="Arial"/>
        </w:rPr>
        <w:t xml:space="preserve">on single equities </w:t>
      </w:r>
      <w:r w:rsidRPr="00E65655">
        <w:rPr>
          <w:rFonts w:ascii="Arial" w:hAnsi="Arial" w:cs="Arial"/>
        </w:rPr>
        <w:t>(the “</w:t>
      </w:r>
      <w:r w:rsidRPr="00E65655">
        <w:rPr>
          <w:rFonts w:ascii="Arial" w:hAnsi="Arial" w:cs="Arial"/>
          <w:b/>
        </w:rPr>
        <w:t>Certificates</w:t>
      </w:r>
      <w:r w:rsidRPr="00E65655">
        <w:rPr>
          <w:rFonts w:ascii="Arial" w:hAnsi="Arial" w:cs="Arial"/>
        </w:rPr>
        <w:t>”)</w:t>
      </w:r>
      <w:r w:rsidR="00B30D9F" w:rsidRPr="00E65655">
        <w:rPr>
          <w:rFonts w:ascii="Arial" w:hAnsi="Arial" w:cs="Arial"/>
        </w:rPr>
        <w:t xml:space="preserve"> are structured products relating to</w:t>
      </w:r>
      <w:r w:rsidR="00CC03A9" w:rsidRPr="00E65655">
        <w:rPr>
          <w:rFonts w:ascii="Arial" w:hAnsi="Arial" w:cs="Arial"/>
        </w:rPr>
        <w:t xml:space="preserve"> </w:t>
      </w:r>
      <w:r w:rsidR="00381C3C" w:rsidRPr="00E65655">
        <w:rPr>
          <w:rFonts w:ascii="Arial" w:hAnsi="Arial" w:cs="Arial"/>
          <w:lang w:eastAsia="zh-CN"/>
        </w:rPr>
        <w:t xml:space="preserve">the </w:t>
      </w:r>
      <w:r w:rsidR="007055D4" w:rsidRPr="00E65655">
        <w:rPr>
          <w:rFonts w:ascii="Arial" w:hAnsi="Arial" w:cs="Arial"/>
          <w:lang w:eastAsia="zh-CN"/>
        </w:rPr>
        <w:t>Underlying Stock</w:t>
      </w:r>
      <w:r w:rsidR="00B30D9F" w:rsidRPr="00E65655">
        <w:rPr>
          <w:rFonts w:ascii="Arial" w:hAnsi="Arial" w:cs="Arial"/>
        </w:rPr>
        <w:t xml:space="preserve"> and the return on a Certificate is linked to the performance of </w:t>
      </w:r>
      <w:r w:rsidR="005D3C1F" w:rsidRPr="00E65655">
        <w:rPr>
          <w:rFonts w:ascii="Arial" w:hAnsi="Arial" w:cs="Arial"/>
        </w:rPr>
        <w:t xml:space="preserve">the </w:t>
      </w:r>
      <w:r w:rsidR="00381C3C" w:rsidRPr="00E65655">
        <w:rPr>
          <w:rFonts w:ascii="Arial" w:hAnsi="Arial" w:cs="Arial" w:hint="eastAsia"/>
          <w:lang w:eastAsia="zh-CN"/>
        </w:rPr>
        <w:t xml:space="preserve">Leverage </w:t>
      </w:r>
      <w:r w:rsidR="00994026" w:rsidRPr="00E65655">
        <w:rPr>
          <w:rFonts w:ascii="Arial" w:hAnsi="Arial" w:cs="Arial"/>
          <w:lang w:eastAsia="zh-CN"/>
        </w:rPr>
        <w:t xml:space="preserve">Inverse </w:t>
      </w:r>
      <w:r w:rsidR="00381C3C" w:rsidRPr="00E65655">
        <w:rPr>
          <w:rFonts w:ascii="Arial" w:hAnsi="Arial" w:cs="Arial" w:hint="eastAsia"/>
          <w:lang w:eastAsia="zh-CN"/>
        </w:rPr>
        <w:t>Strategy</w:t>
      </w:r>
      <w:r w:rsidR="005D3C1F" w:rsidRPr="00E65655">
        <w:rPr>
          <w:rFonts w:ascii="Arial" w:hAnsi="Arial" w:cs="Arial"/>
        </w:rPr>
        <w:t>.</w:t>
      </w:r>
    </w:p>
    <w:p w14:paraId="0A2686C8" w14:textId="77777777" w:rsidR="00BF7E87" w:rsidRPr="00E65655" w:rsidRDefault="00BF7E87">
      <w:pPr>
        <w:numPr>
          <w:ilvl w:val="0"/>
          <w:numId w:val="15"/>
        </w:numPr>
        <w:autoSpaceDE w:val="0"/>
        <w:autoSpaceDN w:val="0"/>
        <w:adjustRightInd w:val="0"/>
        <w:spacing w:after="140" w:line="290" w:lineRule="auto"/>
        <w:ind w:hanging="720"/>
        <w:jc w:val="both"/>
        <w:rPr>
          <w:b/>
        </w:rPr>
      </w:pPr>
      <w:r w:rsidRPr="00E65655">
        <w:rPr>
          <w:b/>
        </w:rPr>
        <w:t>Cash Settlement Amount Payable upon the Exercise of the Certificates at Expiry</w:t>
      </w:r>
    </w:p>
    <w:p w14:paraId="030D61B4" w14:textId="77777777" w:rsidR="00BF7E87" w:rsidRPr="00E65655" w:rsidRDefault="00BF7E87" w:rsidP="00381C3C">
      <w:pPr>
        <w:pStyle w:val="abcde"/>
        <w:tabs>
          <w:tab w:val="clear" w:pos="1276"/>
          <w:tab w:val="left" w:pos="0"/>
        </w:tabs>
        <w:spacing w:after="140" w:line="290" w:lineRule="auto"/>
        <w:ind w:left="0" w:firstLine="0"/>
        <w:rPr>
          <w:rFonts w:ascii="Arial" w:hAnsi="Arial" w:cs="Arial"/>
        </w:rPr>
      </w:pPr>
      <w:r w:rsidRPr="00E65655">
        <w:rPr>
          <w:rFonts w:ascii="Arial" w:hAnsi="Arial" w:cs="Arial"/>
        </w:rPr>
        <w:t>Upon the exercise of the Certificates at expiry, the Certificate Holders would be paid a Cash Settlement Amount in respect of each Certificate.</w:t>
      </w:r>
    </w:p>
    <w:p w14:paraId="3369EEF6" w14:textId="77777777" w:rsidR="00B34728" w:rsidRPr="00E65655" w:rsidRDefault="00B34728" w:rsidP="008D03F8">
      <w:pPr>
        <w:pStyle w:val="abcde"/>
        <w:tabs>
          <w:tab w:val="clear" w:pos="1276"/>
          <w:tab w:val="left" w:pos="0"/>
        </w:tabs>
        <w:spacing w:after="140" w:line="290" w:lineRule="auto"/>
        <w:ind w:left="0" w:firstLine="0"/>
        <w:rPr>
          <w:rFonts w:ascii="Arial" w:hAnsi="Arial" w:cs="Arial"/>
        </w:rPr>
      </w:pPr>
      <w:r w:rsidRPr="00E65655">
        <w:rPr>
          <w:rFonts w:ascii="Arial" w:hAnsi="Arial" w:cs="Arial"/>
        </w:rPr>
        <w:t>The Cash Settlement Amount, in respect of each Certificate, shall be an amount payable in the Settlement Currency equal to the Closing Level multiplied by the Notional Amount per Certificate.</w:t>
      </w:r>
    </w:p>
    <w:p w14:paraId="02013288" w14:textId="77777777" w:rsidR="00B34728" w:rsidRPr="00E65655" w:rsidRDefault="00B34728" w:rsidP="008D03F8">
      <w:pPr>
        <w:pStyle w:val="abcde"/>
        <w:tabs>
          <w:tab w:val="clear" w:pos="1276"/>
          <w:tab w:val="left" w:pos="0"/>
        </w:tabs>
        <w:spacing w:after="140" w:line="290" w:lineRule="auto"/>
        <w:ind w:left="0" w:firstLine="0"/>
        <w:rPr>
          <w:rFonts w:ascii="Arial" w:hAnsi="Arial" w:cs="Arial"/>
        </w:rPr>
      </w:pPr>
      <w:r w:rsidRPr="00E65655">
        <w:rPr>
          <w:rFonts w:ascii="Arial" w:hAnsi="Arial" w:cs="Arial"/>
        </w:rPr>
        <w:t>The Closing Level,</w:t>
      </w:r>
      <w:r w:rsidRPr="00E65655">
        <w:rPr>
          <w:rFonts w:ascii="Times New Roman" w:hAnsi="Times New Roman"/>
        </w:rPr>
        <w:t xml:space="preserve"> </w:t>
      </w:r>
      <w:r w:rsidRPr="00E65655">
        <w:rPr>
          <w:rFonts w:ascii="Arial" w:hAnsi="Arial" w:cs="Arial"/>
        </w:rPr>
        <w:t>in respect of each Certificate, shall be an amount payable in the Settlement Currency equal to (1) divided by (2) less (3) subject to any adjustments such as (4), where:</w:t>
      </w:r>
    </w:p>
    <w:p w14:paraId="02FC49C0" w14:textId="0A527312" w:rsidR="00B34728" w:rsidRPr="00E65655" w:rsidRDefault="00B34728" w:rsidP="008D03F8">
      <w:pPr>
        <w:pStyle w:val="abcde"/>
        <w:tabs>
          <w:tab w:val="clear" w:pos="1276"/>
          <w:tab w:val="left" w:pos="0"/>
        </w:tabs>
        <w:spacing w:after="140" w:line="290" w:lineRule="auto"/>
        <w:ind w:left="0" w:firstLine="0"/>
        <w:rPr>
          <w:rFonts w:ascii="Arial" w:hAnsi="Arial" w:cs="Arial"/>
        </w:rPr>
      </w:pPr>
      <w:r w:rsidRPr="00E65655">
        <w:rPr>
          <w:rFonts w:ascii="Arial" w:hAnsi="Arial" w:cs="Arial"/>
        </w:rPr>
        <w:t>(1)</w:t>
      </w:r>
      <w:r w:rsidR="00706DB1" w:rsidRPr="00E65655">
        <w:rPr>
          <w:rFonts w:ascii="Arial" w:hAnsi="Arial" w:cs="Arial"/>
        </w:rPr>
        <w:tab/>
      </w:r>
      <w:r w:rsidRPr="00E65655">
        <w:rPr>
          <w:rFonts w:ascii="Arial" w:hAnsi="Arial" w:cs="Arial"/>
        </w:rPr>
        <w:t xml:space="preserve">is the Final Reference Level multiplied by the Final Exchange </w:t>
      </w:r>
      <w:proofErr w:type="gramStart"/>
      <w:r w:rsidRPr="00E65655">
        <w:rPr>
          <w:rFonts w:ascii="Arial" w:hAnsi="Arial" w:cs="Arial"/>
        </w:rPr>
        <w:t>Rate;</w:t>
      </w:r>
      <w:proofErr w:type="gramEnd"/>
    </w:p>
    <w:p w14:paraId="23A60307" w14:textId="66691C88" w:rsidR="00B34728" w:rsidRPr="00E65655" w:rsidRDefault="00B34728" w:rsidP="008D03F8">
      <w:pPr>
        <w:pStyle w:val="abcde"/>
        <w:tabs>
          <w:tab w:val="clear" w:pos="1276"/>
          <w:tab w:val="left" w:pos="0"/>
        </w:tabs>
        <w:spacing w:after="140" w:line="290" w:lineRule="auto"/>
        <w:ind w:left="0" w:firstLine="0"/>
        <w:rPr>
          <w:rFonts w:ascii="Arial" w:hAnsi="Arial" w:cs="Arial"/>
        </w:rPr>
      </w:pPr>
      <w:r w:rsidRPr="00E65655">
        <w:rPr>
          <w:rFonts w:ascii="Arial" w:hAnsi="Arial" w:cs="Arial"/>
        </w:rPr>
        <w:t>(2)</w:t>
      </w:r>
      <w:r w:rsidR="00706DB1" w:rsidRPr="00E65655">
        <w:rPr>
          <w:rFonts w:ascii="Arial" w:hAnsi="Arial" w:cs="Arial"/>
        </w:rPr>
        <w:tab/>
      </w:r>
      <w:r w:rsidRPr="00E65655">
        <w:rPr>
          <w:rFonts w:ascii="Arial" w:hAnsi="Arial" w:cs="Arial"/>
        </w:rPr>
        <w:t>is the Initial Reference Level multiplie</w:t>
      </w:r>
      <w:r w:rsidR="0097218A" w:rsidRPr="00E65655">
        <w:rPr>
          <w:rFonts w:ascii="Arial" w:hAnsi="Arial" w:cs="Arial"/>
        </w:rPr>
        <w:t xml:space="preserve">d by the Initial Exchange </w:t>
      </w:r>
      <w:proofErr w:type="gramStart"/>
      <w:r w:rsidR="0097218A" w:rsidRPr="00E65655">
        <w:rPr>
          <w:rFonts w:ascii="Arial" w:hAnsi="Arial" w:cs="Arial"/>
        </w:rPr>
        <w:t>Rate;</w:t>
      </w:r>
      <w:proofErr w:type="gramEnd"/>
    </w:p>
    <w:p w14:paraId="32CED777" w14:textId="1CD5645E" w:rsidR="00B34728" w:rsidRPr="00E65655" w:rsidRDefault="00B34728" w:rsidP="008D03F8">
      <w:pPr>
        <w:pStyle w:val="abcde"/>
        <w:tabs>
          <w:tab w:val="clear" w:pos="1276"/>
          <w:tab w:val="left" w:pos="0"/>
        </w:tabs>
        <w:spacing w:after="140" w:line="290" w:lineRule="auto"/>
        <w:ind w:left="0" w:firstLine="0"/>
        <w:rPr>
          <w:rFonts w:ascii="Arial" w:hAnsi="Arial" w:cs="Arial"/>
        </w:rPr>
      </w:pPr>
      <w:r w:rsidRPr="00E65655">
        <w:rPr>
          <w:rFonts w:ascii="Arial" w:hAnsi="Arial" w:cs="Arial"/>
        </w:rPr>
        <w:t>(3)</w:t>
      </w:r>
      <w:r w:rsidR="00706DB1" w:rsidRPr="00E65655">
        <w:rPr>
          <w:rFonts w:ascii="Arial" w:hAnsi="Arial" w:cs="Arial"/>
        </w:rPr>
        <w:tab/>
      </w:r>
      <w:r w:rsidRPr="00E65655">
        <w:rPr>
          <w:rFonts w:ascii="Arial" w:hAnsi="Arial" w:cs="Arial"/>
        </w:rPr>
        <w:t>is the Strike Level; and</w:t>
      </w:r>
    </w:p>
    <w:p w14:paraId="442CBDB5" w14:textId="3A5CDA8B" w:rsidR="00B34728" w:rsidRPr="00E65655" w:rsidRDefault="00706DB1" w:rsidP="008D03F8">
      <w:pPr>
        <w:pStyle w:val="abcde"/>
        <w:tabs>
          <w:tab w:val="clear" w:pos="1276"/>
          <w:tab w:val="left" w:pos="0"/>
        </w:tabs>
        <w:spacing w:after="140" w:line="290" w:lineRule="auto"/>
        <w:ind w:left="0" w:firstLine="0"/>
        <w:rPr>
          <w:rFonts w:ascii="Arial" w:hAnsi="Arial" w:cs="Arial"/>
        </w:rPr>
      </w:pPr>
      <w:r w:rsidRPr="00E65655">
        <w:rPr>
          <w:rFonts w:ascii="Arial" w:hAnsi="Arial" w:cs="Arial"/>
        </w:rPr>
        <w:t>(4)</w:t>
      </w:r>
      <w:r w:rsidRPr="00E65655">
        <w:rPr>
          <w:rFonts w:ascii="Arial" w:hAnsi="Arial" w:cs="Arial"/>
        </w:rPr>
        <w:tab/>
      </w:r>
      <w:r w:rsidR="00B34728" w:rsidRPr="00E65655">
        <w:rPr>
          <w:rFonts w:ascii="Arial" w:hAnsi="Arial" w:cs="Arial"/>
        </w:rPr>
        <w:t>is the Hedging Fee Factor.</w:t>
      </w:r>
    </w:p>
    <w:p w14:paraId="03769B8E" w14:textId="77777777" w:rsidR="00E70B56" w:rsidRPr="00E65655" w:rsidRDefault="000401DE" w:rsidP="008D03F8">
      <w:pPr>
        <w:autoSpaceDE w:val="0"/>
        <w:autoSpaceDN w:val="0"/>
        <w:adjustRightInd w:val="0"/>
        <w:spacing w:after="140" w:line="290" w:lineRule="auto"/>
        <w:jc w:val="both"/>
        <w:rPr>
          <w:rFonts w:cs="Arial"/>
          <w:color w:val="000000"/>
          <w:szCs w:val="20"/>
        </w:rPr>
      </w:pPr>
      <w:r w:rsidRPr="00E65655">
        <w:rPr>
          <w:rFonts w:cs="Arial"/>
          <w:color w:val="000000"/>
          <w:szCs w:val="20"/>
        </w:rPr>
        <w:t xml:space="preserve">If the Cash Settlement Amount (less any Exercise Expenses) is positive, all Certificates shall be deemed to have been automatically </w:t>
      </w:r>
      <w:proofErr w:type="gramStart"/>
      <w:r w:rsidRPr="00E65655">
        <w:rPr>
          <w:rFonts w:cs="Arial"/>
          <w:color w:val="000000"/>
          <w:szCs w:val="20"/>
        </w:rPr>
        <w:t>exercised</w:t>
      </w:r>
      <w:proofErr w:type="gramEnd"/>
      <w:r w:rsidRPr="00E65655">
        <w:rPr>
          <w:rFonts w:cs="Arial"/>
          <w:color w:val="000000"/>
          <w:szCs w:val="20"/>
        </w:rPr>
        <w:t xml:space="preserve"> and </w:t>
      </w:r>
      <w:r w:rsidR="00E70B56" w:rsidRPr="00E65655">
        <w:rPr>
          <w:rFonts w:cs="Arial"/>
          <w:color w:val="000000"/>
          <w:szCs w:val="20"/>
        </w:rPr>
        <w:t>investor</w:t>
      </w:r>
      <w:r w:rsidRPr="00E65655">
        <w:rPr>
          <w:rFonts w:cs="Arial"/>
          <w:color w:val="000000"/>
          <w:szCs w:val="20"/>
        </w:rPr>
        <w:t>s</w:t>
      </w:r>
      <w:r w:rsidR="00E70B56" w:rsidRPr="00E65655">
        <w:rPr>
          <w:rFonts w:cs="Arial"/>
          <w:color w:val="000000"/>
          <w:szCs w:val="20"/>
        </w:rPr>
        <w:t xml:space="preserve"> will receive a Cash Settlement Amount.  </w:t>
      </w:r>
      <w:r w:rsidRPr="00E65655">
        <w:rPr>
          <w:rFonts w:cs="Arial"/>
          <w:color w:val="000000"/>
          <w:szCs w:val="20"/>
        </w:rPr>
        <w:t xml:space="preserve">If the Cash Settlement Amount (less any Exercise Expenses) is zero, all Certificates shall be deemed to have expired. </w:t>
      </w:r>
      <w:r w:rsidR="00E70B56" w:rsidRPr="00E65655">
        <w:rPr>
          <w:rFonts w:cs="Arial"/>
          <w:color w:val="000000"/>
          <w:szCs w:val="20"/>
        </w:rPr>
        <w:t xml:space="preserve">Please refer to the section headed “Terms and Conditions of the </w:t>
      </w:r>
      <w:r w:rsidRPr="00E65655">
        <w:rPr>
          <w:rFonts w:cs="Arial"/>
          <w:color w:val="000000"/>
          <w:szCs w:val="20"/>
        </w:rPr>
        <w:t xml:space="preserve">European Style Cash Settled </w:t>
      </w:r>
      <w:r w:rsidR="003C7A6D" w:rsidRPr="00E65655">
        <w:rPr>
          <w:rFonts w:cs="Arial"/>
          <w:color w:val="000000"/>
          <w:szCs w:val="20"/>
        </w:rPr>
        <w:t xml:space="preserve">Long/Short </w:t>
      </w:r>
      <w:r w:rsidRPr="00E65655">
        <w:rPr>
          <w:rFonts w:cs="Arial"/>
          <w:color w:val="000000"/>
          <w:szCs w:val="20"/>
        </w:rPr>
        <w:t>Certificates</w:t>
      </w:r>
      <w:r w:rsidR="00381C3C" w:rsidRPr="00E65655">
        <w:rPr>
          <w:rFonts w:cs="Arial" w:hint="eastAsia"/>
          <w:color w:val="000000"/>
          <w:szCs w:val="20"/>
          <w:lang w:eastAsia="zh-CN"/>
        </w:rPr>
        <w:t xml:space="preserve"> o</w:t>
      </w:r>
      <w:r w:rsidR="00D8572B" w:rsidRPr="00E65655">
        <w:rPr>
          <w:rFonts w:cs="Arial"/>
          <w:color w:val="000000"/>
          <w:szCs w:val="20"/>
          <w:lang w:eastAsia="zh-CN"/>
        </w:rPr>
        <w:t>n</w:t>
      </w:r>
      <w:r w:rsidR="00381C3C" w:rsidRPr="00E65655">
        <w:rPr>
          <w:rFonts w:cs="Arial" w:hint="eastAsia"/>
          <w:color w:val="000000"/>
          <w:szCs w:val="20"/>
          <w:lang w:eastAsia="zh-CN"/>
        </w:rPr>
        <w:t xml:space="preserve"> Single </w:t>
      </w:r>
      <w:r w:rsidR="00D8572B" w:rsidRPr="00E65655">
        <w:rPr>
          <w:rFonts w:cs="Arial"/>
          <w:color w:val="000000"/>
          <w:szCs w:val="20"/>
          <w:lang w:eastAsia="zh-CN"/>
        </w:rPr>
        <w:t>Equities</w:t>
      </w:r>
      <w:r w:rsidR="00E70B56" w:rsidRPr="00E65655">
        <w:rPr>
          <w:rFonts w:cs="Arial"/>
          <w:color w:val="000000"/>
          <w:szCs w:val="20"/>
        </w:rPr>
        <w:t>” for further details on the calculation of the Cash Settlement Amount.</w:t>
      </w:r>
    </w:p>
    <w:p w14:paraId="783A3F0B" w14:textId="77777777" w:rsidR="008D03F8" w:rsidRPr="00E65655" w:rsidRDefault="00E70B56" w:rsidP="008D03F8">
      <w:pPr>
        <w:autoSpaceDE w:val="0"/>
        <w:autoSpaceDN w:val="0"/>
        <w:adjustRightInd w:val="0"/>
        <w:spacing w:after="140" w:line="290" w:lineRule="auto"/>
        <w:jc w:val="both"/>
        <w:rPr>
          <w:rFonts w:cs="Arial"/>
          <w:color w:val="000000"/>
          <w:szCs w:val="20"/>
        </w:rPr>
      </w:pPr>
      <w:r w:rsidRPr="00E65655">
        <w:rPr>
          <w:rFonts w:cs="Arial"/>
          <w:color w:val="000000"/>
          <w:szCs w:val="20"/>
        </w:rPr>
        <w:t xml:space="preserve">The Certificates are only suitable for investors who believe that the </w:t>
      </w:r>
      <w:r w:rsidR="00381C3C" w:rsidRPr="00E65655">
        <w:rPr>
          <w:rFonts w:cs="Arial" w:hint="eastAsia"/>
          <w:color w:val="000000"/>
          <w:szCs w:val="20"/>
          <w:lang w:eastAsia="zh-CN"/>
        </w:rPr>
        <w:t>price</w:t>
      </w:r>
      <w:r w:rsidRPr="00E65655">
        <w:rPr>
          <w:rFonts w:cs="Arial"/>
          <w:color w:val="000000"/>
          <w:szCs w:val="20"/>
        </w:rPr>
        <w:t xml:space="preserve"> of the </w:t>
      </w:r>
      <w:r w:rsidR="003F66C9" w:rsidRPr="00E65655">
        <w:rPr>
          <w:rFonts w:cs="Arial"/>
          <w:color w:val="000000"/>
          <w:szCs w:val="20"/>
        </w:rPr>
        <w:t>Underlying Stock</w:t>
      </w:r>
      <w:r w:rsidR="00062315" w:rsidRPr="00E65655">
        <w:rPr>
          <w:rFonts w:cs="Arial"/>
          <w:color w:val="000000"/>
          <w:szCs w:val="20"/>
        </w:rPr>
        <w:t xml:space="preserve"> </w:t>
      </w:r>
      <w:r w:rsidR="000D300C" w:rsidRPr="00E65655">
        <w:rPr>
          <w:rFonts w:cs="Arial"/>
          <w:color w:val="000000"/>
          <w:szCs w:val="20"/>
        </w:rPr>
        <w:t>will de</w:t>
      </w:r>
      <w:r w:rsidRPr="00E65655">
        <w:rPr>
          <w:rFonts w:cs="Arial"/>
          <w:color w:val="000000"/>
          <w:szCs w:val="20"/>
        </w:rPr>
        <w:t xml:space="preserve">crease and are seeking </w:t>
      </w:r>
      <w:r w:rsidR="00493255" w:rsidRPr="00E65655">
        <w:rPr>
          <w:rFonts w:cs="Arial"/>
          <w:color w:val="000000"/>
          <w:szCs w:val="20"/>
        </w:rPr>
        <w:t xml:space="preserve">short-term </w:t>
      </w:r>
      <w:r w:rsidRPr="00E65655">
        <w:rPr>
          <w:rFonts w:cs="Arial"/>
          <w:color w:val="000000"/>
          <w:szCs w:val="20"/>
        </w:rPr>
        <w:t xml:space="preserve">leveraged </w:t>
      </w:r>
      <w:r w:rsidR="00851686" w:rsidRPr="00E65655">
        <w:rPr>
          <w:rFonts w:cs="Arial"/>
          <w:color w:val="000000"/>
          <w:szCs w:val="20"/>
        </w:rPr>
        <w:t xml:space="preserve">inverse </w:t>
      </w:r>
      <w:r w:rsidRPr="00E65655">
        <w:rPr>
          <w:rFonts w:cs="Arial"/>
          <w:color w:val="000000"/>
          <w:szCs w:val="20"/>
        </w:rPr>
        <w:t xml:space="preserve">exposure to the </w:t>
      </w:r>
      <w:r w:rsidR="003F66C9" w:rsidRPr="00E65655">
        <w:rPr>
          <w:rFonts w:cs="Arial"/>
          <w:color w:val="000000"/>
          <w:szCs w:val="20"/>
        </w:rPr>
        <w:t>Underlying Stock</w:t>
      </w:r>
      <w:r w:rsidRPr="00E65655">
        <w:rPr>
          <w:rFonts w:cs="Arial"/>
          <w:color w:val="000000"/>
          <w:szCs w:val="20"/>
        </w:rPr>
        <w:t>.</w:t>
      </w:r>
    </w:p>
    <w:p w14:paraId="6D918C7E" w14:textId="77777777" w:rsidR="007F5F2B" w:rsidRPr="00E65655" w:rsidRDefault="007F5F2B">
      <w:pPr>
        <w:numPr>
          <w:ilvl w:val="0"/>
          <w:numId w:val="15"/>
        </w:numPr>
        <w:autoSpaceDE w:val="0"/>
        <w:autoSpaceDN w:val="0"/>
        <w:adjustRightInd w:val="0"/>
        <w:spacing w:after="140" w:line="290" w:lineRule="auto"/>
        <w:ind w:hanging="720"/>
        <w:jc w:val="both"/>
        <w:rPr>
          <w:b/>
        </w:rPr>
      </w:pPr>
      <w:r w:rsidRPr="00E65655">
        <w:rPr>
          <w:b/>
        </w:rPr>
        <w:t>Trading the Certificates before Expiry</w:t>
      </w:r>
    </w:p>
    <w:p w14:paraId="03C7B596" w14:textId="77777777" w:rsidR="007F5F2B" w:rsidRPr="00E65655" w:rsidRDefault="007F5F2B" w:rsidP="007F5F2B">
      <w:pPr>
        <w:autoSpaceDE w:val="0"/>
        <w:autoSpaceDN w:val="0"/>
        <w:adjustRightInd w:val="0"/>
        <w:spacing w:after="140" w:line="290" w:lineRule="auto"/>
        <w:jc w:val="both"/>
      </w:pPr>
      <w:r w:rsidRPr="00E65655">
        <w:t xml:space="preserve">If the Certificate Holders want to cash out their investments in the Certificates before the expiry of the Certificates, they may sell </w:t>
      </w:r>
      <w:r w:rsidR="00EC2689" w:rsidRPr="00E65655">
        <w:t>the Certificates in the secondary market during the life of the Certificates, and would be subject to the following fees and charges:</w:t>
      </w:r>
    </w:p>
    <w:p w14:paraId="1F8E000E" w14:textId="77777777" w:rsidR="007F5F2B" w:rsidRPr="00E65655" w:rsidRDefault="00EC2689">
      <w:pPr>
        <w:pStyle w:val="PlainText"/>
        <w:numPr>
          <w:ilvl w:val="0"/>
          <w:numId w:val="14"/>
        </w:numPr>
        <w:spacing w:line="283" w:lineRule="auto"/>
        <w:ind w:left="720"/>
        <w:jc w:val="both"/>
        <w:rPr>
          <w:rFonts w:ascii="Arial" w:hAnsi="Arial" w:cs="Arial"/>
        </w:rPr>
      </w:pPr>
      <w:r w:rsidRPr="00E65655">
        <w:rPr>
          <w:rFonts w:ascii="Arial" w:hAnsi="Arial" w:cs="Arial"/>
          <w:u w:val="single"/>
        </w:rPr>
        <w:t>For Certificate Holders who trade the Certificates intraday</w:t>
      </w:r>
      <w:r w:rsidRPr="00E65655">
        <w:rPr>
          <w:rFonts w:ascii="Arial" w:hAnsi="Arial" w:cs="Arial"/>
        </w:rPr>
        <w:t>: shall pay n</w:t>
      </w:r>
      <w:r w:rsidR="007F5F2B" w:rsidRPr="00E65655">
        <w:rPr>
          <w:rFonts w:ascii="Arial" w:hAnsi="Arial" w:cs="Arial"/>
        </w:rPr>
        <w:t xml:space="preserve">ormal transaction and brokerage fees </w:t>
      </w:r>
      <w:r w:rsidRPr="00E65655">
        <w:rPr>
          <w:rFonts w:ascii="Arial" w:hAnsi="Arial" w:cs="Arial"/>
        </w:rPr>
        <w:t xml:space="preserve">for </w:t>
      </w:r>
      <w:r w:rsidR="007F5F2B" w:rsidRPr="00E65655">
        <w:rPr>
          <w:rFonts w:ascii="Arial" w:hAnsi="Arial" w:cs="Arial"/>
        </w:rPr>
        <w:t>the trading of the Certificates</w:t>
      </w:r>
      <w:r w:rsidRPr="00E65655">
        <w:rPr>
          <w:rFonts w:ascii="Arial" w:hAnsi="Arial" w:cs="Arial"/>
        </w:rPr>
        <w:t xml:space="preserve"> on the SGX-ST, and </w:t>
      </w:r>
      <w:r w:rsidR="007F5F2B" w:rsidRPr="00E65655">
        <w:rPr>
          <w:rFonts w:ascii="Arial" w:hAnsi="Arial" w:cs="Arial"/>
        </w:rPr>
        <w:t>may be required to pay stamp taxes or other documentary charges in accordance with the laws and practices of the country where the Certificate</w:t>
      </w:r>
      <w:r w:rsidRPr="00E65655">
        <w:rPr>
          <w:rFonts w:ascii="Arial" w:hAnsi="Arial" w:cs="Arial"/>
        </w:rPr>
        <w:t>s are transferred; and</w:t>
      </w:r>
    </w:p>
    <w:p w14:paraId="25A4D448" w14:textId="77777777" w:rsidR="007F5F2B" w:rsidRPr="00E65655" w:rsidRDefault="007F5F2B" w:rsidP="007F5F2B">
      <w:pPr>
        <w:pStyle w:val="PlainText"/>
        <w:spacing w:line="283" w:lineRule="auto"/>
        <w:jc w:val="both"/>
        <w:rPr>
          <w:rFonts w:ascii="Arial" w:hAnsi="Arial" w:cs="Arial"/>
        </w:rPr>
      </w:pPr>
    </w:p>
    <w:p w14:paraId="3F7094AA" w14:textId="77777777" w:rsidR="007F5F2B" w:rsidRPr="00E65655" w:rsidRDefault="00EC2689">
      <w:pPr>
        <w:pStyle w:val="PlainText"/>
        <w:numPr>
          <w:ilvl w:val="0"/>
          <w:numId w:val="14"/>
        </w:numPr>
        <w:spacing w:line="283" w:lineRule="auto"/>
        <w:ind w:left="720"/>
        <w:jc w:val="both"/>
        <w:rPr>
          <w:rFonts w:ascii="Arial" w:hAnsi="Arial" w:cs="Arial"/>
        </w:rPr>
      </w:pPr>
      <w:r w:rsidRPr="00E65655">
        <w:rPr>
          <w:rFonts w:ascii="Arial" w:hAnsi="Arial" w:cs="Arial"/>
          <w:u w:val="single"/>
        </w:rPr>
        <w:t>For Certificate Holders who hold the Certificates overnight</w:t>
      </w:r>
      <w:r w:rsidRPr="00E65655">
        <w:rPr>
          <w:rFonts w:ascii="Arial" w:hAnsi="Arial" w:cs="Arial"/>
        </w:rPr>
        <w:t xml:space="preserve">: in addition to the normal transaction and brokerage fees and applicable stamp taxes, </w:t>
      </w:r>
      <w:r w:rsidR="007F5F2B" w:rsidRPr="00E65655">
        <w:rPr>
          <w:rFonts w:ascii="Arial" w:hAnsi="Arial" w:cs="Arial"/>
        </w:rPr>
        <w:t>would also be required to bear the Management Fee and Gap Premium</w:t>
      </w:r>
      <w:r w:rsidR="00CF3364" w:rsidRPr="00E65655">
        <w:rPr>
          <w:rFonts w:ascii="Arial" w:hAnsi="Arial" w:cs="Arial"/>
        </w:rPr>
        <w:t xml:space="preserve"> as well as certain costs embedded within the Leverage </w:t>
      </w:r>
      <w:r w:rsidR="00851686" w:rsidRPr="00E65655">
        <w:rPr>
          <w:rFonts w:ascii="Arial" w:hAnsi="Arial" w:cs="Arial"/>
        </w:rPr>
        <w:t xml:space="preserve">Inverse </w:t>
      </w:r>
      <w:r w:rsidR="00CF3364" w:rsidRPr="00E65655">
        <w:rPr>
          <w:rFonts w:ascii="Arial" w:hAnsi="Arial" w:cs="Arial"/>
        </w:rPr>
        <w:t xml:space="preserve">Strategy including the </w:t>
      </w:r>
      <w:r w:rsidR="008F1BFC" w:rsidRPr="00E65655">
        <w:rPr>
          <w:rFonts w:ascii="Arial" w:hAnsi="Arial" w:cs="Arial"/>
        </w:rPr>
        <w:t>Stock Borrowing</w:t>
      </w:r>
      <w:r w:rsidR="00CF3364" w:rsidRPr="00E65655">
        <w:rPr>
          <w:rFonts w:ascii="Arial" w:hAnsi="Arial" w:cs="Arial"/>
        </w:rPr>
        <w:t xml:space="preserve"> Cost and Rebalancing Cost</w:t>
      </w:r>
      <w:r w:rsidR="007F5F2B" w:rsidRPr="00E65655">
        <w:rPr>
          <w:rFonts w:ascii="Arial" w:hAnsi="Arial" w:cs="Arial"/>
        </w:rPr>
        <w:t>.</w:t>
      </w:r>
    </w:p>
    <w:p w14:paraId="589D347C" w14:textId="77777777" w:rsidR="00F21AC0" w:rsidRPr="00E65655" w:rsidRDefault="00F21AC0" w:rsidP="00EC2689">
      <w:pPr>
        <w:pStyle w:val="PlainText"/>
        <w:spacing w:line="283" w:lineRule="auto"/>
        <w:jc w:val="both"/>
        <w:rPr>
          <w:rFonts w:ascii="Arial" w:hAnsi="Arial" w:cs="Arial"/>
        </w:rPr>
      </w:pPr>
    </w:p>
    <w:p w14:paraId="0E104807" w14:textId="77777777" w:rsidR="00EF1E04" w:rsidRPr="00E65655" w:rsidRDefault="00EF1E04" w:rsidP="007C4CE4">
      <w:pPr>
        <w:pageBreakBefore/>
        <w:widowControl w:val="0"/>
        <w:spacing w:after="140" w:line="290" w:lineRule="auto"/>
        <w:rPr>
          <w:rFonts w:cs="Arial"/>
          <w:b/>
          <w:szCs w:val="20"/>
          <w:lang w:val="en-US" w:eastAsia="zh-CN"/>
        </w:rPr>
      </w:pPr>
      <w:r w:rsidRPr="00E65655">
        <w:rPr>
          <w:rFonts w:cs="Arial"/>
          <w:b/>
          <w:szCs w:val="20"/>
          <w:lang w:val="en-US" w:eastAsia="zh-CN"/>
        </w:rPr>
        <w:lastRenderedPageBreak/>
        <w:t>Illustration of the Calculation of Hedging Fee Factor</w:t>
      </w:r>
    </w:p>
    <w:tbl>
      <w:tblPr>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
        <w:gridCol w:w="4050"/>
      </w:tblGrid>
      <w:tr w:rsidR="00BD4B5C" w:rsidRPr="00E65655" w14:paraId="356A73DD" w14:textId="77777777" w:rsidTr="00BD4B5C">
        <w:trPr>
          <w:trHeight w:val="208"/>
        </w:trPr>
        <w:tc>
          <w:tcPr>
            <w:tcW w:w="1188" w:type="dxa"/>
            <w:vMerge w:val="restart"/>
            <w:vAlign w:val="center"/>
          </w:tcPr>
          <w:p w14:paraId="21A7FCC7" w14:textId="77777777" w:rsidR="00BD4B5C" w:rsidRPr="00E65655" w:rsidRDefault="00BD4B5C" w:rsidP="00960404">
            <w:pPr>
              <w:autoSpaceDE w:val="0"/>
              <w:autoSpaceDN w:val="0"/>
              <w:adjustRightInd w:val="0"/>
              <w:spacing w:line="290" w:lineRule="auto"/>
              <w:jc w:val="center"/>
              <w:rPr>
                <w:sz w:val="15"/>
                <w:szCs w:val="15"/>
              </w:rPr>
            </w:pPr>
            <w:r w:rsidRPr="00E65655">
              <w:rPr>
                <w:sz w:val="15"/>
                <w:szCs w:val="15"/>
              </w:rPr>
              <w:t>Hedging Fee Factor</w:t>
            </w:r>
          </w:p>
        </w:tc>
        <w:tc>
          <w:tcPr>
            <w:tcW w:w="360" w:type="dxa"/>
            <w:vMerge w:val="restart"/>
            <w:tcBorders>
              <w:top w:val="nil"/>
              <w:bottom w:val="nil"/>
            </w:tcBorders>
            <w:vAlign w:val="center"/>
          </w:tcPr>
          <w:p w14:paraId="449915AA" w14:textId="77777777" w:rsidR="00BD4B5C" w:rsidRPr="00E65655" w:rsidRDefault="00BD4B5C" w:rsidP="00960404">
            <w:pPr>
              <w:autoSpaceDE w:val="0"/>
              <w:autoSpaceDN w:val="0"/>
              <w:adjustRightInd w:val="0"/>
              <w:spacing w:line="290" w:lineRule="auto"/>
              <w:jc w:val="center"/>
              <w:rPr>
                <w:sz w:val="15"/>
                <w:szCs w:val="15"/>
              </w:rPr>
            </w:pPr>
            <w:r w:rsidRPr="00E65655">
              <w:rPr>
                <w:sz w:val="15"/>
                <w:szCs w:val="15"/>
              </w:rPr>
              <w:t>=</w:t>
            </w:r>
          </w:p>
        </w:tc>
        <w:tc>
          <w:tcPr>
            <w:tcW w:w="4050" w:type="dxa"/>
            <w:vMerge w:val="restart"/>
            <w:vAlign w:val="center"/>
          </w:tcPr>
          <w:p w14:paraId="3FE0FD83" w14:textId="77777777" w:rsidR="00A93CB7" w:rsidRPr="00E65655" w:rsidRDefault="00BD4B5C">
            <w:pPr>
              <w:autoSpaceDE w:val="0"/>
              <w:autoSpaceDN w:val="0"/>
              <w:adjustRightInd w:val="0"/>
              <w:spacing w:line="290" w:lineRule="auto"/>
              <w:jc w:val="center"/>
              <w:rPr>
                <w:sz w:val="15"/>
                <w:szCs w:val="15"/>
              </w:rPr>
            </w:pPr>
            <w:r w:rsidRPr="00E65655">
              <w:rPr>
                <w:sz w:val="15"/>
                <w:szCs w:val="15"/>
              </w:rPr>
              <w:t>Product of the Daily Fees</w:t>
            </w:r>
            <w:r w:rsidRPr="00E65655" w:rsidDel="00A47432">
              <w:rPr>
                <w:i/>
                <w:sz w:val="15"/>
                <w:szCs w:val="15"/>
              </w:rPr>
              <w:t xml:space="preserve"> </w:t>
            </w:r>
          </w:p>
        </w:tc>
      </w:tr>
      <w:tr w:rsidR="00BD4B5C" w:rsidRPr="00E65655" w14:paraId="74C5DC83" w14:textId="77777777" w:rsidTr="00BD4B5C">
        <w:trPr>
          <w:trHeight w:val="208"/>
        </w:trPr>
        <w:tc>
          <w:tcPr>
            <w:tcW w:w="1188" w:type="dxa"/>
            <w:vMerge/>
          </w:tcPr>
          <w:p w14:paraId="4FEBC6FE" w14:textId="77777777" w:rsidR="00BD4B5C" w:rsidRPr="00E65655" w:rsidRDefault="00BD4B5C" w:rsidP="00960404">
            <w:pPr>
              <w:autoSpaceDE w:val="0"/>
              <w:autoSpaceDN w:val="0"/>
              <w:adjustRightInd w:val="0"/>
              <w:spacing w:line="290" w:lineRule="auto"/>
              <w:rPr>
                <w:sz w:val="15"/>
                <w:szCs w:val="15"/>
              </w:rPr>
            </w:pPr>
          </w:p>
        </w:tc>
        <w:tc>
          <w:tcPr>
            <w:tcW w:w="360" w:type="dxa"/>
            <w:vMerge/>
            <w:tcBorders>
              <w:bottom w:val="nil"/>
            </w:tcBorders>
          </w:tcPr>
          <w:p w14:paraId="233DD2B8" w14:textId="77777777" w:rsidR="00BD4B5C" w:rsidRPr="00E65655" w:rsidRDefault="00BD4B5C" w:rsidP="00960404">
            <w:pPr>
              <w:autoSpaceDE w:val="0"/>
              <w:autoSpaceDN w:val="0"/>
              <w:adjustRightInd w:val="0"/>
              <w:spacing w:line="290" w:lineRule="auto"/>
              <w:rPr>
                <w:sz w:val="15"/>
                <w:szCs w:val="15"/>
              </w:rPr>
            </w:pPr>
          </w:p>
        </w:tc>
        <w:tc>
          <w:tcPr>
            <w:tcW w:w="4050" w:type="dxa"/>
            <w:vMerge/>
          </w:tcPr>
          <w:p w14:paraId="15C9AB85" w14:textId="77777777" w:rsidR="00BD4B5C" w:rsidRPr="00E65655" w:rsidRDefault="00BD4B5C" w:rsidP="00960404">
            <w:pPr>
              <w:autoSpaceDE w:val="0"/>
              <w:autoSpaceDN w:val="0"/>
              <w:adjustRightInd w:val="0"/>
              <w:spacing w:line="290" w:lineRule="auto"/>
              <w:rPr>
                <w:sz w:val="15"/>
                <w:szCs w:val="15"/>
              </w:rPr>
            </w:pPr>
          </w:p>
        </w:tc>
      </w:tr>
      <w:tr w:rsidR="00BD4B5C" w:rsidRPr="00E65655" w14:paraId="21AFA7F5" w14:textId="77777777" w:rsidTr="00BD4B5C">
        <w:trPr>
          <w:trHeight w:val="208"/>
        </w:trPr>
        <w:tc>
          <w:tcPr>
            <w:tcW w:w="1188" w:type="dxa"/>
            <w:vMerge/>
          </w:tcPr>
          <w:p w14:paraId="65A98D91" w14:textId="77777777" w:rsidR="00BD4B5C" w:rsidRPr="00E65655" w:rsidRDefault="00BD4B5C" w:rsidP="00960404">
            <w:pPr>
              <w:autoSpaceDE w:val="0"/>
              <w:autoSpaceDN w:val="0"/>
              <w:adjustRightInd w:val="0"/>
              <w:spacing w:line="290" w:lineRule="auto"/>
              <w:rPr>
                <w:sz w:val="15"/>
                <w:szCs w:val="15"/>
              </w:rPr>
            </w:pPr>
          </w:p>
        </w:tc>
        <w:tc>
          <w:tcPr>
            <w:tcW w:w="360" w:type="dxa"/>
            <w:vMerge/>
            <w:tcBorders>
              <w:bottom w:val="nil"/>
            </w:tcBorders>
          </w:tcPr>
          <w:p w14:paraId="34A8D6CF" w14:textId="77777777" w:rsidR="00BD4B5C" w:rsidRPr="00E65655" w:rsidRDefault="00BD4B5C" w:rsidP="00960404">
            <w:pPr>
              <w:autoSpaceDE w:val="0"/>
              <w:autoSpaceDN w:val="0"/>
              <w:adjustRightInd w:val="0"/>
              <w:spacing w:line="290" w:lineRule="auto"/>
              <w:rPr>
                <w:sz w:val="15"/>
                <w:szCs w:val="15"/>
              </w:rPr>
            </w:pPr>
          </w:p>
        </w:tc>
        <w:tc>
          <w:tcPr>
            <w:tcW w:w="4050" w:type="dxa"/>
            <w:vMerge/>
          </w:tcPr>
          <w:p w14:paraId="4C458297" w14:textId="77777777" w:rsidR="00BD4B5C" w:rsidRPr="00E65655" w:rsidRDefault="00BD4B5C" w:rsidP="00960404">
            <w:pPr>
              <w:autoSpaceDE w:val="0"/>
              <w:autoSpaceDN w:val="0"/>
              <w:adjustRightInd w:val="0"/>
              <w:spacing w:line="290" w:lineRule="auto"/>
              <w:rPr>
                <w:sz w:val="15"/>
                <w:szCs w:val="15"/>
              </w:rPr>
            </w:pPr>
          </w:p>
        </w:tc>
      </w:tr>
      <w:tr w:rsidR="00BD4B5C" w:rsidRPr="00E65655" w14:paraId="0AEE4D2A" w14:textId="77777777" w:rsidTr="00BD4B5C">
        <w:trPr>
          <w:trHeight w:val="208"/>
        </w:trPr>
        <w:tc>
          <w:tcPr>
            <w:tcW w:w="1188" w:type="dxa"/>
            <w:vMerge/>
          </w:tcPr>
          <w:p w14:paraId="6ACB3852" w14:textId="77777777" w:rsidR="00BD4B5C" w:rsidRPr="00E65655" w:rsidRDefault="00BD4B5C" w:rsidP="00960404">
            <w:pPr>
              <w:autoSpaceDE w:val="0"/>
              <w:autoSpaceDN w:val="0"/>
              <w:adjustRightInd w:val="0"/>
              <w:spacing w:line="290" w:lineRule="auto"/>
              <w:rPr>
                <w:sz w:val="15"/>
                <w:szCs w:val="15"/>
              </w:rPr>
            </w:pPr>
          </w:p>
        </w:tc>
        <w:tc>
          <w:tcPr>
            <w:tcW w:w="360" w:type="dxa"/>
            <w:vMerge/>
            <w:tcBorders>
              <w:bottom w:val="nil"/>
            </w:tcBorders>
          </w:tcPr>
          <w:p w14:paraId="113C8539" w14:textId="77777777" w:rsidR="00BD4B5C" w:rsidRPr="00E65655" w:rsidRDefault="00BD4B5C" w:rsidP="00960404">
            <w:pPr>
              <w:autoSpaceDE w:val="0"/>
              <w:autoSpaceDN w:val="0"/>
              <w:adjustRightInd w:val="0"/>
              <w:spacing w:line="290" w:lineRule="auto"/>
              <w:rPr>
                <w:sz w:val="15"/>
                <w:szCs w:val="15"/>
              </w:rPr>
            </w:pPr>
          </w:p>
        </w:tc>
        <w:tc>
          <w:tcPr>
            <w:tcW w:w="4050" w:type="dxa"/>
            <w:vMerge/>
          </w:tcPr>
          <w:p w14:paraId="59CF90AE" w14:textId="77777777" w:rsidR="00BD4B5C" w:rsidRPr="00E65655" w:rsidRDefault="00BD4B5C" w:rsidP="00960404">
            <w:pPr>
              <w:autoSpaceDE w:val="0"/>
              <w:autoSpaceDN w:val="0"/>
              <w:adjustRightInd w:val="0"/>
              <w:spacing w:line="290" w:lineRule="auto"/>
              <w:rPr>
                <w:sz w:val="15"/>
                <w:szCs w:val="15"/>
              </w:rPr>
            </w:pPr>
          </w:p>
        </w:tc>
      </w:tr>
      <w:tr w:rsidR="00BD4B5C" w:rsidRPr="00E65655" w14:paraId="589941A5" w14:textId="77777777" w:rsidTr="00BD4B5C">
        <w:trPr>
          <w:trHeight w:val="208"/>
        </w:trPr>
        <w:tc>
          <w:tcPr>
            <w:tcW w:w="1188" w:type="dxa"/>
            <w:vMerge/>
          </w:tcPr>
          <w:p w14:paraId="7312F196" w14:textId="77777777" w:rsidR="00BD4B5C" w:rsidRPr="00E65655" w:rsidRDefault="00BD4B5C" w:rsidP="00960404">
            <w:pPr>
              <w:autoSpaceDE w:val="0"/>
              <w:autoSpaceDN w:val="0"/>
              <w:adjustRightInd w:val="0"/>
              <w:spacing w:line="290" w:lineRule="auto"/>
              <w:rPr>
                <w:sz w:val="15"/>
                <w:szCs w:val="15"/>
              </w:rPr>
            </w:pPr>
          </w:p>
        </w:tc>
        <w:tc>
          <w:tcPr>
            <w:tcW w:w="360" w:type="dxa"/>
            <w:vMerge/>
            <w:tcBorders>
              <w:bottom w:val="nil"/>
            </w:tcBorders>
          </w:tcPr>
          <w:p w14:paraId="38CB0393" w14:textId="77777777" w:rsidR="00BD4B5C" w:rsidRPr="00E65655" w:rsidRDefault="00BD4B5C" w:rsidP="00960404">
            <w:pPr>
              <w:autoSpaceDE w:val="0"/>
              <w:autoSpaceDN w:val="0"/>
              <w:adjustRightInd w:val="0"/>
              <w:spacing w:line="290" w:lineRule="auto"/>
              <w:rPr>
                <w:sz w:val="15"/>
                <w:szCs w:val="15"/>
              </w:rPr>
            </w:pPr>
          </w:p>
        </w:tc>
        <w:tc>
          <w:tcPr>
            <w:tcW w:w="4050" w:type="dxa"/>
            <w:vMerge/>
          </w:tcPr>
          <w:p w14:paraId="5F54F072" w14:textId="77777777" w:rsidR="00BD4B5C" w:rsidRPr="00E65655" w:rsidRDefault="00BD4B5C" w:rsidP="00960404">
            <w:pPr>
              <w:autoSpaceDE w:val="0"/>
              <w:autoSpaceDN w:val="0"/>
              <w:adjustRightInd w:val="0"/>
              <w:spacing w:line="290" w:lineRule="auto"/>
              <w:rPr>
                <w:sz w:val="15"/>
                <w:szCs w:val="15"/>
              </w:rPr>
            </w:pPr>
          </w:p>
        </w:tc>
      </w:tr>
    </w:tbl>
    <w:p w14:paraId="0A7836EE" w14:textId="77777777" w:rsidR="00EF1E04" w:rsidRPr="00E65655" w:rsidRDefault="00EF1E04" w:rsidP="00EF1E04">
      <w:pPr>
        <w:autoSpaceDE w:val="0"/>
        <w:autoSpaceDN w:val="0"/>
        <w:adjustRightInd w:val="0"/>
        <w:spacing w:after="140" w:line="290" w:lineRule="auto"/>
        <w:jc w:val="both"/>
        <w:rPr>
          <w:rFonts w:cs="Arial"/>
          <w:color w:val="000000"/>
          <w:szCs w:val="20"/>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
        <w:gridCol w:w="540"/>
        <w:gridCol w:w="6930"/>
        <w:gridCol w:w="450"/>
      </w:tblGrid>
      <w:tr w:rsidR="00EF1E04" w:rsidRPr="00E65655" w14:paraId="73256C7C" w14:textId="77777777" w:rsidTr="00960404">
        <w:trPr>
          <w:trHeight w:val="144"/>
        </w:trPr>
        <w:tc>
          <w:tcPr>
            <w:tcW w:w="1188" w:type="dxa"/>
            <w:vMerge w:val="restart"/>
            <w:tcBorders>
              <w:top w:val="single" w:sz="4" w:space="0" w:color="auto"/>
              <w:bottom w:val="single" w:sz="4" w:space="0" w:color="auto"/>
            </w:tcBorders>
            <w:vAlign w:val="center"/>
          </w:tcPr>
          <w:p w14:paraId="40DFEFB9" w14:textId="77777777" w:rsidR="00EF1E04" w:rsidRPr="00E65655" w:rsidRDefault="00EF1E04" w:rsidP="00960404">
            <w:pPr>
              <w:autoSpaceDE w:val="0"/>
              <w:autoSpaceDN w:val="0"/>
              <w:adjustRightInd w:val="0"/>
              <w:spacing w:line="290" w:lineRule="auto"/>
              <w:jc w:val="center"/>
              <w:rPr>
                <w:sz w:val="15"/>
                <w:szCs w:val="15"/>
              </w:rPr>
            </w:pPr>
            <w:r w:rsidRPr="00E65655">
              <w:rPr>
                <w:sz w:val="15"/>
                <w:szCs w:val="15"/>
              </w:rPr>
              <w:t>Daily Fees</w:t>
            </w:r>
          </w:p>
        </w:tc>
        <w:tc>
          <w:tcPr>
            <w:tcW w:w="360" w:type="dxa"/>
            <w:vMerge w:val="restart"/>
            <w:tcBorders>
              <w:top w:val="nil"/>
              <w:bottom w:val="nil"/>
            </w:tcBorders>
            <w:vAlign w:val="center"/>
          </w:tcPr>
          <w:p w14:paraId="69FC6CF0" w14:textId="77777777" w:rsidR="00EF1E04" w:rsidRPr="00E65655" w:rsidRDefault="00EF1E04" w:rsidP="00960404">
            <w:pPr>
              <w:autoSpaceDE w:val="0"/>
              <w:autoSpaceDN w:val="0"/>
              <w:adjustRightInd w:val="0"/>
              <w:spacing w:line="290" w:lineRule="auto"/>
              <w:jc w:val="center"/>
              <w:rPr>
                <w:sz w:val="15"/>
                <w:szCs w:val="15"/>
              </w:rPr>
            </w:pPr>
            <w:r w:rsidRPr="00E65655">
              <w:rPr>
                <w:sz w:val="15"/>
                <w:szCs w:val="15"/>
              </w:rPr>
              <w:t>=</w:t>
            </w:r>
          </w:p>
        </w:tc>
        <w:tc>
          <w:tcPr>
            <w:tcW w:w="540" w:type="dxa"/>
            <w:tcBorders>
              <w:bottom w:val="single" w:sz="4" w:space="0" w:color="auto"/>
              <w:right w:val="nil"/>
            </w:tcBorders>
          </w:tcPr>
          <w:p w14:paraId="13EC2023" w14:textId="77777777" w:rsidR="00EF1E04" w:rsidRPr="00E65655" w:rsidRDefault="00EF1E04" w:rsidP="00960404">
            <w:pPr>
              <w:autoSpaceDE w:val="0"/>
              <w:autoSpaceDN w:val="0"/>
              <w:adjustRightInd w:val="0"/>
              <w:spacing w:line="290" w:lineRule="auto"/>
              <w:rPr>
                <w:sz w:val="15"/>
                <w:szCs w:val="15"/>
              </w:rPr>
            </w:pPr>
          </w:p>
        </w:tc>
        <w:tc>
          <w:tcPr>
            <w:tcW w:w="7380" w:type="dxa"/>
            <w:gridSpan w:val="2"/>
            <w:tcBorders>
              <w:left w:val="nil"/>
              <w:bottom w:val="single" w:sz="4" w:space="0" w:color="auto"/>
            </w:tcBorders>
          </w:tcPr>
          <w:p w14:paraId="6499963C" w14:textId="77777777" w:rsidR="00EF1E04" w:rsidRPr="00E65655" w:rsidRDefault="00191623" w:rsidP="00960404">
            <w:pPr>
              <w:autoSpaceDE w:val="0"/>
              <w:autoSpaceDN w:val="0"/>
              <w:adjustRightInd w:val="0"/>
              <w:spacing w:line="290" w:lineRule="auto"/>
              <w:jc w:val="center"/>
              <w:rPr>
                <w:b/>
                <w:color w:val="FF0000"/>
                <w:sz w:val="15"/>
                <w:szCs w:val="15"/>
              </w:rPr>
            </w:pPr>
            <w:r w:rsidRPr="00E65655">
              <w:rPr>
                <w:b/>
                <w:color w:val="FF0000"/>
                <w:sz w:val="15"/>
                <w:szCs w:val="15"/>
              </w:rPr>
              <w:t>Daily Management Fee Adjustment</w:t>
            </w:r>
          </w:p>
        </w:tc>
      </w:tr>
      <w:tr w:rsidR="00EF1E04" w:rsidRPr="00E65655" w14:paraId="4F61EBD8" w14:textId="77777777" w:rsidTr="00960404">
        <w:tc>
          <w:tcPr>
            <w:tcW w:w="1188" w:type="dxa"/>
            <w:vMerge/>
            <w:tcBorders>
              <w:bottom w:val="single" w:sz="4" w:space="0" w:color="auto"/>
            </w:tcBorders>
          </w:tcPr>
          <w:p w14:paraId="7DBFD870" w14:textId="77777777" w:rsidR="00EF1E04" w:rsidRPr="00E65655" w:rsidRDefault="00EF1E04" w:rsidP="00960404">
            <w:pPr>
              <w:autoSpaceDE w:val="0"/>
              <w:autoSpaceDN w:val="0"/>
              <w:adjustRightInd w:val="0"/>
              <w:spacing w:line="290" w:lineRule="auto"/>
              <w:rPr>
                <w:sz w:val="15"/>
                <w:szCs w:val="15"/>
              </w:rPr>
            </w:pPr>
          </w:p>
        </w:tc>
        <w:tc>
          <w:tcPr>
            <w:tcW w:w="360" w:type="dxa"/>
            <w:vMerge/>
            <w:tcBorders>
              <w:bottom w:val="nil"/>
            </w:tcBorders>
          </w:tcPr>
          <w:p w14:paraId="43DF4995" w14:textId="77777777" w:rsidR="00EF1E04" w:rsidRPr="00E65655" w:rsidRDefault="00EF1E04" w:rsidP="00960404">
            <w:pPr>
              <w:autoSpaceDE w:val="0"/>
              <w:autoSpaceDN w:val="0"/>
              <w:adjustRightInd w:val="0"/>
              <w:spacing w:line="290" w:lineRule="auto"/>
              <w:rPr>
                <w:sz w:val="15"/>
                <w:szCs w:val="15"/>
              </w:rPr>
            </w:pPr>
          </w:p>
        </w:tc>
        <w:tc>
          <w:tcPr>
            <w:tcW w:w="540" w:type="dxa"/>
            <w:tcBorders>
              <w:top w:val="single" w:sz="4" w:space="0" w:color="auto"/>
              <w:bottom w:val="single" w:sz="4" w:space="0" w:color="auto"/>
              <w:right w:val="nil"/>
            </w:tcBorders>
          </w:tcPr>
          <w:p w14:paraId="6816AD92" w14:textId="77777777" w:rsidR="00EF1E04" w:rsidRPr="00E65655" w:rsidRDefault="00EF1E04" w:rsidP="00960404">
            <w:pPr>
              <w:autoSpaceDE w:val="0"/>
              <w:autoSpaceDN w:val="0"/>
              <w:adjustRightInd w:val="0"/>
              <w:spacing w:line="290" w:lineRule="auto"/>
              <w:rPr>
                <w:sz w:val="15"/>
                <w:szCs w:val="15"/>
              </w:rPr>
            </w:pPr>
          </w:p>
        </w:tc>
        <w:tc>
          <w:tcPr>
            <w:tcW w:w="6930" w:type="dxa"/>
            <w:tcBorders>
              <w:top w:val="single" w:sz="4" w:space="0" w:color="auto"/>
              <w:left w:val="nil"/>
              <w:bottom w:val="single" w:sz="4" w:space="0" w:color="auto"/>
              <w:right w:val="nil"/>
            </w:tcBorders>
            <w:vAlign w:val="center"/>
          </w:tcPr>
          <w:p w14:paraId="490DAF14" w14:textId="77777777" w:rsidR="00EF1E04" w:rsidRPr="00E65655" w:rsidRDefault="00EF1E04" w:rsidP="00960404">
            <w:pPr>
              <w:autoSpaceDE w:val="0"/>
              <w:autoSpaceDN w:val="0"/>
              <w:adjustRightInd w:val="0"/>
              <w:spacing w:line="290" w:lineRule="auto"/>
              <w:jc w:val="center"/>
              <w:rPr>
                <w:sz w:val="15"/>
                <w:szCs w:val="15"/>
              </w:rPr>
            </w:pPr>
            <w:r w:rsidRPr="00E65655">
              <w:rPr>
                <w:sz w:val="15"/>
                <w:szCs w:val="15"/>
              </w:rPr>
              <w:t>1 – Management Fee x ACT (t-</w:t>
            </w:r>
            <w:proofErr w:type="gramStart"/>
            <w:r w:rsidRPr="00E65655">
              <w:rPr>
                <w:sz w:val="15"/>
                <w:szCs w:val="15"/>
              </w:rPr>
              <w:t>1;t</w:t>
            </w:r>
            <w:proofErr w:type="gramEnd"/>
            <w:r w:rsidRPr="00E65655">
              <w:rPr>
                <w:sz w:val="15"/>
                <w:szCs w:val="15"/>
              </w:rPr>
              <w:t>) / 360</w:t>
            </w:r>
          </w:p>
        </w:tc>
        <w:tc>
          <w:tcPr>
            <w:tcW w:w="450" w:type="dxa"/>
            <w:tcBorders>
              <w:top w:val="single" w:sz="4" w:space="0" w:color="auto"/>
              <w:left w:val="nil"/>
              <w:bottom w:val="single" w:sz="4" w:space="0" w:color="auto"/>
            </w:tcBorders>
          </w:tcPr>
          <w:p w14:paraId="2D026177" w14:textId="77777777" w:rsidR="00EF1E04" w:rsidRPr="00E65655" w:rsidRDefault="00EF1E04" w:rsidP="00960404">
            <w:pPr>
              <w:autoSpaceDE w:val="0"/>
              <w:autoSpaceDN w:val="0"/>
              <w:adjustRightInd w:val="0"/>
              <w:spacing w:line="290" w:lineRule="auto"/>
              <w:rPr>
                <w:sz w:val="15"/>
                <w:szCs w:val="15"/>
              </w:rPr>
            </w:pPr>
          </w:p>
        </w:tc>
      </w:tr>
      <w:tr w:rsidR="00EF1E04" w:rsidRPr="00E65655" w14:paraId="7CA48106" w14:textId="77777777" w:rsidTr="00960404">
        <w:tc>
          <w:tcPr>
            <w:tcW w:w="1188" w:type="dxa"/>
            <w:vMerge/>
            <w:tcBorders>
              <w:bottom w:val="single" w:sz="4" w:space="0" w:color="auto"/>
            </w:tcBorders>
          </w:tcPr>
          <w:p w14:paraId="7AA1A098" w14:textId="77777777" w:rsidR="00EF1E04" w:rsidRPr="00E65655" w:rsidRDefault="00EF1E04" w:rsidP="00960404">
            <w:pPr>
              <w:autoSpaceDE w:val="0"/>
              <w:autoSpaceDN w:val="0"/>
              <w:adjustRightInd w:val="0"/>
              <w:spacing w:line="290" w:lineRule="auto"/>
              <w:rPr>
                <w:sz w:val="15"/>
                <w:szCs w:val="15"/>
              </w:rPr>
            </w:pPr>
          </w:p>
        </w:tc>
        <w:tc>
          <w:tcPr>
            <w:tcW w:w="360" w:type="dxa"/>
            <w:vMerge/>
            <w:tcBorders>
              <w:bottom w:val="nil"/>
              <w:right w:val="nil"/>
            </w:tcBorders>
          </w:tcPr>
          <w:p w14:paraId="259AF356" w14:textId="77777777" w:rsidR="00EF1E04" w:rsidRPr="00E65655" w:rsidRDefault="00EF1E04" w:rsidP="00960404">
            <w:pPr>
              <w:autoSpaceDE w:val="0"/>
              <w:autoSpaceDN w:val="0"/>
              <w:adjustRightInd w:val="0"/>
              <w:spacing w:line="290" w:lineRule="auto"/>
              <w:rPr>
                <w:sz w:val="15"/>
                <w:szCs w:val="15"/>
              </w:rPr>
            </w:pPr>
          </w:p>
        </w:tc>
        <w:tc>
          <w:tcPr>
            <w:tcW w:w="7920" w:type="dxa"/>
            <w:gridSpan w:val="3"/>
            <w:tcBorders>
              <w:left w:val="nil"/>
              <w:right w:val="nil"/>
            </w:tcBorders>
            <w:vAlign w:val="center"/>
          </w:tcPr>
          <w:p w14:paraId="4475F77E" w14:textId="77777777" w:rsidR="00EF1E04" w:rsidRPr="00E65655" w:rsidRDefault="00EF1E04" w:rsidP="00960404">
            <w:pPr>
              <w:autoSpaceDE w:val="0"/>
              <w:autoSpaceDN w:val="0"/>
              <w:adjustRightInd w:val="0"/>
              <w:spacing w:line="290" w:lineRule="auto"/>
              <w:jc w:val="center"/>
              <w:rPr>
                <w:sz w:val="15"/>
                <w:szCs w:val="15"/>
              </w:rPr>
            </w:pPr>
            <w:r w:rsidRPr="00E65655">
              <w:rPr>
                <w:sz w:val="15"/>
                <w:szCs w:val="15"/>
              </w:rPr>
              <w:t>x</w:t>
            </w:r>
          </w:p>
        </w:tc>
      </w:tr>
      <w:tr w:rsidR="00EF1E04" w:rsidRPr="00E65655" w14:paraId="0EB85A92" w14:textId="77777777" w:rsidTr="00960404">
        <w:tc>
          <w:tcPr>
            <w:tcW w:w="1188" w:type="dxa"/>
            <w:vMerge/>
            <w:tcBorders>
              <w:bottom w:val="single" w:sz="4" w:space="0" w:color="auto"/>
            </w:tcBorders>
          </w:tcPr>
          <w:p w14:paraId="4DF6C4BB" w14:textId="77777777" w:rsidR="00EF1E04" w:rsidRPr="00E65655" w:rsidRDefault="00EF1E04" w:rsidP="00960404">
            <w:pPr>
              <w:autoSpaceDE w:val="0"/>
              <w:autoSpaceDN w:val="0"/>
              <w:adjustRightInd w:val="0"/>
              <w:spacing w:line="290" w:lineRule="auto"/>
              <w:rPr>
                <w:sz w:val="15"/>
                <w:szCs w:val="15"/>
              </w:rPr>
            </w:pPr>
          </w:p>
        </w:tc>
        <w:tc>
          <w:tcPr>
            <w:tcW w:w="360" w:type="dxa"/>
            <w:vMerge/>
            <w:tcBorders>
              <w:bottom w:val="nil"/>
            </w:tcBorders>
          </w:tcPr>
          <w:p w14:paraId="0EE61606" w14:textId="77777777" w:rsidR="00EF1E04" w:rsidRPr="00E65655" w:rsidRDefault="00EF1E04" w:rsidP="00960404">
            <w:pPr>
              <w:autoSpaceDE w:val="0"/>
              <w:autoSpaceDN w:val="0"/>
              <w:adjustRightInd w:val="0"/>
              <w:spacing w:line="290" w:lineRule="auto"/>
              <w:rPr>
                <w:sz w:val="15"/>
                <w:szCs w:val="15"/>
              </w:rPr>
            </w:pPr>
          </w:p>
        </w:tc>
        <w:tc>
          <w:tcPr>
            <w:tcW w:w="540" w:type="dxa"/>
            <w:tcBorders>
              <w:bottom w:val="single" w:sz="4" w:space="0" w:color="auto"/>
              <w:right w:val="nil"/>
            </w:tcBorders>
          </w:tcPr>
          <w:p w14:paraId="2BE7A0B9" w14:textId="77777777" w:rsidR="00EF1E04" w:rsidRPr="00E65655" w:rsidRDefault="00EF1E04" w:rsidP="00960404">
            <w:pPr>
              <w:autoSpaceDE w:val="0"/>
              <w:autoSpaceDN w:val="0"/>
              <w:adjustRightInd w:val="0"/>
              <w:spacing w:line="290" w:lineRule="auto"/>
              <w:rPr>
                <w:sz w:val="15"/>
                <w:szCs w:val="15"/>
              </w:rPr>
            </w:pPr>
          </w:p>
        </w:tc>
        <w:tc>
          <w:tcPr>
            <w:tcW w:w="6930" w:type="dxa"/>
            <w:tcBorders>
              <w:left w:val="nil"/>
              <w:right w:val="nil"/>
            </w:tcBorders>
            <w:vAlign w:val="center"/>
          </w:tcPr>
          <w:p w14:paraId="700DAA0D" w14:textId="77777777" w:rsidR="00EF1E04" w:rsidRPr="00E65655" w:rsidRDefault="00191623" w:rsidP="00960404">
            <w:pPr>
              <w:autoSpaceDE w:val="0"/>
              <w:autoSpaceDN w:val="0"/>
              <w:adjustRightInd w:val="0"/>
              <w:spacing w:line="290" w:lineRule="auto"/>
              <w:jc w:val="center"/>
              <w:rPr>
                <w:b/>
                <w:color w:val="FF0000"/>
                <w:sz w:val="15"/>
                <w:szCs w:val="15"/>
              </w:rPr>
            </w:pPr>
            <w:r w:rsidRPr="00E65655">
              <w:rPr>
                <w:b/>
                <w:color w:val="FF0000"/>
                <w:sz w:val="15"/>
                <w:szCs w:val="15"/>
              </w:rPr>
              <w:t>Daily Gap Premium Adjustment</w:t>
            </w:r>
          </w:p>
        </w:tc>
        <w:tc>
          <w:tcPr>
            <w:tcW w:w="450" w:type="dxa"/>
            <w:tcBorders>
              <w:left w:val="nil"/>
              <w:bottom w:val="single" w:sz="4" w:space="0" w:color="auto"/>
            </w:tcBorders>
          </w:tcPr>
          <w:p w14:paraId="5741B48D" w14:textId="77777777" w:rsidR="00EF1E04" w:rsidRPr="00E65655" w:rsidRDefault="00EF1E04" w:rsidP="00960404">
            <w:pPr>
              <w:autoSpaceDE w:val="0"/>
              <w:autoSpaceDN w:val="0"/>
              <w:adjustRightInd w:val="0"/>
              <w:spacing w:line="290" w:lineRule="auto"/>
              <w:rPr>
                <w:b/>
                <w:color w:val="FF0000"/>
                <w:sz w:val="15"/>
                <w:szCs w:val="15"/>
              </w:rPr>
            </w:pPr>
          </w:p>
        </w:tc>
      </w:tr>
      <w:tr w:rsidR="00EF1E04" w:rsidRPr="00E65655" w14:paraId="3387276A" w14:textId="77777777" w:rsidTr="00960404">
        <w:tc>
          <w:tcPr>
            <w:tcW w:w="1188" w:type="dxa"/>
            <w:vMerge/>
            <w:tcBorders>
              <w:bottom w:val="single" w:sz="4" w:space="0" w:color="auto"/>
            </w:tcBorders>
          </w:tcPr>
          <w:p w14:paraId="5177423E" w14:textId="77777777" w:rsidR="00EF1E04" w:rsidRPr="00E65655" w:rsidRDefault="00EF1E04" w:rsidP="00960404">
            <w:pPr>
              <w:autoSpaceDE w:val="0"/>
              <w:autoSpaceDN w:val="0"/>
              <w:adjustRightInd w:val="0"/>
              <w:spacing w:line="290" w:lineRule="auto"/>
              <w:rPr>
                <w:sz w:val="15"/>
                <w:szCs w:val="15"/>
              </w:rPr>
            </w:pPr>
          </w:p>
        </w:tc>
        <w:tc>
          <w:tcPr>
            <w:tcW w:w="360" w:type="dxa"/>
            <w:vMerge/>
            <w:tcBorders>
              <w:bottom w:val="nil"/>
            </w:tcBorders>
          </w:tcPr>
          <w:p w14:paraId="67352EFF" w14:textId="77777777" w:rsidR="00EF1E04" w:rsidRPr="00E65655" w:rsidRDefault="00EF1E04" w:rsidP="00960404">
            <w:pPr>
              <w:autoSpaceDE w:val="0"/>
              <w:autoSpaceDN w:val="0"/>
              <w:adjustRightInd w:val="0"/>
              <w:spacing w:line="290" w:lineRule="auto"/>
              <w:rPr>
                <w:sz w:val="15"/>
                <w:szCs w:val="15"/>
              </w:rPr>
            </w:pPr>
          </w:p>
        </w:tc>
        <w:tc>
          <w:tcPr>
            <w:tcW w:w="540" w:type="dxa"/>
            <w:tcBorders>
              <w:top w:val="single" w:sz="4" w:space="0" w:color="auto"/>
              <w:right w:val="nil"/>
            </w:tcBorders>
          </w:tcPr>
          <w:p w14:paraId="7E58CABE" w14:textId="77777777" w:rsidR="00EF1E04" w:rsidRPr="00E65655" w:rsidRDefault="00EF1E04" w:rsidP="00960404">
            <w:pPr>
              <w:autoSpaceDE w:val="0"/>
              <w:autoSpaceDN w:val="0"/>
              <w:adjustRightInd w:val="0"/>
              <w:spacing w:line="290" w:lineRule="auto"/>
              <w:rPr>
                <w:sz w:val="15"/>
                <w:szCs w:val="15"/>
              </w:rPr>
            </w:pPr>
          </w:p>
        </w:tc>
        <w:tc>
          <w:tcPr>
            <w:tcW w:w="6930" w:type="dxa"/>
            <w:tcBorders>
              <w:left w:val="nil"/>
              <w:right w:val="nil"/>
            </w:tcBorders>
            <w:vAlign w:val="center"/>
          </w:tcPr>
          <w:p w14:paraId="2F66E09F" w14:textId="77777777" w:rsidR="00EF1E04" w:rsidRPr="00E65655" w:rsidRDefault="00EF1E04" w:rsidP="00960404">
            <w:pPr>
              <w:autoSpaceDE w:val="0"/>
              <w:autoSpaceDN w:val="0"/>
              <w:adjustRightInd w:val="0"/>
              <w:spacing w:line="290" w:lineRule="auto"/>
              <w:jc w:val="center"/>
              <w:rPr>
                <w:sz w:val="15"/>
                <w:szCs w:val="15"/>
                <w:lang w:val="fr-FR"/>
              </w:rPr>
            </w:pPr>
            <w:r w:rsidRPr="00E65655">
              <w:rPr>
                <w:sz w:val="15"/>
                <w:szCs w:val="15"/>
                <w:lang w:val="fr-FR"/>
              </w:rPr>
              <w:t>1 – Gap Premium (t-1) x ACT (t-</w:t>
            </w:r>
            <w:proofErr w:type="gramStart"/>
            <w:r w:rsidRPr="00E65655">
              <w:rPr>
                <w:sz w:val="15"/>
                <w:szCs w:val="15"/>
                <w:lang w:val="fr-FR"/>
              </w:rPr>
              <w:t>1;t</w:t>
            </w:r>
            <w:proofErr w:type="gramEnd"/>
            <w:r w:rsidRPr="00E65655">
              <w:rPr>
                <w:sz w:val="15"/>
                <w:szCs w:val="15"/>
                <w:lang w:val="fr-FR"/>
              </w:rPr>
              <w:t>) / 360</w:t>
            </w:r>
          </w:p>
        </w:tc>
        <w:tc>
          <w:tcPr>
            <w:tcW w:w="450" w:type="dxa"/>
            <w:tcBorders>
              <w:top w:val="nil"/>
              <w:left w:val="nil"/>
            </w:tcBorders>
          </w:tcPr>
          <w:p w14:paraId="18C40882" w14:textId="77777777" w:rsidR="00EF1E04" w:rsidRPr="00E65655" w:rsidRDefault="00EF1E04" w:rsidP="00960404">
            <w:pPr>
              <w:autoSpaceDE w:val="0"/>
              <w:autoSpaceDN w:val="0"/>
              <w:adjustRightInd w:val="0"/>
              <w:spacing w:line="290" w:lineRule="auto"/>
              <w:rPr>
                <w:sz w:val="15"/>
                <w:szCs w:val="15"/>
                <w:lang w:val="fr-FR"/>
              </w:rPr>
            </w:pPr>
          </w:p>
        </w:tc>
      </w:tr>
    </w:tbl>
    <w:p w14:paraId="62FFCC39" w14:textId="77777777" w:rsidR="00EF1E04" w:rsidRPr="00E65655" w:rsidRDefault="00EF1E04" w:rsidP="008D03F8">
      <w:pPr>
        <w:spacing w:after="140" w:line="290" w:lineRule="auto"/>
        <w:rPr>
          <w:rFonts w:cs="Arial"/>
          <w:b/>
          <w:szCs w:val="20"/>
          <w:lang w:val="fr-FR" w:eastAsia="zh-CN"/>
        </w:rPr>
      </w:pPr>
    </w:p>
    <w:p w14:paraId="0A4A81D3" w14:textId="77777777" w:rsidR="00E70B56" w:rsidRPr="00E65655" w:rsidRDefault="004B77B8" w:rsidP="008D03F8">
      <w:pPr>
        <w:spacing w:after="140" w:line="290" w:lineRule="auto"/>
        <w:rPr>
          <w:rFonts w:cs="Arial"/>
          <w:b/>
          <w:szCs w:val="20"/>
          <w:lang w:val="en-US" w:eastAsia="zh-CN"/>
        </w:rPr>
      </w:pPr>
      <w:r w:rsidRPr="00E65655">
        <w:rPr>
          <w:rFonts w:cs="Arial"/>
          <w:b/>
          <w:szCs w:val="20"/>
          <w:lang w:val="en-US" w:eastAsia="zh-CN"/>
        </w:rPr>
        <w:t>Illustration of the Calculation of Cash Settlement Amount</w:t>
      </w:r>
    </w:p>
    <w:p w14:paraId="67632A55" w14:textId="77777777" w:rsidR="008D03F8" w:rsidRPr="00E65655" w:rsidRDefault="00015B08" w:rsidP="00403387">
      <w:pPr>
        <w:autoSpaceDE w:val="0"/>
        <w:autoSpaceDN w:val="0"/>
        <w:adjustRightInd w:val="0"/>
        <w:spacing w:after="140" w:line="290" w:lineRule="auto"/>
        <w:rPr>
          <w:sz w:val="16"/>
          <w:szCs w:val="16"/>
        </w:rPr>
      </w:pPr>
      <w:r w:rsidRPr="00E65655">
        <w:t xml:space="preserve">Cash Settlement Amount = Final </w:t>
      </w:r>
      <w:r w:rsidRPr="00E65655">
        <w:rPr>
          <w:rFonts w:hint="eastAsia"/>
          <w:lang w:eastAsia="zh-CN"/>
        </w:rPr>
        <w:t>V</w:t>
      </w:r>
      <w:r w:rsidR="004B77B8" w:rsidRPr="00E65655">
        <w:t>alue of Certificates – Strike Level (zero)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70"/>
        <w:gridCol w:w="810"/>
        <w:gridCol w:w="270"/>
        <w:gridCol w:w="1188"/>
        <w:gridCol w:w="270"/>
        <w:gridCol w:w="702"/>
        <w:gridCol w:w="270"/>
        <w:gridCol w:w="1080"/>
        <w:gridCol w:w="270"/>
        <w:gridCol w:w="648"/>
        <w:gridCol w:w="720"/>
        <w:gridCol w:w="1080"/>
        <w:gridCol w:w="270"/>
        <w:gridCol w:w="630"/>
      </w:tblGrid>
      <w:tr w:rsidR="008040ED" w:rsidRPr="00E65655" w14:paraId="2FCFB221" w14:textId="77777777" w:rsidTr="00CE3831">
        <w:tc>
          <w:tcPr>
            <w:tcW w:w="990" w:type="dxa"/>
            <w:vMerge w:val="restart"/>
            <w:vAlign w:val="center"/>
          </w:tcPr>
          <w:p w14:paraId="625BDEEF"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Value of Certificates</w:t>
            </w:r>
          </w:p>
        </w:tc>
        <w:tc>
          <w:tcPr>
            <w:tcW w:w="270" w:type="dxa"/>
            <w:vMerge w:val="restart"/>
            <w:tcBorders>
              <w:top w:val="nil"/>
              <w:bottom w:val="nil"/>
            </w:tcBorders>
            <w:vAlign w:val="center"/>
          </w:tcPr>
          <w:p w14:paraId="798471C7" w14:textId="77777777" w:rsidR="00D03B10" w:rsidRPr="00E65655" w:rsidRDefault="00D03B10" w:rsidP="00252F5E">
            <w:pPr>
              <w:autoSpaceDE w:val="0"/>
              <w:autoSpaceDN w:val="0"/>
              <w:adjustRightInd w:val="0"/>
              <w:spacing w:line="290" w:lineRule="auto"/>
              <w:jc w:val="both"/>
              <w:rPr>
                <w:sz w:val="15"/>
                <w:szCs w:val="15"/>
              </w:rPr>
            </w:pPr>
            <w:r w:rsidRPr="00E65655">
              <w:rPr>
                <w:sz w:val="15"/>
                <w:szCs w:val="15"/>
              </w:rPr>
              <w:t>=</w:t>
            </w:r>
          </w:p>
        </w:tc>
        <w:tc>
          <w:tcPr>
            <w:tcW w:w="810" w:type="dxa"/>
            <w:vAlign w:val="center"/>
          </w:tcPr>
          <w:p w14:paraId="690DE244"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t</w:t>
            </w:r>
            <w:r w:rsidR="002F2CB1" w:rsidRPr="00E65655">
              <w:rPr>
                <w:rStyle w:val="FootnoteReference"/>
                <w:sz w:val="15"/>
                <w:szCs w:val="15"/>
              </w:rPr>
              <w:footnoteReference w:id="7"/>
            </w:r>
            <w:r w:rsidRPr="00E65655">
              <w:rPr>
                <w:sz w:val="15"/>
                <w:szCs w:val="15"/>
              </w:rPr>
              <w:t>=0</w:t>
            </w:r>
          </w:p>
        </w:tc>
        <w:tc>
          <w:tcPr>
            <w:tcW w:w="270" w:type="dxa"/>
            <w:vMerge w:val="restart"/>
            <w:tcBorders>
              <w:top w:val="nil"/>
              <w:bottom w:val="nil"/>
            </w:tcBorders>
            <w:vAlign w:val="center"/>
          </w:tcPr>
          <w:p w14:paraId="54AE3806"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x</w:t>
            </w:r>
          </w:p>
        </w:tc>
        <w:tc>
          <w:tcPr>
            <w:tcW w:w="2160" w:type="dxa"/>
            <w:gridSpan w:val="3"/>
            <w:tcBorders>
              <w:bottom w:val="nil"/>
            </w:tcBorders>
            <w:vAlign w:val="center"/>
          </w:tcPr>
          <w:p w14:paraId="3AA8188B"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t=1</w:t>
            </w:r>
          </w:p>
        </w:tc>
        <w:tc>
          <w:tcPr>
            <w:tcW w:w="270" w:type="dxa"/>
            <w:vMerge w:val="restart"/>
            <w:tcBorders>
              <w:top w:val="nil"/>
              <w:bottom w:val="nil"/>
            </w:tcBorders>
            <w:vAlign w:val="center"/>
          </w:tcPr>
          <w:p w14:paraId="5DC26895"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x</w:t>
            </w:r>
          </w:p>
        </w:tc>
        <w:tc>
          <w:tcPr>
            <w:tcW w:w="1998" w:type="dxa"/>
            <w:gridSpan w:val="3"/>
            <w:tcBorders>
              <w:bottom w:val="nil"/>
            </w:tcBorders>
            <w:vAlign w:val="center"/>
          </w:tcPr>
          <w:p w14:paraId="0632FF0A"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t=2</w:t>
            </w:r>
          </w:p>
        </w:tc>
        <w:tc>
          <w:tcPr>
            <w:tcW w:w="720" w:type="dxa"/>
            <w:vMerge w:val="restart"/>
            <w:tcBorders>
              <w:top w:val="nil"/>
              <w:bottom w:val="nil"/>
            </w:tcBorders>
            <w:vAlign w:val="center"/>
          </w:tcPr>
          <w:p w14:paraId="6D6ECD1D"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x</w:t>
            </w:r>
            <w:r w:rsidR="00207167" w:rsidRPr="00E65655">
              <w:rPr>
                <w:sz w:val="15"/>
                <w:szCs w:val="15"/>
              </w:rPr>
              <w:t xml:space="preserve"> …</w:t>
            </w:r>
          </w:p>
        </w:tc>
        <w:tc>
          <w:tcPr>
            <w:tcW w:w="1980" w:type="dxa"/>
            <w:gridSpan w:val="3"/>
            <w:tcBorders>
              <w:bottom w:val="nil"/>
            </w:tcBorders>
            <w:vAlign w:val="center"/>
          </w:tcPr>
          <w:p w14:paraId="4EBFD15D"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t=</w:t>
            </w:r>
            <w:r w:rsidR="002F2CB1" w:rsidRPr="00E65655">
              <w:rPr>
                <w:sz w:val="15"/>
                <w:szCs w:val="15"/>
              </w:rPr>
              <w:t>i</w:t>
            </w:r>
          </w:p>
        </w:tc>
      </w:tr>
      <w:tr w:rsidR="00AF4D09" w:rsidRPr="00E65655" w14:paraId="016D45C2" w14:textId="77777777" w:rsidTr="00207167">
        <w:tc>
          <w:tcPr>
            <w:tcW w:w="990" w:type="dxa"/>
            <w:vMerge/>
          </w:tcPr>
          <w:p w14:paraId="4DF1718E" w14:textId="77777777" w:rsidR="00D03B10" w:rsidRPr="00E65655" w:rsidRDefault="00D03B10" w:rsidP="00252F5E">
            <w:pPr>
              <w:autoSpaceDE w:val="0"/>
              <w:autoSpaceDN w:val="0"/>
              <w:adjustRightInd w:val="0"/>
              <w:spacing w:line="290" w:lineRule="auto"/>
              <w:rPr>
                <w:sz w:val="15"/>
                <w:szCs w:val="15"/>
              </w:rPr>
            </w:pPr>
          </w:p>
        </w:tc>
        <w:tc>
          <w:tcPr>
            <w:tcW w:w="270" w:type="dxa"/>
            <w:vMerge/>
            <w:tcBorders>
              <w:bottom w:val="nil"/>
            </w:tcBorders>
          </w:tcPr>
          <w:p w14:paraId="429E3F0F" w14:textId="77777777" w:rsidR="00D03B10" w:rsidRPr="00E65655" w:rsidRDefault="00D03B10" w:rsidP="00252F5E">
            <w:pPr>
              <w:autoSpaceDE w:val="0"/>
              <w:autoSpaceDN w:val="0"/>
              <w:adjustRightInd w:val="0"/>
              <w:spacing w:line="290" w:lineRule="auto"/>
              <w:rPr>
                <w:sz w:val="15"/>
                <w:szCs w:val="15"/>
              </w:rPr>
            </w:pPr>
          </w:p>
        </w:tc>
        <w:tc>
          <w:tcPr>
            <w:tcW w:w="810" w:type="dxa"/>
            <w:vAlign w:val="center"/>
          </w:tcPr>
          <w:p w14:paraId="4BE6008F" w14:textId="77777777" w:rsidR="00D03B10" w:rsidRPr="00E65655" w:rsidRDefault="00D03B10" w:rsidP="00122341">
            <w:pPr>
              <w:autoSpaceDE w:val="0"/>
              <w:autoSpaceDN w:val="0"/>
              <w:adjustRightInd w:val="0"/>
              <w:spacing w:line="290" w:lineRule="auto"/>
              <w:rPr>
                <w:sz w:val="15"/>
                <w:szCs w:val="15"/>
              </w:rPr>
            </w:pPr>
            <w:r w:rsidRPr="00E65655">
              <w:rPr>
                <w:sz w:val="15"/>
                <w:szCs w:val="15"/>
              </w:rPr>
              <w:t xml:space="preserve">Notional Amount </w:t>
            </w:r>
          </w:p>
        </w:tc>
        <w:tc>
          <w:tcPr>
            <w:tcW w:w="270" w:type="dxa"/>
            <w:vMerge/>
            <w:tcBorders>
              <w:bottom w:val="nil"/>
            </w:tcBorders>
          </w:tcPr>
          <w:p w14:paraId="51B04D2F" w14:textId="77777777" w:rsidR="00D03B10" w:rsidRPr="00E65655" w:rsidRDefault="00D03B10" w:rsidP="00252F5E">
            <w:pPr>
              <w:autoSpaceDE w:val="0"/>
              <w:autoSpaceDN w:val="0"/>
              <w:adjustRightInd w:val="0"/>
              <w:spacing w:line="290" w:lineRule="auto"/>
              <w:rPr>
                <w:sz w:val="15"/>
                <w:szCs w:val="15"/>
              </w:rPr>
            </w:pPr>
          </w:p>
        </w:tc>
        <w:tc>
          <w:tcPr>
            <w:tcW w:w="1188" w:type="dxa"/>
            <w:tcBorders>
              <w:top w:val="single" w:sz="4" w:space="0" w:color="auto"/>
              <w:right w:val="nil"/>
            </w:tcBorders>
            <w:vAlign w:val="center"/>
          </w:tcPr>
          <w:p w14:paraId="738DD8BE" w14:textId="77777777" w:rsidR="00D03B10" w:rsidRPr="00E65655" w:rsidRDefault="00122341" w:rsidP="007F664F">
            <w:pPr>
              <w:autoSpaceDE w:val="0"/>
              <w:autoSpaceDN w:val="0"/>
              <w:adjustRightInd w:val="0"/>
              <w:spacing w:line="290" w:lineRule="auto"/>
              <w:rPr>
                <w:sz w:val="15"/>
                <w:szCs w:val="15"/>
              </w:rPr>
            </w:pPr>
            <w:r w:rsidRPr="00E65655">
              <w:rPr>
                <w:sz w:val="15"/>
                <w:szCs w:val="15"/>
              </w:rPr>
              <w:t xml:space="preserve">Leverage </w:t>
            </w:r>
            <w:r w:rsidR="00851686" w:rsidRPr="00E65655">
              <w:rPr>
                <w:sz w:val="15"/>
                <w:szCs w:val="15"/>
              </w:rPr>
              <w:t xml:space="preserve">Inverse </w:t>
            </w:r>
            <w:r w:rsidR="00493255" w:rsidRPr="00E65655">
              <w:rPr>
                <w:sz w:val="15"/>
                <w:szCs w:val="15"/>
              </w:rPr>
              <w:t xml:space="preserve">Strategy </w:t>
            </w:r>
            <w:r w:rsidR="007F664F" w:rsidRPr="00E65655">
              <w:rPr>
                <w:sz w:val="15"/>
                <w:szCs w:val="15"/>
              </w:rPr>
              <w:t>daily performance</w:t>
            </w:r>
            <w:r w:rsidRPr="00E65655">
              <w:rPr>
                <w:rStyle w:val="FootnoteReference"/>
                <w:sz w:val="15"/>
                <w:szCs w:val="15"/>
              </w:rPr>
              <w:footnoteReference w:id="8"/>
            </w:r>
          </w:p>
        </w:tc>
        <w:tc>
          <w:tcPr>
            <w:tcW w:w="270" w:type="dxa"/>
            <w:tcBorders>
              <w:top w:val="single" w:sz="4" w:space="0" w:color="auto"/>
              <w:left w:val="nil"/>
              <w:right w:val="nil"/>
            </w:tcBorders>
            <w:vAlign w:val="center"/>
          </w:tcPr>
          <w:p w14:paraId="23C0D49B"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x</w:t>
            </w:r>
          </w:p>
        </w:tc>
        <w:tc>
          <w:tcPr>
            <w:tcW w:w="702" w:type="dxa"/>
            <w:tcBorders>
              <w:top w:val="single" w:sz="4" w:space="0" w:color="auto"/>
              <w:left w:val="nil"/>
            </w:tcBorders>
            <w:vAlign w:val="center"/>
          </w:tcPr>
          <w:p w14:paraId="37A90138" w14:textId="77777777" w:rsidR="00D03B10" w:rsidRPr="00E65655" w:rsidRDefault="002F2CB1" w:rsidP="00252F5E">
            <w:pPr>
              <w:autoSpaceDE w:val="0"/>
              <w:autoSpaceDN w:val="0"/>
              <w:adjustRightInd w:val="0"/>
              <w:spacing w:line="290" w:lineRule="auto"/>
              <w:jc w:val="center"/>
              <w:rPr>
                <w:sz w:val="15"/>
                <w:szCs w:val="15"/>
              </w:rPr>
            </w:pPr>
            <w:r w:rsidRPr="00E65655">
              <w:rPr>
                <w:sz w:val="15"/>
                <w:szCs w:val="15"/>
              </w:rPr>
              <w:t>Daily Fees</w:t>
            </w:r>
          </w:p>
        </w:tc>
        <w:tc>
          <w:tcPr>
            <w:tcW w:w="270" w:type="dxa"/>
            <w:vMerge/>
            <w:tcBorders>
              <w:bottom w:val="nil"/>
            </w:tcBorders>
          </w:tcPr>
          <w:p w14:paraId="69A0A30C" w14:textId="77777777" w:rsidR="00D03B10" w:rsidRPr="00E65655" w:rsidRDefault="00D03B10" w:rsidP="00252F5E">
            <w:pPr>
              <w:autoSpaceDE w:val="0"/>
              <w:autoSpaceDN w:val="0"/>
              <w:adjustRightInd w:val="0"/>
              <w:spacing w:line="290" w:lineRule="auto"/>
              <w:rPr>
                <w:sz w:val="15"/>
                <w:szCs w:val="15"/>
              </w:rPr>
            </w:pPr>
          </w:p>
        </w:tc>
        <w:tc>
          <w:tcPr>
            <w:tcW w:w="1080" w:type="dxa"/>
            <w:tcBorders>
              <w:top w:val="single" w:sz="4" w:space="0" w:color="auto"/>
              <w:right w:val="nil"/>
            </w:tcBorders>
            <w:vAlign w:val="center"/>
          </w:tcPr>
          <w:p w14:paraId="529BFE2B" w14:textId="77777777" w:rsidR="00D03B10" w:rsidRPr="00E65655" w:rsidRDefault="00122341" w:rsidP="007F664F">
            <w:pPr>
              <w:autoSpaceDE w:val="0"/>
              <w:autoSpaceDN w:val="0"/>
              <w:adjustRightInd w:val="0"/>
              <w:spacing w:line="290" w:lineRule="auto"/>
              <w:rPr>
                <w:sz w:val="15"/>
                <w:szCs w:val="15"/>
              </w:rPr>
            </w:pPr>
            <w:r w:rsidRPr="00E65655">
              <w:rPr>
                <w:sz w:val="15"/>
                <w:szCs w:val="15"/>
              </w:rPr>
              <w:t xml:space="preserve">Leverage </w:t>
            </w:r>
            <w:r w:rsidR="00851686" w:rsidRPr="00E65655">
              <w:rPr>
                <w:sz w:val="15"/>
                <w:szCs w:val="15"/>
              </w:rPr>
              <w:t xml:space="preserve">Inverse </w:t>
            </w:r>
            <w:r w:rsidR="00493255" w:rsidRPr="00E65655">
              <w:rPr>
                <w:sz w:val="15"/>
                <w:szCs w:val="15"/>
              </w:rPr>
              <w:t xml:space="preserve">Strategy </w:t>
            </w:r>
            <w:r w:rsidR="007F664F" w:rsidRPr="00E65655">
              <w:rPr>
                <w:sz w:val="15"/>
                <w:szCs w:val="15"/>
              </w:rPr>
              <w:t>daily performance</w:t>
            </w:r>
          </w:p>
        </w:tc>
        <w:tc>
          <w:tcPr>
            <w:tcW w:w="270" w:type="dxa"/>
            <w:tcBorders>
              <w:top w:val="single" w:sz="4" w:space="0" w:color="auto"/>
              <w:left w:val="nil"/>
              <w:right w:val="nil"/>
            </w:tcBorders>
            <w:vAlign w:val="center"/>
          </w:tcPr>
          <w:p w14:paraId="4572864C"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x</w:t>
            </w:r>
          </w:p>
        </w:tc>
        <w:tc>
          <w:tcPr>
            <w:tcW w:w="648" w:type="dxa"/>
            <w:tcBorders>
              <w:top w:val="single" w:sz="4" w:space="0" w:color="auto"/>
              <w:left w:val="nil"/>
            </w:tcBorders>
            <w:vAlign w:val="center"/>
          </w:tcPr>
          <w:p w14:paraId="5596E0CF" w14:textId="77777777" w:rsidR="00D03B10" w:rsidRPr="00E65655" w:rsidRDefault="002F2CB1" w:rsidP="00252F5E">
            <w:pPr>
              <w:autoSpaceDE w:val="0"/>
              <w:autoSpaceDN w:val="0"/>
              <w:adjustRightInd w:val="0"/>
              <w:spacing w:line="290" w:lineRule="auto"/>
              <w:jc w:val="center"/>
              <w:rPr>
                <w:sz w:val="15"/>
                <w:szCs w:val="15"/>
              </w:rPr>
            </w:pPr>
            <w:r w:rsidRPr="00E65655">
              <w:rPr>
                <w:sz w:val="15"/>
                <w:szCs w:val="15"/>
              </w:rPr>
              <w:t>Daily Fees</w:t>
            </w:r>
          </w:p>
        </w:tc>
        <w:tc>
          <w:tcPr>
            <w:tcW w:w="720" w:type="dxa"/>
            <w:vMerge/>
            <w:tcBorders>
              <w:bottom w:val="nil"/>
            </w:tcBorders>
          </w:tcPr>
          <w:p w14:paraId="183B3ED1" w14:textId="77777777" w:rsidR="00D03B10" w:rsidRPr="00E65655" w:rsidRDefault="00D03B10" w:rsidP="00252F5E">
            <w:pPr>
              <w:autoSpaceDE w:val="0"/>
              <w:autoSpaceDN w:val="0"/>
              <w:adjustRightInd w:val="0"/>
              <w:spacing w:line="290" w:lineRule="auto"/>
              <w:rPr>
                <w:sz w:val="15"/>
                <w:szCs w:val="15"/>
              </w:rPr>
            </w:pPr>
          </w:p>
        </w:tc>
        <w:tc>
          <w:tcPr>
            <w:tcW w:w="1080" w:type="dxa"/>
            <w:tcBorders>
              <w:top w:val="single" w:sz="4" w:space="0" w:color="auto"/>
              <w:right w:val="nil"/>
            </w:tcBorders>
            <w:vAlign w:val="center"/>
          </w:tcPr>
          <w:p w14:paraId="33E594B2" w14:textId="77777777" w:rsidR="00D03B10" w:rsidRPr="00E65655" w:rsidRDefault="00493255" w:rsidP="007F664F">
            <w:pPr>
              <w:autoSpaceDE w:val="0"/>
              <w:autoSpaceDN w:val="0"/>
              <w:adjustRightInd w:val="0"/>
              <w:spacing w:line="290" w:lineRule="auto"/>
              <w:rPr>
                <w:sz w:val="15"/>
                <w:szCs w:val="15"/>
              </w:rPr>
            </w:pPr>
            <w:r w:rsidRPr="00E65655">
              <w:rPr>
                <w:sz w:val="15"/>
                <w:szCs w:val="15"/>
              </w:rPr>
              <w:t xml:space="preserve">Leverage </w:t>
            </w:r>
            <w:r w:rsidR="00851686" w:rsidRPr="00E65655">
              <w:rPr>
                <w:sz w:val="15"/>
                <w:szCs w:val="15"/>
              </w:rPr>
              <w:t xml:space="preserve">Inverse </w:t>
            </w:r>
            <w:r w:rsidRPr="00E65655">
              <w:rPr>
                <w:sz w:val="15"/>
                <w:szCs w:val="15"/>
              </w:rPr>
              <w:t>Strategy</w:t>
            </w:r>
            <w:r w:rsidR="00D03B10" w:rsidRPr="00E65655">
              <w:rPr>
                <w:sz w:val="15"/>
                <w:szCs w:val="15"/>
              </w:rPr>
              <w:t xml:space="preserve"> </w:t>
            </w:r>
            <w:r w:rsidR="00122341" w:rsidRPr="00E65655">
              <w:rPr>
                <w:sz w:val="15"/>
                <w:szCs w:val="15"/>
              </w:rPr>
              <w:t xml:space="preserve">Daily </w:t>
            </w:r>
            <w:r w:rsidR="007F664F" w:rsidRPr="00E65655">
              <w:rPr>
                <w:sz w:val="15"/>
                <w:szCs w:val="15"/>
              </w:rPr>
              <w:t>performance</w:t>
            </w:r>
          </w:p>
        </w:tc>
        <w:tc>
          <w:tcPr>
            <w:tcW w:w="270" w:type="dxa"/>
            <w:tcBorders>
              <w:top w:val="single" w:sz="4" w:space="0" w:color="auto"/>
              <w:left w:val="nil"/>
              <w:right w:val="nil"/>
            </w:tcBorders>
            <w:vAlign w:val="center"/>
          </w:tcPr>
          <w:p w14:paraId="0986300F" w14:textId="77777777" w:rsidR="00D03B10" w:rsidRPr="00E65655" w:rsidRDefault="00D03B10" w:rsidP="00252F5E">
            <w:pPr>
              <w:autoSpaceDE w:val="0"/>
              <w:autoSpaceDN w:val="0"/>
              <w:adjustRightInd w:val="0"/>
              <w:spacing w:line="290" w:lineRule="auto"/>
              <w:jc w:val="center"/>
              <w:rPr>
                <w:sz w:val="15"/>
                <w:szCs w:val="15"/>
              </w:rPr>
            </w:pPr>
            <w:r w:rsidRPr="00E65655">
              <w:rPr>
                <w:sz w:val="15"/>
                <w:szCs w:val="15"/>
              </w:rPr>
              <w:t>x</w:t>
            </w:r>
          </w:p>
        </w:tc>
        <w:tc>
          <w:tcPr>
            <w:tcW w:w="630" w:type="dxa"/>
            <w:tcBorders>
              <w:top w:val="single" w:sz="4" w:space="0" w:color="auto"/>
              <w:left w:val="nil"/>
            </w:tcBorders>
            <w:vAlign w:val="center"/>
          </w:tcPr>
          <w:p w14:paraId="7BEE562F" w14:textId="77777777" w:rsidR="00D03B10" w:rsidRPr="00E65655" w:rsidRDefault="002F2CB1" w:rsidP="00252F5E">
            <w:pPr>
              <w:autoSpaceDE w:val="0"/>
              <w:autoSpaceDN w:val="0"/>
              <w:adjustRightInd w:val="0"/>
              <w:spacing w:line="290" w:lineRule="auto"/>
              <w:jc w:val="center"/>
              <w:rPr>
                <w:sz w:val="15"/>
                <w:szCs w:val="15"/>
              </w:rPr>
            </w:pPr>
            <w:r w:rsidRPr="00E65655">
              <w:rPr>
                <w:sz w:val="15"/>
                <w:szCs w:val="15"/>
              </w:rPr>
              <w:t>Daily Fees</w:t>
            </w:r>
          </w:p>
        </w:tc>
      </w:tr>
    </w:tbl>
    <w:p w14:paraId="5819E08B" w14:textId="77777777" w:rsidR="004B77B8" w:rsidRPr="00E65655" w:rsidRDefault="004B77B8" w:rsidP="000F0371">
      <w:pPr>
        <w:autoSpaceDE w:val="0"/>
        <w:autoSpaceDN w:val="0"/>
        <w:adjustRightInd w:val="0"/>
        <w:spacing w:line="290" w:lineRule="auto"/>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60"/>
        <w:gridCol w:w="810"/>
        <w:gridCol w:w="270"/>
        <w:gridCol w:w="1710"/>
        <w:gridCol w:w="360"/>
        <w:gridCol w:w="1710"/>
        <w:gridCol w:w="270"/>
        <w:gridCol w:w="1350"/>
        <w:gridCol w:w="360"/>
        <w:gridCol w:w="1350"/>
      </w:tblGrid>
      <w:tr w:rsidR="003A3DB4" w:rsidRPr="00E65655" w14:paraId="213B4097" w14:textId="77777777" w:rsidTr="00122341">
        <w:tc>
          <w:tcPr>
            <w:tcW w:w="1018" w:type="dxa"/>
            <w:vMerge w:val="restart"/>
            <w:vAlign w:val="center"/>
          </w:tcPr>
          <w:p w14:paraId="73C80FC2" w14:textId="77777777" w:rsidR="003A3DB4" w:rsidRPr="00E65655" w:rsidRDefault="003A3DB4" w:rsidP="00252F5E">
            <w:pPr>
              <w:autoSpaceDE w:val="0"/>
              <w:autoSpaceDN w:val="0"/>
              <w:adjustRightInd w:val="0"/>
              <w:spacing w:line="290" w:lineRule="auto"/>
              <w:jc w:val="center"/>
              <w:rPr>
                <w:sz w:val="15"/>
                <w:szCs w:val="15"/>
              </w:rPr>
            </w:pPr>
            <w:r w:rsidRPr="00E65655">
              <w:rPr>
                <w:sz w:val="15"/>
                <w:szCs w:val="15"/>
              </w:rPr>
              <w:t>Value of Certificates</w:t>
            </w:r>
          </w:p>
        </w:tc>
        <w:tc>
          <w:tcPr>
            <w:tcW w:w="260" w:type="dxa"/>
            <w:vMerge w:val="restart"/>
            <w:tcBorders>
              <w:top w:val="nil"/>
              <w:bottom w:val="nil"/>
            </w:tcBorders>
            <w:vAlign w:val="center"/>
          </w:tcPr>
          <w:p w14:paraId="5D1173EB" w14:textId="77777777" w:rsidR="003A3DB4" w:rsidRPr="00E65655" w:rsidRDefault="003A3DB4" w:rsidP="00252F5E">
            <w:pPr>
              <w:autoSpaceDE w:val="0"/>
              <w:autoSpaceDN w:val="0"/>
              <w:adjustRightInd w:val="0"/>
              <w:spacing w:line="290" w:lineRule="auto"/>
              <w:jc w:val="center"/>
              <w:rPr>
                <w:sz w:val="15"/>
                <w:szCs w:val="15"/>
              </w:rPr>
            </w:pPr>
            <w:r w:rsidRPr="00E65655">
              <w:rPr>
                <w:sz w:val="15"/>
                <w:szCs w:val="15"/>
              </w:rPr>
              <w:t>=</w:t>
            </w:r>
          </w:p>
        </w:tc>
        <w:tc>
          <w:tcPr>
            <w:tcW w:w="810" w:type="dxa"/>
            <w:vAlign w:val="center"/>
          </w:tcPr>
          <w:p w14:paraId="0198F4B0" w14:textId="77777777" w:rsidR="003A3DB4" w:rsidRPr="00E65655" w:rsidRDefault="003A3DB4" w:rsidP="002F2CB1">
            <w:pPr>
              <w:autoSpaceDE w:val="0"/>
              <w:autoSpaceDN w:val="0"/>
              <w:adjustRightInd w:val="0"/>
              <w:spacing w:line="290" w:lineRule="auto"/>
              <w:jc w:val="center"/>
              <w:rPr>
                <w:sz w:val="15"/>
                <w:szCs w:val="15"/>
              </w:rPr>
            </w:pPr>
            <w:r w:rsidRPr="00E65655">
              <w:rPr>
                <w:sz w:val="15"/>
                <w:szCs w:val="15"/>
              </w:rPr>
              <w:t>t=0</w:t>
            </w:r>
          </w:p>
        </w:tc>
        <w:tc>
          <w:tcPr>
            <w:tcW w:w="270" w:type="dxa"/>
            <w:vMerge w:val="restart"/>
            <w:tcBorders>
              <w:top w:val="nil"/>
              <w:bottom w:val="nil"/>
            </w:tcBorders>
            <w:vAlign w:val="center"/>
          </w:tcPr>
          <w:p w14:paraId="63EFB025" w14:textId="77777777" w:rsidR="003A3DB4" w:rsidRPr="00E65655" w:rsidRDefault="003A3DB4" w:rsidP="00252F5E">
            <w:pPr>
              <w:autoSpaceDE w:val="0"/>
              <w:autoSpaceDN w:val="0"/>
              <w:adjustRightInd w:val="0"/>
              <w:spacing w:line="290" w:lineRule="auto"/>
              <w:jc w:val="center"/>
              <w:rPr>
                <w:sz w:val="15"/>
                <w:szCs w:val="15"/>
              </w:rPr>
            </w:pPr>
            <w:r w:rsidRPr="00E65655">
              <w:rPr>
                <w:sz w:val="15"/>
                <w:szCs w:val="15"/>
              </w:rPr>
              <w:t>x</w:t>
            </w:r>
          </w:p>
        </w:tc>
        <w:tc>
          <w:tcPr>
            <w:tcW w:w="3780" w:type="dxa"/>
            <w:gridSpan w:val="3"/>
            <w:tcBorders>
              <w:bottom w:val="single" w:sz="4" w:space="0" w:color="auto"/>
            </w:tcBorders>
            <w:vAlign w:val="center"/>
          </w:tcPr>
          <w:p w14:paraId="7D455BB9" w14:textId="77777777" w:rsidR="003A3DB4" w:rsidRPr="00E65655" w:rsidRDefault="00191623" w:rsidP="00493255">
            <w:pPr>
              <w:autoSpaceDE w:val="0"/>
              <w:autoSpaceDN w:val="0"/>
              <w:adjustRightInd w:val="0"/>
              <w:spacing w:line="290" w:lineRule="auto"/>
              <w:jc w:val="center"/>
              <w:rPr>
                <w:b/>
                <w:color w:val="FF0000"/>
                <w:sz w:val="15"/>
                <w:szCs w:val="15"/>
              </w:rPr>
            </w:pPr>
            <w:r w:rsidRPr="00E65655">
              <w:rPr>
                <w:b/>
                <w:color w:val="FF0000"/>
                <w:sz w:val="15"/>
                <w:szCs w:val="15"/>
              </w:rPr>
              <w:t xml:space="preserve">Product of the daily </w:t>
            </w:r>
            <w:r w:rsidR="00493255" w:rsidRPr="00E65655">
              <w:rPr>
                <w:b/>
                <w:color w:val="FF0000"/>
                <w:sz w:val="15"/>
                <w:szCs w:val="15"/>
              </w:rPr>
              <w:t xml:space="preserve">Leverage </w:t>
            </w:r>
            <w:r w:rsidR="00851686" w:rsidRPr="00E65655">
              <w:rPr>
                <w:b/>
                <w:color w:val="FF0000"/>
                <w:sz w:val="15"/>
                <w:szCs w:val="15"/>
              </w:rPr>
              <w:t xml:space="preserve">Inverse </w:t>
            </w:r>
            <w:r w:rsidR="00493255" w:rsidRPr="00E65655">
              <w:rPr>
                <w:b/>
                <w:color w:val="FF0000"/>
                <w:sz w:val="15"/>
                <w:szCs w:val="15"/>
              </w:rPr>
              <w:t xml:space="preserve">Strategy </w:t>
            </w:r>
            <w:r w:rsidRPr="00E65655">
              <w:rPr>
                <w:b/>
                <w:color w:val="FF0000"/>
                <w:sz w:val="15"/>
                <w:szCs w:val="15"/>
              </w:rPr>
              <w:t>Performance</w:t>
            </w:r>
          </w:p>
        </w:tc>
        <w:tc>
          <w:tcPr>
            <w:tcW w:w="270" w:type="dxa"/>
            <w:vMerge w:val="restart"/>
            <w:tcBorders>
              <w:top w:val="nil"/>
              <w:bottom w:val="nil"/>
            </w:tcBorders>
            <w:vAlign w:val="center"/>
          </w:tcPr>
          <w:p w14:paraId="68DCBD2B" w14:textId="77777777" w:rsidR="003A3DB4" w:rsidRPr="00E65655" w:rsidRDefault="003A3DB4" w:rsidP="00252F5E">
            <w:pPr>
              <w:autoSpaceDE w:val="0"/>
              <w:autoSpaceDN w:val="0"/>
              <w:adjustRightInd w:val="0"/>
              <w:spacing w:line="290" w:lineRule="auto"/>
              <w:rPr>
                <w:sz w:val="15"/>
                <w:szCs w:val="15"/>
              </w:rPr>
            </w:pPr>
            <w:r w:rsidRPr="00E65655">
              <w:rPr>
                <w:sz w:val="15"/>
                <w:szCs w:val="15"/>
              </w:rPr>
              <w:t>x</w:t>
            </w:r>
          </w:p>
        </w:tc>
        <w:tc>
          <w:tcPr>
            <w:tcW w:w="3060" w:type="dxa"/>
            <w:gridSpan w:val="3"/>
            <w:tcBorders>
              <w:bottom w:val="single" w:sz="4" w:space="0" w:color="auto"/>
            </w:tcBorders>
            <w:vAlign w:val="center"/>
          </w:tcPr>
          <w:p w14:paraId="7752094A" w14:textId="77777777" w:rsidR="003A3DB4" w:rsidRPr="00E65655" w:rsidRDefault="00191623" w:rsidP="00252F5E">
            <w:pPr>
              <w:autoSpaceDE w:val="0"/>
              <w:autoSpaceDN w:val="0"/>
              <w:adjustRightInd w:val="0"/>
              <w:spacing w:line="290" w:lineRule="auto"/>
              <w:jc w:val="center"/>
              <w:rPr>
                <w:b/>
                <w:color w:val="FF0000"/>
                <w:sz w:val="15"/>
                <w:szCs w:val="15"/>
              </w:rPr>
            </w:pPr>
            <w:r w:rsidRPr="00E65655">
              <w:rPr>
                <w:b/>
                <w:color w:val="FF0000"/>
                <w:sz w:val="15"/>
                <w:szCs w:val="15"/>
              </w:rPr>
              <w:t>Product of the Daily Fees (Hedging Fee Factor)</w:t>
            </w:r>
          </w:p>
        </w:tc>
      </w:tr>
      <w:tr w:rsidR="00A93CB7" w:rsidRPr="00E65655" w14:paraId="7F702FE3" w14:textId="77777777" w:rsidTr="00122341">
        <w:tc>
          <w:tcPr>
            <w:tcW w:w="1018" w:type="dxa"/>
            <w:vMerge/>
          </w:tcPr>
          <w:p w14:paraId="79299920" w14:textId="77777777" w:rsidR="00122341" w:rsidRPr="00E65655" w:rsidRDefault="00122341" w:rsidP="00252F5E">
            <w:pPr>
              <w:autoSpaceDE w:val="0"/>
              <w:autoSpaceDN w:val="0"/>
              <w:adjustRightInd w:val="0"/>
              <w:spacing w:line="290" w:lineRule="auto"/>
              <w:rPr>
                <w:sz w:val="15"/>
                <w:szCs w:val="15"/>
              </w:rPr>
            </w:pPr>
          </w:p>
        </w:tc>
        <w:tc>
          <w:tcPr>
            <w:tcW w:w="260" w:type="dxa"/>
            <w:vMerge/>
            <w:tcBorders>
              <w:bottom w:val="nil"/>
            </w:tcBorders>
          </w:tcPr>
          <w:p w14:paraId="4BE44A46" w14:textId="77777777" w:rsidR="00122341" w:rsidRPr="00E65655" w:rsidRDefault="00122341" w:rsidP="00252F5E">
            <w:pPr>
              <w:autoSpaceDE w:val="0"/>
              <w:autoSpaceDN w:val="0"/>
              <w:adjustRightInd w:val="0"/>
              <w:spacing w:line="290" w:lineRule="auto"/>
              <w:rPr>
                <w:sz w:val="15"/>
                <w:szCs w:val="15"/>
              </w:rPr>
            </w:pPr>
          </w:p>
        </w:tc>
        <w:tc>
          <w:tcPr>
            <w:tcW w:w="810" w:type="dxa"/>
            <w:vAlign w:val="center"/>
          </w:tcPr>
          <w:p w14:paraId="10023DC5" w14:textId="77777777" w:rsidR="00122341" w:rsidRPr="00E65655" w:rsidRDefault="00122341" w:rsidP="00122341">
            <w:pPr>
              <w:autoSpaceDE w:val="0"/>
              <w:autoSpaceDN w:val="0"/>
              <w:adjustRightInd w:val="0"/>
              <w:spacing w:line="290" w:lineRule="auto"/>
              <w:rPr>
                <w:sz w:val="15"/>
                <w:szCs w:val="15"/>
              </w:rPr>
            </w:pPr>
            <w:r w:rsidRPr="00E65655">
              <w:rPr>
                <w:sz w:val="15"/>
                <w:szCs w:val="15"/>
              </w:rPr>
              <w:t>Notional Amount</w:t>
            </w:r>
          </w:p>
        </w:tc>
        <w:tc>
          <w:tcPr>
            <w:tcW w:w="270" w:type="dxa"/>
            <w:vMerge/>
            <w:tcBorders>
              <w:bottom w:val="nil"/>
            </w:tcBorders>
          </w:tcPr>
          <w:p w14:paraId="410855FB" w14:textId="77777777" w:rsidR="00122341" w:rsidRPr="00E65655" w:rsidRDefault="00122341" w:rsidP="00252F5E">
            <w:pPr>
              <w:autoSpaceDE w:val="0"/>
              <w:autoSpaceDN w:val="0"/>
              <w:adjustRightInd w:val="0"/>
              <w:spacing w:line="290" w:lineRule="auto"/>
              <w:rPr>
                <w:sz w:val="15"/>
                <w:szCs w:val="15"/>
              </w:rPr>
            </w:pPr>
          </w:p>
        </w:tc>
        <w:tc>
          <w:tcPr>
            <w:tcW w:w="1710" w:type="dxa"/>
            <w:tcBorders>
              <w:top w:val="single" w:sz="4" w:space="0" w:color="auto"/>
              <w:bottom w:val="single" w:sz="4" w:space="0" w:color="auto"/>
              <w:right w:val="nil"/>
            </w:tcBorders>
            <w:vAlign w:val="center"/>
          </w:tcPr>
          <w:p w14:paraId="77D7467C" w14:textId="77777777" w:rsidR="00A93CB7" w:rsidRPr="00E65655" w:rsidRDefault="00122341" w:rsidP="007F664F">
            <w:pPr>
              <w:autoSpaceDE w:val="0"/>
              <w:autoSpaceDN w:val="0"/>
              <w:adjustRightInd w:val="0"/>
              <w:spacing w:line="290" w:lineRule="auto"/>
              <w:jc w:val="center"/>
              <w:rPr>
                <w:sz w:val="15"/>
                <w:szCs w:val="15"/>
              </w:rPr>
            </w:pPr>
            <w:r w:rsidRPr="00E65655">
              <w:rPr>
                <w:sz w:val="15"/>
                <w:szCs w:val="15"/>
              </w:rPr>
              <w:t>Leverage</w:t>
            </w:r>
            <w:r w:rsidR="00493255" w:rsidRPr="00E65655">
              <w:rPr>
                <w:sz w:val="15"/>
                <w:szCs w:val="15"/>
              </w:rPr>
              <w:t xml:space="preserve"> </w:t>
            </w:r>
            <w:r w:rsidR="00851686" w:rsidRPr="00E65655">
              <w:rPr>
                <w:sz w:val="15"/>
                <w:szCs w:val="15"/>
              </w:rPr>
              <w:t xml:space="preserve">Inverse </w:t>
            </w:r>
            <w:r w:rsidR="00493255" w:rsidRPr="00E65655">
              <w:rPr>
                <w:sz w:val="15"/>
                <w:szCs w:val="15"/>
              </w:rPr>
              <w:t>Strategy</w:t>
            </w:r>
            <w:r w:rsidR="002B34E1" w:rsidRPr="00E65655">
              <w:rPr>
                <w:sz w:val="15"/>
                <w:szCs w:val="15"/>
              </w:rPr>
              <w:t xml:space="preserve"> </w:t>
            </w:r>
            <w:r w:rsidR="007F664F" w:rsidRPr="00E65655">
              <w:rPr>
                <w:sz w:val="15"/>
                <w:szCs w:val="15"/>
              </w:rPr>
              <w:t>d</w:t>
            </w:r>
            <w:r w:rsidRPr="00E65655">
              <w:rPr>
                <w:sz w:val="15"/>
                <w:szCs w:val="15"/>
              </w:rPr>
              <w:t xml:space="preserve">aily </w:t>
            </w:r>
            <w:r w:rsidR="007F664F" w:rsidRPr="00E65655">
              <w:rPr>
                <w:sz w:val="15"/>
                <w:szCs w:val="15"/>
              </w:rPr>
              <w:t>performance</w:t>
            </w:r>
          </w:p>
        </w:tc>
        <w:tc>
          <w:tcPr>
            <w:tcW w:w="360" w:type="dxa"/>
            <w:tcBorders>
              <w:top w:val="single" w:sz="4" w:space="0" w:color="auto"/>
              <w:left w:val="nil"/>
              <w:bottom w:val="single" w:sz="4" w:space="0" w:color="auto"/>
              <w:right w:val="nil"/>
            </w:tcBorders>
            <w:vAlign w:val="center"/>
          </w:tcPr>
          <w:p w14:paraId="18B80E1E" w14:textId="77777777" w:rsidR="00122341" w:rsidRPr="00E65655" w:rsidRDefault="00122341" w:rsidP="00252F5E">
            <w:pPr>
              <w:autoSpaceDE w:val="0"/>
              <w:autoSpaceDN w:val="0"/>
              <w:adjustRightInd w:val="0"/>
              <w:spacing w:line="290" w:lineRule="auto"/>
              <w:jc w:val="center"/>
              <w:rPr>
                <w:sz w:val="15"/>
                <w:szCs w:val="15"/>
              </w:rPr>
            </w:pPr>
            <w:r w:rsidRPr="00E65655">
              <w:rPr>
                <w:sz w:val="15"/>
                <w:szCs w:val="15"/>
              </w:rPr>
              <w:t>x</w:t>
            </w:r>
          </w:p>
        </w:tc>
        <w:tc>
          <w:tcPr>
            <w:tcW w:w="1710" w:type="dxa"/>
            <w:tcBorders>
              <w:top w:val="single" w:sz="4" w:space="0" w:color="auto"/>
              <w:left w:val="nil"/>
              <w:bottom w:val="single" w:sz="4" w:space="0" w:color="auto"/>
            </w:tcBorders>
            <w:vAlign w:val="center"/>
          </w:tcPr>
          <w:p w14:paraId="68024D2B" w14:textId="77777777" w:rsidR="00A93CB7" w:rsidRPr="00E65655" w:rsidRDefault="00122341" w:rsidP="007F664F">
            <w:pPr>
              <w:autoSpaceDE w:val="0"/>
              <w:autoSpaceDN w:val="0"/>
              <w:adjustRightInd w:val="0"/>
              <w:spacing w:line="290" w:lineRule="auto"/>
              <w:jc w:val="center"/>
              <w:rPr>
                <w:sz w:val="15"/>
                <w:szCs w:val="15"/>
              </w:rPr>
            </w:pPr>
            <w:r w:rsidRPr="00E65655">
              <w:rPr>
                <w:sz w:val="15"/>
                <w:szCs w:val="15"/>
              </w:rPr>
              <w:t xml:space="preserve">Leverage </w:t>
            </w:r>
            <w:r w:rsidR="00851686" w:rsidRPr="00E65655">
              <w:rPr>
                <w:sz w:val="15"/>
                <w:szCs w:val="15"/>
              </w:rPr>
              <w:t xml:space="preserve">Inverse </w:t>
            </w:r>
            <w:r w:rsidR="00493255" w:rsidRPr="00E65655">
              <w:rPr>
                <w:sz w:val="15"/>
                <w:szCs w:val="15"/>
              </w:rPr>
              <w:t xml:space="preserve">Strategy </w:t>
            </w:r>
            <w:r w:rsidR="007F664F" w:rsidRPr="00E65655">
              <w:rPr>
                <w:sz w:val="15"/>
                <w:szCs w:val="15"/>
              </w:rPr>
              <w:t>daily performance</w:t>
            </w:r>
          </w:p>
        </w:tc>
        <w:tc>
          <w:tcPr>
            <w:tcW w:w="270" w:type="dxa"/>
            <w:vMerge/>
            <w:tcBorders>
              <w:bottom w:val="nil"/>
            </w:tcBorders>
          </w:tcPr>
          <w:p w14:paraId="3B575445" w14:textId="77777777" w:rsidR="00122341" w:rsidRPr="00E65655" w:rsidRDefault="00122341" w:rsidP="00252F5E">
            <w:pPr>
              <w:autoSpaceDE w:val="0"/>
              <w:autoSpaceDN w:val="0"/>
              <w:adjustRightInd w:val="0"/>
              <w:spacing w:line="290" w:lineRule="auto"/>
              <w:rPr>
                <w:sz w:val="15"/>
                <w:szCs w:val="15"/>
              </w:rPr>
            </w:pPr>
          </w:p>
        </w:tc>
        <w:tc>
          <w:tcPr>
            <w:tcW w:w="1350" w:type="dxa"/>
            <w:tcBorders>
              <w:top w:val="single" w:sz="4" w:space="0" w:color="auto"/>
              <w:bottom w:val="single" w:sz="4" w:space="0" w:color="auto"/>
              <w:right w:val="nil"/>
            </w:tcBorders>
            <w:vAlign w:val="center"/>
          </w:tcPr>
          <w:p w14:paraId="2048B941" w14:textId="77777777" w:rsidR="00122341" w:rsidRPr="00E65655" w:rsidRDefault="00122341" w:rsidP="00122341">
            <w:pPr>
              <w:autoSpaceDE w:val="0"/>
              <w:autoSpaceDN w:val="0"/>
              <w:adjustRightInd w:val="0"/>
              <w:spacing w:line="290" w:lineRule="auto"/>
              <w:jc w:val="center"/>
              <w:rPr>
                <w:sz w:val="15"/>
                <w:szCs w:val="15"/>
              </w:rPr>
            </w:pPr>
            <w:r w:rsidRPr="00E65655">
              <w:rPr>
                <w:sz w:val="15"/>
                <w:szCs w:val="15"/>
              </w:rPr>
              <w:t>Daily Fees</w:t>
            </w:r>
          </w:p>
        </w:tc>
        <w:tc>
          <w:tcPr>
            <w:tcW w:w="360" w:type="dxa"/>
            <w:tcBorders>
              <w:top w:val="single" w:sz="4" w:space="0" w:color="auto"/>
              <w:left w:val="nil"/>
              <w:bottom w:val="single" w:sz="4" w:space="0" w:color="auto"/>
              <w:right w:val="nil"/>
            </w:tcBorders>
            <w:vAlign w:val="center"/>
          </w:tcPr>
          <w:p w14:paraId="20F7B274" w14:textId="77777777" w:rsidR="005118C1" w:rsidRPr="00E65655" w:rsidRDefault="00122341">
            <w:pPr>
              <w:autoSpaceDE w:val="0"/>
              <w:autoSpaceDN w:val="0"/>
              <w:adjustRightInd w:val="0"/>
              <w:spacing w:line="290" w:lineRule="auto"/>
              <w:jc w:val="center"/>
              <w:rPr>
                <w:sz w:val="15"/>
                <w:szCs w:val="15"/>
              </w:rPr>
            </w:pPr>
            <w:r w:rsidRPr="00E65655">
              <w:rPr>
                <w:sz w:val="15"/>
                <w:szCs w:val="15"/>
              </w:rPr>
              <w:t>x</w:t>
            </w:r>
          </w:p>
        </w:tc>
        <w:tc>
          <w:tcPr>
            <w:tcW w:w="1350" w:type="dxa"/>
            <w:tcBorders>
              <w:top w:val="single" w:sz="4" w:space="0" w:color="auto"/>
              <w:left w:val="nil"/>
              <w:bottom w:val="single" w:sz="4" w:space="0" w:color="auto"/>
            </w:tcBorders>
            <w:vAlign w:val="center"/>
          </w:tcPr>
          <w:p w14:paraId="5985DCB0" w14:textId="77777777" w:rsidR="00A93CB7" w:rsidRPr="00E65655" w:rsidRDefault="00122341">
            <w:pPr>
              <w:autoSpaceDE w:val="0"/>
              <w:autoSpaceDN w:val="0"/>
              <w:adjustRightInd w:val="0"/>
              <w:spacing w:line="290" w:lineRule="auto"/>
              <w:jc w:val="center"/>
              <w:rPr>
                <w:sz w:val="15"/>
                <w:szCs w:val="15"/>
              </w:rPr>
            </w:pPr>
            <w:r w:rsidRPr="00E65655">
              <w:rPr>
                <w:sz w:val="15"/>
                <w:szCs w:val="15"/>
              </w:rPr>
              <w:t>Daily Fees</w:t>
            </w:r>
          </w:p>
        </w:tc>
      </w:tr>
    </w:tbl>
    <w:p w14:paraId="0DEA2382" w14:textId="77777777" w:rsidR="00D03B10" w:rsidRPr="00E65655" w:rsidRDefault="00D03B10" w:rsidP="000F0371">
      <w:pPr>
        <w:autoSpaceDE w:val="0"/>
        <w:autoSpaceDN w:val="0"/>
        <w:adjustRightInd w:val="0"/>
        <w:spacing w:line="290" w:lineRule="auto"/>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39"/>
        <w:gridCol w:w="792"/>
        <w:gridCol w:w="330"/>
        <w:gridCol w:w="4050"/>
        <w:gridCol w:w="360"/>
        <w:gridCol w:w="2430"/>
      </w:tblGrid>
      <w:tr w:rsidR="007878C9" w:rsidRPr="00E65655" w14:paraId="7CAD1059" w14:textId="77777777" w:rsidTr="00252F5E">
        <w:trPr>
          <w:trHeight w:val="288"/>
        </w:trPr>
        <w:tc>
          <w:tcPr>
            <w:tcW w:w="1167" w:type="dxa"/>
            <w:vMerge w:val="restart"/>
            <w:vAlign w:val="center"/>
          </w:tcPr>
          <w:p w14:paraId="6A60F86F" w14:textId="77777777" w:rsidR="007878C9" w:rsidRPr="00E65655" w:rsidRDefault="007878C9" w:rsidP="00252F5E">
            <w:pPr>
              <w:autoSpaceDE w:val="0"/>
              <w:autoSpaceDN w:val="0"/>
              <w:adjustRightInd w:val="0"/>
              <w:spacing w:line="290" w:lineRule="auto"/>
              <w:rPr>
                <w:sz w:val="16"/>
                <w:szCs w:val="16"/>
              </w:rPr>
            </w:pPr>
            <w:r w:rsidRPr="00E65655">
              <w:rPr>
                <w:sz w:val="16"/>
                <w:szCs w:val="16"/>
              </w:rPr>
              <w:t>Final Value of Certificates</w:t>
            </w:r>
          </w:p>
        </w:tc>
        <w:tc>
          <w:tcPr>
            <w:tcW w:w="339" w:type="dxa"/>
            <w:vMerge w:val="restart"/>
            <w:tcBorders>
              <w:top w:val="nil"/>
              <w:bottom w:val="nil"/>
            </w:tcBorders>
            <w:vAlign w:val="center"/>
          </w:tcPr>
          <w:p w14:paraId="25279BBC"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w:t>
            </w:r>
          </w:p>
        </w:tc>
        <w:tc>
          <w:tcPr>
            <w:tcW w:w="792" w:type="dxa"/>
          </w:tcPr>
          <w:p w14:paraId="7B8E33DD"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t=0</w:t>
            </w:r>
          </w:p>
        </w:tc>
        <w:tc>
          <w:tcPr>
            <w:tcW w:w="330" w:type="dxa"/>
            <w:vMerge w:val="restart"/>
            <w:tcBorders>
              <w:top w:val="nil"/>
              <w:bottom w:val="nil"/>
            </w:tcBorders>
            <w:vAlign w:val="center"/>
          </w:tcPr>
          <w:p w14:paraId="1968AACF"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x</w:t>
            </w:r>
          </w:p>
        </w:tc>
        <w:tc>
          <w:tcPr>
            <w:tcW w:w="4050" w:type="dxa"/>
            <w:tcBorders>
              <w:bottom w:val="nil"/>
            </w:tcBorders>
            <w:vAlign w:val="center"/>
          </w:tcPr>
          <w:p w14:paraId="5F6D950C"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 xml:space="preserve">Final Reference Level </w:t>
            </w:r>
            <w:proofErr w:type="gramStart"/>
            <w:r w:rsidRPr="00E65655">
              <w:rPr>
                <w:sz w:val="16"/>
                <w:szCs w:val="16"/>
              </w:rPr>
              <w:t>x</w:t>
            </w:r>
            <w:proofErr w:type="gramEnd"/>
            <w:r w:rsidRPr="00E65655">
              <w:rPr>
                <w:sz w:val="16"/>
                <w:szCs w:val="16"/>
              </w:rPr>
              <w:t xml:space="preserve"> Final Exchange Rate</w:t>
            </w:r>
          </w:p>
        </w:tc>
        <w:tc>
          <w:tcPr>
            <w:tcW w:w="360" w:type="dxa"/>
            <w:vMerge w:val="restart"/>
            <w:tcBorders>
              <w:top w:val="nil"/>
              <w:bottom w:val="nil"/>
            </w:tcBorders>
            <w:vAlign w:val="center"/>
          </w:tcPr>
          <w:p w14:paraId="09FBE300"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x</w:t>
            </w:r>
          </w:p>
        </w:tc>
        <w:tc>
          <w:tcPr>
            <w:tcW w:w="2430" w:type="dxa"/>
            <w:vMerge w:val="restart"/>
            <w:vAlign w:val="center"/>
          </w:tcPr>
          <w:p w14:paraId="1F403139"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Hedging Fee Factor</w:t>
            </w:r>
          </w:p>
        </w:tc>
      </w:tr>
      <w:tr w:rsidR="007878C9" w:rsidRPr="00E65655" w14:paraId="0608B3CD" w14:textId="77777777" w:rsidTr="00252F5E">
        <w:trPr>
          <w:trHeight w:val="288"/>
        </w:trPr>
        <w:tc>
          <w:tcPr>
            <w:tcW w:w="1167" w:type="dxa"/>
            <w:vMerge/>
          </w:tcPr>
          <w:p w14:paraId="165932D3" w14:textId="77777777" w:rsidR="007878C9" w:rsidRPr="00E65655" w:rsidRDefault="007878C9" w:rsidP="00252F5E">
            <w:pPr>
              <w:autoSpaceDE w:val="0"/>
              <w:autoSpaceDN w:val="0"/>
              <w:adjustRightInd w:val="0"/>
              <w:spacing w:line="290" w:lineRule="auto"/>
              <w:rPr>
                <w:sz w:val="16"/>
                <w:szCs w:val="16"/>
              </w:rPr>
            </w:pPr>
          </w:p>
        </w:tc>
        <w:tc>
          <w:tcPr>
            <w:tcW w:w="339" w:type="dxa"/>
            <w:vMerge/>
            <w:tcBorders>
              <w:bottom w:val="nil"/>
            </w:tcBorders>
          </w:tcPr>
          <w:p w14:paraId="76FF924E" w14:textId="77777777" w:rsidR="007878C9" w:rsidRPr="00E65655" w:rsidRDefault="007878C9" w:rsidP="00252F5E">
            <w:pPr>
              <w:autoSpaceDE w:val="0"/>
              <w:autoSpaceDN w:val="0"/>
              <w:adjustRightInd w:val="0"/>
              <w:spacing w:line="290" w:lineRule="auto"/>
              <w:rPr>
                <w:sz w:val="16"/>
                <w:szCs w:val="16"/>
              </w:rPr>
            </w:pPr>
          </w:p>
        </w:tc>
        <w:tc>
          <w:tcPr>
            <w:tcW w:w="792" w:type="dxa"/>
            <w:vMerge w:val="restart"/>
          </w:tcPr>
          <w:p w14:paraId="459CA961" w14:textId="77777777" w:rsidR="007878C9" w:rsidRPr="00E65655" w:rsidRDefault="007878C9" w:rsidP="00252F5E">
            <w:pPr>
              <w:autoSpaceDE w:val="0"/>
              <w:autoSpaceDN w:val="0"/>
              <w:adjustRightInd w:val="0"/>
              <w:spacing w:line="290" w:lineRule="auto"/>
              <w:rPr>
                <w:sz w:val="16"/>
                <w:szCs w:val="16"/>
              </w:rPr>
            </w:pPr>
            <w:r w:rsidRPr="00E65655">
              <w:rPr>
                <w:sz w:val="15"/>
                <w:szCs w:val="15"/>
              </w:rPr>
              <w:t xml:space="preserve">Notional Amount </w:t>
            </w:r>
          </w:p>
        </w:tc>
        <w:tc>
          <w:tcPr>
            <w:tcW w:w="330" w:type="dxa"/>
            <w:vMerge/>
            <w:tcBorders>
              <w:bottom w:val="nil"/>
            </w:tcBorders>
          </w:tcPr>
          <w:p w14:paraId="261ACF92" w14:textId="77777777" w:rsidR="007878C9" w:rsidRPr="00E65655" w:rsidRDefault="007878C9" w:rsidP="00252F5E">
            <w:pPr>
              <w:autoSpaceDE w:val="0"/>
              <w:autoSpaceDN w:val="0"/>
              <w:adjustRightInd w:val="0"/>
              <w:spacing w:line="290" w:lineRule="auto"/>
              <w:jc w:val="center"/>
              <w:rPr>
                <w:rFonts w:cs="Arial"/>
                <w:szCs w:val="20"/>
              </w:rPr>
            </w:pPr>
          </w:p>
        </w:tc>
        <w:tc>
          <w:tcPr>
            <w:tcW w:w="4050" w:type="dxa"/>
            <w:tcBorders>
              <w:top w:val="nil"/>
              <w:bottom w:val="nil"/>
            </w:tcBorders>
            <w:vAlign w:val="center"/>
          </w:tcPr>
          <w:p w14:paraId="6D99EC01" w14:textId="77777777" w:rsidR="007878C9" w:rsidRPr="00E65655" w:rsidRDefault="007878C9" w:rsidP="00252F5E">
            <w:pPr>
              <w:autoSpaceDE w:val="0"/>
              <w:autoSpaceDN w:val="0"/>
              <w:adjustRightInd w:val="0"/>
              <w:spacing w:line="290" w:lineRule="auto"/>
              <w:jc w:val="center"/>
              <w:rPr>
                <w:szCs w:val="20"/>
              </w:rPr>
            </w:pPr>
            <w:r w:rsidRPr="00E65655">
              <w:rPr>
                <w:rFonts w:cs="Arial"/>
                <w:szCs w:val="20"/>
              </w:rPr>
              <w:t>÷</w:t>
            </w:r>
          </w:p>
        </w:tc>
        <w:tc>
          <w:tcPr>
            <w:tcW w:w="360" w:type="dxa"/>
            <w:vMerge/>
            <w:tcBorders>
              <w:bottom w:val="nil"/>
            </w:tcBorders>
          </w:tcPr>
          <w:p w14:paraId="44FFC5A5" w14:textId="77777777" w:rsidR="007878C9" w:rsidRPr="00E65655" w:rsidRDefault="007878C9" w:rsidP="00252F5E">
            <w:pPr>
              <w:autoSpaceDE w:val="0"/>
              <w:autoSpaceDN w:val="0"/>
              <w:adjustRightInd w:val="0"/>
              <w:spacing w:line="290" w:lineRule="auto"/>
              <w:rPr>
                <w:sz w:val="16"/>
                <w:szCs w:val="16"/>
              </w:rPr>
            </w:pPr>
          </w:p>
        </w:tc>
        <w:tc>
          <w:tcPr>
            <w:tcW w:w="2430" w:type="dxa"/>
            <w:vMerge/>
          </w:tcPr>
          <w:p w14:paraId="234E1858" w14:textId="77777777" w:rsidR="007878C9" w:rsidRPr="00E65655" w:rsidRDefault="007878C9" w:rsidP="00252F5E">
            <w:pPr>
              <w:autoSpaceDE w:val="0"/>
              <w:autoSpaceDN w:val="0"/>
              <w:adjustRightInd w:val="0"/>
              <w:spacing w:line="290" w:lineRule="auto"/>
              <w:rPr>
                <w:sz w:val="16"/>
                <w:szCs w:val="16"/>
              </w:rPr>
            </w:pPr>
          </w:p>
        </w:tc>
      </w:tr>
      <w:tr w:rsidR="007878C9" w:rsidRPr="00E65655" w14:paraId="432E736A" w14:textId="77777777" w:rsidTr="00252F5E">
        <w:trPr>
          <w:trHeight w:val="288"/>
        </w:trPr>
        <w:tc>
          <w:tcPr>
            <w:tcW w:w="1167" w:type="dxa"/>
            <w:vMerge/>
          </w:tcPr>
          <w:p w14:paraId="16E66C0F" w14:textId="77777777" w:rsidR="007878C9" w:rsidRPr="00E65655" w:rsidRDefault="007878C9" w:rsidP="00252F5E">
            <w:pPr>
              <w:autoSpaceDE w:val="0"/>
              <w:autoSpaceDN w:val="0"/>
              <w:adjustRightInd w:val="0"/>
              <w:spacing w:line="290" w:lineRule="auto"/>
              <w:rPr>
                <w:sz w:val="16"/>
                <w:szCs w:val="16"/>
              </w:rPr>
            </w:pPr>
          </w:p>
        </w:tc>
        <w:tc>
          <w:tcPr>
            <w:tcW w:w="339" w:type="dxa"/>
            <w:vMerge/>
            <w:tcBorders>
              <w:bottom w:val="nil"/>
            </w:tcBorders>
          </w:tcPr>
          <w:p w14:paraId="20CC31D9" w14:textId="77777777" w:rsidR="007878C9" w:rsidRPr="00E65655" w:rsidRDefault="007878C9" w:rsidP="00252F5E">
            <w:pPr>
              <w:autoSpaceDE w:val="0"/>
              <w:autoSpaceDN w:val="0"/>
              <w:adjustRightInd w:val="0"/>
              <w:spacing w:line="290" w:lineRule="auto"/>
              <w:rPr>
                <w:sz w:val="16"/>
                <w:szCs w:val="16"/>
              </w:rPr>
            </w:pPr>
          </w:p>
        </w:tc>
        <w:tc>
          <w:tcPr>
            <w:tcW w:w="792" w:type="dxa"/>
            <w:vMerge/>
          </w:tcPr>
          <w:p w14:paraId="54A126BA" w14:textId="77777777" w:rsidR="007878C9" w:rsidRPr="00E65655" w:rsidRDefault="007878C9" w:rsidP="00252F5E">
            <w:pPr>
              <w:autoSpaceDE w:val="0"/>
              <w:autoSpaceDN w:val="0"/>
              <w:adjustRightInd w:val="0"/>
              <w:spacing w:line="290" w:lineRule="auto"/>
              <w:rPr>
                <w:sz w:val="16"/>
                <w:szCs w:val="16"/>
              </w:rPr>
            </w:pPr>
          </w:p>
        </w:tc>
        <w:tc>
          <w:tcPr>
            <w:tcW w:w="330" w:type="dxa"/>
            <w:vMerge/>
            <w:tcBorders>
              <w:bottom w:val="nil"/>
            </w:tcBorders>
          </w:tcPr>
          <w:p w14:paraId="45577FB1" w14:textId="77777777" w:rsidR="007878C9" w:rsidRPr="00E65655" w:rsidRDefault="007878C9" w:rsidP="00252F5E">
            <w:pPr>
              <w:autoSpaceDE w:val="0"/>
              <w:autoSpaceDN w:val="0"/>
              <w:adjustRightInd w:val="0"/>
              <w:spacing w:line="290" w:lineRule="auto"/>
              <w:rPr>
                <w:sz w:val="16"/>
                <w:szCs w:val="16"/>
              </w:rPr>
            </w:pPr>
          </w:p>
        </w:tc>
        <w:tc>
          <w:tcPr>
            <w:tcW w:w="4050" w:type="dxa"/>
            <w:tcBorders>
              <w:top w:val="nil"/>
            </w:tcBorders>
            <w:vAlign w:val="center"/>
          </w:tcPr>
          <w:p w14:paraId="48CA8623" w14:textId="77777777" w:rsidR="007878C9" w:rsidRPr="00E65655" w:rsidRDefault="007878C9" w:rsidP="00252F5E">
            <w:pPr>
              <w:autoSpaceDE w:val="0"/>
              <w:autoSpaceDN w:val="0"/>
              <w:adjustRightInd w:val="0"/>
              <w:spacing w:line="290" w:lineRule="auto"/>
              <w:jc w:val="center"/>
              <w:rPr>
                <w:sz w:val="16"/>
                <w:szCs w:val="16"/>
              </w:rPr>
            </w:pPr>
            <w:r w:rsidRPr="00E65655">
              <w:rPr>
                <w:sz w:val="16"/>
                <w:szCs w:val="16"/>
              </w:rPr>
              <w:t xml:space="preserve">Initial Reference Level </w:t>
            </w:r>
            <w:proofErr w:type="gramStart"/>
            <w:r w:rsidRPr="00E65655">
              <w:rPr>
                <w:sz w:val="16"/>
                <w:szCs w:val="16"/>
              </w:rPr>
              <w:t>x</w:t>
            </w:r>
            <w:proofErr w:type="gramEnd"/>
            <w:r w:rsidRPr="00E65655">
              <w:rPr>
                <w:sz w:val="16"/>
                <w:szCs w:val="16"/>
              </w:rPr>
              <w:t xml:space="preserve"> Initial Exchange Rate</w:t>
            </w:r>
          </w:p>
        </w:tc>
        <w:tc>
          <w:tcPr>
            <w:tcW w:w="360" w:type="dxa"/>
            <w:vMerge/>
            <w:tcBorders>
              <w:bottom w:val="nil"/>
            </w:tcBorders>
          </w:tcPr>
          <w:p w14:paraId="1C88C894" w14:textId="77777777" w:rsidR="007878C9" w:rsidRPr="00E65655" w:rsidRDefault="007878C9" w:rsidP="00252F5E">
            <w:pPr>
              <w:autoSpaceDE w:val="0"/>
              <w:autoSpaceDN w:val="0"/>
              <w:adjustRightInd w:val="0"/>
              <w:spacing w:line="290" w:lineRule="auto"/>
              <w:rPr>
                <w:sz w:val="16"/>
                <w:szCs w:val="16"/>
              </w:rPr>
            </w:pPr>
          </w:p>
        </w:tc>
        <w:tc>
          <w:tcPr>
            <w:tcW w:w="2430" w:type="dxa"/>
            <w:vMerge/>
          </w:tcPr>
          <w:p w14:paraId="4683A3C4" w14:textId="77777777" w:rsidR="007878C9" w:rsidRPr="00E65655" w:rsidRDefault="007878C9" w:rsidP="00252F5E">
            <w:pPr>
              <w:autoSpaceDE w:val="0"/>
              <w:autoSpaceDN w:val="0"/>
              <w:adjustRightInd w:val="0"/>
              <w:spacing w:line="290" w:lineRule="auto"/>
              <w:rPr>
                <w:sz w:val="16"/>
                <w:szCs w:val="16"/>
              </w:rPr>
            </w:pPr>
          </w:p>
        </w:tc>
      </w:tr>
    </w:tbl>
    <w:p w14:paraId="680E81D9" w14:textId="77777777" w:rsidR="007878C9" w:rsidRPr="00E65655" w:rsidRDefault="007878C9" w:rsidP="000F0371">
      <w:pPr>
        <w:autoSpaceDE w:val="0"/>
        <w:autoSpaceDN w:val="0"/>
        <w:adjustRightInd w:val="0"/>
        <w:spacing w:line="290" w:lineRule="auto"/>
        <w:rPr>
          <w:sz w:val="16"/>
          <w:szCs w:val="16"/>
        </w:rPr>
      </w:pPr>
    </w:p>
    <w:p w14:paraId="0F984198" w14:textId="77777777" w:rsidR="000C4FBB" w:rsidRPr="00E65655" w:rsidRDefault="000C4FBB" w:rsidP="000C4FBB">
      <w:pPr>
        <w:spacing w:after="140" w:line="290" w:lineRule="auto"/>
        <w:rPr>
          <w:rFonts w:cs="Arial"/>
          <w:b/>
          <w:szCs w:val="20"/>
          <w:lang w:val="en-US" w:eastAsia="zh-CN"/>
        </w:rPr>
      </w:pPr>
    </w:p>
    <w:p w14:paraId="5F191CF0" w14:textId="77777777" w:rsidR="000C4FBB" w:rsidRPr="00E65655" w:rsidRDefault="000C4FBB" w:rsidP="000C4FBB">
      <w:pPr>
        <w:spacing w:after="140" w:line="290" w:lineRule="auto"/>
        <w:rPr>
          <w:rFonts w:cs="Arial"/>
          <w:b/>
          <w:szCs w:val="20"/>
          <w:lang w:val="en-US" w:eastAsia="zh-CN"/>
        </w:rPr>
      </w:pPr>
      <w:r w:rsidRPr="00E65655">
        <w:rPr>
          <w:rFonts w:cs="Arial"/>
          <w:b/>
          <w:szCs w:val="20"/>
          <w:lang w:val="en-US" w:eastAsia="zh-CN"/>
        </w:rPr>
        <w:t xml:space="preserve">Illustration of the </w:t>
      </w:r>
      <w:r w:rsidR="00322C87" w:rsidRPr="00E65655">
        <w:rPr>
          <w:rFonts w:cs="Arial"/>
          <w:b/>
          <w:szCs w:val="20"/>
          <w:lang w:val="en-US" w:eastAsia="zh-CN"/>
        </w:rPr>
        <w:t>a</w:t>
      </w:r>
      <w:r w:rsidRPr="00E65655">
        <w:rPr>
          <w:rFonts w:cs="Arial"/>
          <w:b/>
          <w:szCs w:val="20"/>
          <w:lang w:val="en-US" w:eastAsia="zh-CN"/>
        </w:rPr>
        <w:t>pplicable fees and charges for an intraday trading scenario</w:t>
      </w:r>
    </w:p>
    <w:p w14:paraId="61781048" w14:textId="77777777" w:rsidR="000C4FBB" w:rsidRPr="00E65655" w:rsidRDefault="00B0465C" w:rsidP="00662E6A">
      <w:pPr>
        <w:spacing w:after="140" w:line="290" w:lineRule="auto"/>
        <w:jc w:val="both"/>
        <w:rPr>
          <w:rFonts w:cs="Arial"/>
          <w:szCs w:val="20"/>
          <w:lang w:val="en-US" w:eastAsia="zh-CN"/>
        </w:rPr>
      </w:pPr>
      <w:r w:rsidRPr="00E65655">
        <w:rPr>
          <w:rFonts w:cs="Arial"/>
          <w:szCs w:val="20"/>
          <w:lang w:val="en-US" w:eastAsia="zh-CN"/>
        </w:rPr>
        <w:t>Hedging Fee is</w:t>
      </w:r>
      <w:r w:rsidR="000C4FBB" w:rsidRPr="00E65655">
        <w:rPr>
          <w:rFonts w:cs="Arial"/>
          <w:szCs w:val="20"/>
          <w:lang w:val="en-US" w:eastAsia="zh-CN"/>
        </w:rPr>
        <w:t xml:space="preserve"> implemented overnight </w:t>
      </w:r>
      <w:proofErr w:type="gramStart"/>
      <w:r w:rsidR="000C4FBB" w:rsidRPr="00E65655">
        <w:rPr>
          <w:rFonts w:cs="Arial"/>
          <w:szCs w:val="20"/>
          <w:lang w:val="en-US" w:eastAsia="zh-CN"/>
        </w:rPr>
        <w:t>in</w:t>
      </w:r>
      <w:proofErr w:type="gramEnd"/>
      <w:r w:rsidR="000C4FBB" w:rsidRPr="00E65655">
        <w:rPr>
          <w:rFonts w:cs="Arial"/>
          <w:szCs w:val="20"/>
          <w:lang w:val="en-US" w:eastAsia="zh-CN"/>
        </w:rPr>
        <w:t xml:space="preserve"> the price of the Certificate.</w:t>
      </w:r>
      <w:r w:rsidR="009600A1" w:rsidRPr="00E65655">
        <w:rPr>
          <w:rFonts w:cs="Arial"/>
          <w:szCs w:val="20"/>
          <w:lang w:val="en-US" w:eastAsia="zh-CN"/>
        </w:rPr>
        <w:t xml:space="preserve"> </w:t>
      </w:r>
      <w:proofErr w:type="gramStart"/>
      <w:r w:rsidR="000C4FBB" w:rsidRPr="00E65655">
        <w:rPr>
          <w:rFonts w:cs="Arial"/>
          <w:szCs w:val="20"/>
          <w:lang w:val="en-US" w:eastAsia="zh-CN"/>
        </w:rPr>
        <w:t>As a consequence</w:t>
      </w:r>
      <w:proofErr w:type="gramEnd"/>
      <w:r w:rsidR="000C4FBB" w:rsidRPr="00E65655">
        <w:rPr>
          <w:rFonts w:cs="Arial"/>
          <w:szCs w:val="20"/>
          <w:lang w:val="en-US" w:eastAsia="zh-CN"/>
        </w:rPr>
        <w:t>, w</w:t>
      </w:r>
      <w:r w:rsidR="00191623" w:rsidRPr="00E65655">
        <w:rPr>
          <w:rFonts w:cs="Arial"/>
          <w:szCs w:val="20"/>
          <w:lang w:val="en-US" w:eastAsia="zh-CN"/>
        </w:rPr>
        <w:t xml:space="preserve">hen trading </w:t>
      </w:r>
      <w:r w:rsidR="000C4FBB" w:rsidRPr="00E65655">
        <w:rPr>
          <w:rFonts w:cs="Arial"/>
          <w:szCs w:val="20"/>
          <w:lang w:val="en-US" w:eastAsia="zh-CN"/>
        </w:rPr>
        <w:t>intraday, investors will not bear any Hedging Fee.</w:t>
      </w:r>
    </w:p>
    <w:p w14:paraId="561585FA" w14:textId="77777777" w:rsidR="000C4FBB" w:rsidRPr="00E65655" w:rsidRDefault="000C4FBB" w:rsidP="00662E6A">
      <w:pPr>
        <w:spacing w:after="140" w:line="290" w:lineRule="auto"/>
        <w:jc w:val="both"/>
        <w:rPr>
          <w:rFonts w:cs="Arial"/>
          <w:szCs w:val="20"/>
          <w:lang w:val="en-US" w:eastAsia="zh-CN"/>
        </w:rPr>
      </w:pPr>
      <w:r w:rsidRPr="00E65655">
        <w:rPr>
          <w:rFonts w:cs="Arial"/>
          <w:szCs w:val="20"/>
          <w:lang w:val="en-US" w:eastAsia="zh-CN"/>
        </w:rPr>
        <w:t>Investors</w:t>
      </w:r>
      <w:r w:rsidR="00462222" w:rsidRPr="00E65655">
        <w:rPr>
          <w:rFonts w:cs="Arial"/>
          <w:szCs w:val="20"/>
          <w:lang w:val="en-US" w:eastAsia="zh-CN"/>
        </w:rPr>
        <w:t xml:space="preserve"> will only support bid/ask costs, which are the difference between the price at which the Designated Market Maker purchases (bid) and sells (ask) the Certificate at any point </w:t>
      </w:r>
      <w:proofErr w:type="gramStart"/>
      <w:r w:rsidR="00462222" w:rsidRPr="00E65655">
        <w:rPr>
          <w:rFonts w:cs="Arial"/>
          <w:szCs w:val="20"/>
          <w:lang w:val="en-US" w:eastAsia="zh-CN"/>
        </w:rPr>
        <w:t>of</w:t>
      </w:r>
      <w:proofErr w:type="gramEnd"/>
      <w:r w:rsidR="00462222" w:rsidRPr="00E65655">
        <w:rPr>
          <w:rFonts w:cs="Arial"/>
          <w:szCs w:val="20"/>
          <w:lang w:val="en-US" w:eastAsia="zh-CN"/>
        </w:rPr>
        <w:t xml:space="preserve"> time.</w:t>
      </w:r>
    </w:p>
    <w:p w14:paraId="399F4576" w14:textId="77777777" w:rsidR="003210B6" w:rsidRPr="00E65655" w:rsidRDefault="003F729D" w:rsidP="003210B6">
      <w:pPr>
        <w:spacing w:after="140" w:line="288" w:lineRule="auto"/>
        <w:rPr>
          <w:rFonts w:cs="Arial"/>
          <w:b/>
          <w:szCs w:val="20"/>
          <w:lang w:val="en-US" w:eastAsia="zh-CN"/>
        </w:rPr>
      </w:pPr>
      <w:r w:rsidRPr="00E65655">
        <w:rPr>
          <w:rFonts w:cs="Arial"/>
          <w:b/>
          <w:szCs w:val="20"/>
          <w:lang w:val="en-US" w:eastAsia="zh-CN"/>
        </w:rPr>
        <w:br w:type="page"/>
      </w:r>
      <w:r w:rsidR="003210B6" w:rsidRPr="00E65655">
        <w:rPr>
          <w:rFonts w:cs="Arial"/>
          <w:b/>
          <w:szCs w:val="20"/>
          <w:lang w:val="en-US" w:eastAsia="zh-CN"/>
        </w:rPr>
        <w:lastRenderedPageBreak/>
        <w:t>Example of Calculation of Hedging Fee Factor and Cash Settlement Amount</w:t>
      </w:r>
    </w:p>
    <w:p w14:paraId="2E388181" w14:textId="77777777" w:rsidR="003210B6" w:rsidRPr="00E65655" w:rsidRDefault="003210B6" w:rsidP="003210B6">
      <w:pPr>
        <w:autoSpaceDE w:val="0"/>
        <w:autoSpaceDN w:val="0"/>
        <w:adjustRightInd w:val="0"/>
        <w:spacing w:after="140" w:line="288" w:lineRule="auto"/>
        <w:jc w:val="both"/>
        <w:rPr>
          <w:rFonts w:cs="Arial"/>
          <w:i/>
          <w:color w:val="000000"/>
          <w:szCs w:val="20"/>
        </w:rPr>
      </w:pPr>
      <w:r w:rsidRPr="00E65655">
        <w:rPr>
          <w:rFonts w:cs="Arial"/>
          <w:i/>
          <w:color w:val="000000"/>
          <w:szCs w:val="20"/>
        </w:rPr>
        <w:t xml:space="preserve">The example is purely hypothetical. We include the example to illustrate how the Certificates work, and you MUST NOT rely on them as any indication of the actual return or what the payout on the Certificates might </w:t>
      </w:r>
      <w:proofErr w:type="gramStart"/>
      <w:r w:rsidRPr="00E65655">
        <w:rPr>
          <w:rFonts w:cs="Arial"/>
          <w:i/>
          <w:color w:val="000000"/>
          <w:szCs w:val="20"/>
        </w:rPr>
        <w:t>actually be</w:t>
      </w:r>
      <w:proofErr w:type="gramEnd"/>
      <w:r w:rsidRPr="00E65655">
        <w:rPr>
          <w:rFonts w:cs="Arial"/>
          <w:i/>
          <w:color w:val="000000"/>
          <w:szCs w:val="20"/>
        </w:rPr>
        <w:t>. The example also assumes a product which expires 16 days after listing date, to illustrate the daily calculation of price, costs and fees from listing date to expiry date.</w:t>
      </w:r>
    </w:p>
    <w:p w14:paraId="48CD1033" w14:textId="77777777" w:rsidR="003210B6" w:rsidRPr="00E65655" w:rsidRDefault="003210B6" w:rsidP="003210B6">
      <w:pPr>
        <w:autoSpaceDE w:val="0"/>
        <w:autoSpaceDN w:val="0"/>
        <w:adjustRightInd w:val="0"/>
        <w:spacing w:after="140" w:line="288" w:lineRule="auto"/>
        <w:jc w:val="both"/>
        <w:rPr>
          <w:rFonts w:cs="Arial"/>
          <w:color w:val="000000"/>
          <w:szCs w:val="20"/>
        </w:rPr>
      </w:pPr>
      <w:r w:rsidRPr="00E65655">
        <w:rPr>
          <w:rFonts w:cs="Arial"/>
          <w:color w:val="000000"/>
          <w:szCs w:val="20"/>
        </w:rPr>
        <w:t>Assuming an investor purchases the following Certificates at the Issue Price:</w:t>
      </w:r>
    </w:p>
    <w:tbl>
      <w:tblPr>
        <w:tblW w:w="8640" w:type="dxa"/>
        <w:tblInd w:w="108" w:type="dxa"/>
        <w:tblLook w:val="01E0" w:firstRow="1" w:lastRow="1" w:firstColumn="1" w:lastColumn="1" w:noHBand="0" w:noVBand="0"/>
      </w:tblPr>
      <w:tblGrid>
        <w:gridCol w:w="4050"/>
        <w:gridCol w:w="4590"/>
      </w:tblGrid>
      <w:tr w:rsidR="003210B6" w:rsidRPr="00E65655" w14:paraId="4E91E25B" w14:textId="77777777" w:rsidTr="003210B6">
        <w:tc>
          <w:tcPr>
            <w:tcW w:w="4050" w:type="dxa"/>
            <w:hideMark/>
          </w:tcPr>
          <w:p w14:paraId="7DF3424D"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lang w:eastAsia="zh-CN"/>
              </w:rPr>
              <w:t>Underlying Stock</w:t>
            </w:r>
            <w:r w:rsidRPr="00E65655">
              <w:rPr>
                <w:rFonts w:cs="Arial"/>
                <w:color w:val="000000"/>
                <w:szCs w:val="20"/>
              </w:rPr>
              <w:t>:</w:t>
            </w:r>
          </w:p>
        </w:tc>
        <w:tc>
          <w:tcPr>
            <w:tcW w:w="4590" w:type="dxa"/>
            <w:hideMark/>
          </w:tcPr>
          <w:p w14:paraId="784372A3" w14:textId="7C474DCC" w:rsidR="00D566E3" w:rsidRPr="00D566E3" w:rsidRDefault="00D566E3">
            <w:pPr>
              <w:pStyle w:val="PlainText"/>
              <w:spacing w:before="120" w:after="120" w:line="288" w:lineRule="auto"/>
              <w:jc w:val="both"/>
              <w:rPr>
                <w:rFonts w:ascii="Arial" w:hAnsi="Arial" w:cs="Arial"/>
                <w:lang w:eastAsia="zh-CN"/>
              </w:rPr>
            </w:pPr>
            <w:r w:rsidRPr="00D566E3">
              <w:rPr>
                <w:rFonts w:ascii="Arial" w:hAnsi="Arial" w:cs="Arial"/>
                <w:lang w:eastAsia="zh-CN"/>
              </w:rPr>
              <w:t>Ordinary shares of Yangzijiang Shipbuilding (Holdings) Ltd.</w:t>
            </w:r>
          </w:p>
        </w:tc>
      </w:tr>
      <w:tr w:rsidR="003210B6" w:rsidRPr="00E65655" w14:paraId="304F3030" w14:textId="77777777" w:rsidTr="003210B6">
        <w:tc>
          <w:tcPr>
            <w:tcW w:w="4050" w:type="dxa"/>
            <w:hideMark/>
          </w:tcPr>
          <w:p w14:paraId="4DA5A2BC"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Expected Listing Date:</w:t>
            </w:r>
          </w:p>
        </w:tc>
        <w:tc>
          <w:tcPr>
            <w:tcW w:w="4590" w:type="dxa"/>
            <w:hideMark/>
          </w:tcPr>
          <w:p w14:paraId="6660F2CB" w14:textId="77777777" w:rsidR="003210B6" w:rsidRPr="00E65655" w:rsidRDefault="003210B6">
            <w:pPr>
              <w:spacing w:before="120" w:after="120" w:line="288" w:lineRule="auto"/>
              <w:jc w:val="both"/>
              <w:rPr>
                <w:rFonts w:cs="Arial"/>
                <w:b/>
                <w:bCs/>
                <w:color w:val="000000"/>
                <w:szCs w:val="20"/>
                <w:lang w:val="en-US"/>
              </w:rPr>
            </w:pPr>
            <w:r w:rsidRPr="00E65655">
              <w:rPr>
                <w:rFonts w:cs="Arial"/>
                <w:b/>
                <w:bCs/>
                <w:color w:val="000000"/>
                <w:szCs w:val="20"/>
                <w:lang w:val="en-US"/>
              </w:rPr>
              <w:t>03/07/2018</w:t>
            </w:r>
          </w:p>
        </w:tc>
      </w:tr>
      <w:tr w:rsidR="003210B6" w:rsidRPr="00E65655" w14:paraId="7FEADB26" w14:textId="77777777" w:rsidTr="003210B6">
        <w:tc>
          <w:tcPr>
            <w:tcW w:w="4050" w:type="dxa"/>
            <w:hideMark/>
          </w:tcPr>
          <w:p w14:paraId="68F85E21"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Expiry Date:</w:t>
            </w:r>
          </w:p>
        </w:tc>
        <w:tc>
          <w:tcPr>
            <w:tcW w:w="4590" w:type="dxa"/>
            <w:hideMark/>
          </w:tcPr>
          <w:p w14:paraId="1B3FF6C6" w14:textId="77777777" w:rsidR="003210B6" w:rsidRPr="00E65655" w:rsidRDefault="003210B6">
            <w:pPr>
              <w:spacing w:before="120" w:after="120" w:line="288" w:lineRule="auto"/>
              <w:jc w:val="both"/>
              <w:rPr>
                <w:rFonts w:cs="Arial"/>
                <w:color w:val="000000"/>
                <w:szCs w:val="20"/>
              </w:rPr>
            </w:pPr>
            <w:r w:rsidRPr="00E65655">
              <w:rPr>
                <w:rFonts w:cs="Arial"/>
                <w:b/>
                <w:color w:val="000000"/>
                <w:szCs w:val="20"/>
              </w:rPr>
              <w:t>18/07/2018</w:t>
            </w:r>
          </w:p>
        </w:tc>
      </w:tr>
      <w:tr w:rsidR="003210B6" w:rsidRPr="00E65655" w14:paraId="53CF6F13" w14:textId="77777777" w:rsidTr="003210B6">
        <w:tc>
          <w:tcPr>
            <w:tcW w:w="4050" w:type="dxa"/>
            <w:hideMark/>
          </w:tcPr>
          <w:p w14:paraId="6FE63D1C"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Initial Reference Level:</w:t>
            </w:r>
          </w:p>
        </w:tc>
        <w:tc>
          <w:tcPr>
            <w:tcW w:w="4590" w:type="dxa"/>
            <w:hideMark/>
          </w:tcPr>
          <w:p w14:paraId="6EC34232" w14:textId="77777777" w:rsidR="003210B6" w:rsidRPr="00E65655" w:rsidRDefault="003210B6">
            <w:pPr>
              <w:spacing w:before="120" w:after="120" w:line="288" w:lineRule="auto"/>
              <w:jc w:val="both"/>
              <w:rPr>
                <w:rFonts w:cs="Arial"/>
                <w:color w:val="000000"/>
                <w:szCs w:val="20"/>
              </w:rPr>
            </w:pPr>
            <w:r w:rsidRPr="00E65655">
              <w:rPr>
                <w:rFonts w:cs="Arial"/>
                <w:b/>
                <w:color w:val="000000"/>
                <w:szCs w:val="20"/>
              </w:rPr>
              <w:t>1,000</w:t>
            </w:r>
          </w:p>
        </w:tc>
      </w:tr>
      <w:tr w:rsidR="003210B6" w:rsidRPr="00E65655" w14:paraId="020D9630" w14:textId="77777777" w:rsidTr="003210B6">
        <w:tc>
          <w:tcPr>
            <w:tcW w:w="4050" w:type="dxa"/>
            <w:hideMark/>
          </w:tcPr>
          <w:p w14:paraId="57E50FEE"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Initial Exchange Rate:</w:t>
            </w:r>
          </w:p>
        </w:tc>
        <w:tc>
          <w:tcPr>
            <w:tcW w:w="4590" w:type="dxa"/>
            <w:hideMark/>
          </w:tcPr>
          <w:p w14:paraId="09A10A1C" w14:textId="77777777" w:rsidR="003210B6" w:rsidRPr="00E65655" w:rsidRDefault="003210B6">
            <w:pPr>
              <w:spacing w:before="120" w:after="120" w:line="288" w:lineRule="auto"/>
              <w:jc w:val="both"/>
              <w:rPr>
                <w:rFonts w:cs="Arial"/>
                <w:b/>
                <w:color w:val="000000"/>
                <w:szCs w:val="20"/>
              </w:rPr>
            </w:pPr>
            <w:r w:rsidRPr="00E65655">
              <w:rPr>
                <w:rFonts w:cs="Arial"/>
                <w:b/>
                <w:color w:val="000000"/>
                <w:szCs w:val="20"/>
              </w:rPr>
              <w:t>1</w:t>
            </w:r>
          </w:p>
        </w:tc>
      </w:tr>
      <w:tr w:rsidR="003210B6" w:rsidRPr="00E65655" w14:paraId="08117030" w14:textId="77777777" w:rsidTr="003210B6">
        <w:tc>
          <w:tcPr>
            <w:tcW w:w="4050" w:type="dxa"/>
            <w:hideMark/>
          </w:tcPr>
          <w:p w14:paraId="5E4763E3"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Final Reference Level:</w:t>
            </w:r>
          </w:p>
        </w:tc>
        <w:tc>
          <w:tcPr>
            <w:tcW w:w="4590" w:type="dxa"/>
            <w:hideMark/>
          </w:tcPr>
          <w:p w14:paraId="73CFDAFF" w14:textId="77777777" w:rsidR="003210B6" w:rsidRPr="00E65655" w:rsidRDefault="003210B6">
            <w:pPr>
              <w:spacing w:before="120" w:after="120" w:line="288" w:lineRule="auto"/>
              <w:jc w:val="both"/>
              <w:rPr>
                <w:rFonts w:cs="Arial"/>
                <w:b/>
                <w:color w:val="000000"/>
                <w:szCs w:val="20"/>
              </w:rPr>
            </w:pPr>
            <w:r w:rsidRPr="00E65655">
              <w:rPr>
                <w:rFonts w:cs="Arial"/>
                <w:b/>
                <w:color w:val="000000"/>
                <w:szCs w:val="20"/>
              </w:rPr>
              <w:t>1,200</w:t>
            </w:r>
          </w:p>
        </w:tc>
      </w:tr>
      <w:tr w:rsidR="003210B6" w:rsidRPr="00E65655" w14:paraId="471E5D90" w14:textId="77777777" w:rsidTr="003210B6">
        <w:tc>
          <w:tcPr>
            <w:tcW w:w="4050" w:type="dxa"/>
            <w:hideMark/>
          </w:tcPr>
          <w:p w14:paraId="2009852E"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Final Exchange Rate:</w:t>
            </w:r>
          </w:p>
        </w:tc>
        <w:tc>
          <w:tcPr>
            <w:tcW w:w="4590" w:type="dxa"/>
            <w:hideMark/>
          </w:tcPr>
          <w:p w14:paraId="284701D7" w14:textId="77777777" w:rsidR="003210B6" w:rsidRPr="00E65655" w:rsidRDefault="003210B6">
            <w:pPr>
              <w:spacing w:before="120" w:after="120" w:line="288" w:lineRule="auto"/>
              <w:jc w:val="both"/>
              <w:rPr>
                <w:rFonts w:cs="Arial"/>
                <w:b/>
                <w:color w:val="000000"/>
                <w:szCs w:val="20"/>
              </w:rPr>
            </w:pPr>
            <w:r w:rsidRPr="00E65655">
              <w:rPr>
                <w:rFonts w:cs="Arial"/>
                <w:b/>
                <w:color w:val="000000"/>
                <w:szCs w:val="20"/>
              </w:rPr>
              <w:t>1</w:t>
            </w:r>
          </w:p>
        </w:tc>
      </w:tr>
      <w:tr w:rsidR="003210B6" w:rsidRPr="00E65655" w14:paraId="4CBFC75C" w14:textId="77777777" w:rsidTr="003210B6">
        <w:tc>
          <w:tcPr>
            <w:tcW w:w="4050" w:type="dxa"/>
            <w:hideMark/>
          </w:tcPr>
          <w:p w14:paraId="72F82996"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Issue Price:</w:t>
            </w:r>
          </w:p>
        </w:tc>
        <w:tc>
          <w:tcPr>
            <w:tcW w:w="4590" w:type="dxa"/>
            <w:hideMark/>
          </w:tcPr>
          <w:p w14:paraId="35605C40" w14:textId="0A611103" w:rsidR="003210B6" w:rsidRPr="00E65655" w:rsidRDefault="00D566E3">
            <w:pPr>
              <w:spacing w:before="120" w:after="120" w:line="288" w:lineRule="auto"/>
              <w:jc w:val="both"/>
              <w:rPr>
                <w:rFonts w:cs="Arial"/>
                <w:color w:val="000000"/>
                <w:szCs w:val="20"/>
              </w:rPr>
            </w:pPr>
            <w:r>
              <w:rPr>
                <w:rFonts w:cs="Arial" w:hint="eastAsia"/>
                <w:b/>
                <w:color w:val="000000"/>
                <w:szCs w:val="20"/>
                <w:lang w:eastAsia="zh-CN"/>
              </w:rPr>
              <w:t>0</w:t>
            </w:r>
            <w:r w:rsidR="003210B6" w:rsidRPr="00E65655">
              <w:rPr>
                <w:rFonts w:cs="Arial"/>
                <w:b/>
                <w:color w:val="000000"/>
                <w:szCs w:val="20"/>
              </w:rPr>
              <w:t>.</w:t>
            </w:r>
            <w:r>
              <w:rPr>
                <w:rFonts w:cs="Arial" w:hint="eastAsia"/>
                <w:b/>
                <w:color w:val="000000"/>
                <w:szCs w:val="20"/>
                <w:lang w:eastAsia="zh-CN"/>
              </w:rPr>
              <w:t>8</w:t>
            </w:r>
            <w:r w:rsidR="003210B6" w:rsidRPr="00E65655">
              <w:rPr>
                <w:rFonts w:cs="Arial"/>
                <w:b/>
                <w:color w:val="000000"/>
                <w:szCs w:val="20"/>
              </w:rPr>
              <w:t>0 SGD</w:t>
            </w:r>
          </w:p>
        </w:tc>
      </w:tr>
      <w:tr w:rsidR="003210B6" w:rsidRPr="00E65655" w14:paraId="4C28AA52" w14:textId="77777777" w:rsidTr="003210B6">
        <w:tc>
          <w:tcPr>
            <w:tcW w:w="4050" w:type="dxa"/>
            <w:hideMark/>
          </w:tcPr>
          <w:p w14:paraId="744FF287"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Notional Amount per Certificate:</w:t>
            </w:r>
          </w:p>
        </w:tc>
        <w:tc>
          <w:tcPr>
            <w:tcW w:w="4590" w:type="dxa"/>
            <w:hideMark/>
          </w:tcPr>
          <w:p w14:paraId="3A182AA4" w14:textId="4CFF7C1F" w:rsidR="003210B6" w:rsidRPr="00E65655" w:rsidRDefault="00D566E3">
            <w:pPr>
              <w:spacing w:before="120" w:after="120" w:line="288" w:lineRule="auto"/>
              <w:jc w:val="both"/>
              <w:rPr>
                <w:rFonts w:cs="Arial"/>
                <w:color w:val="000000"/>
                <w:szCs w:val="20"/>
              </w:rPr>
            </w:pPr>
            <w:r>
              <w:rPr>
                <w:rFonts w:cs="Arial" w:hint="eastAsia"/>
                <w:b/>
                <w:color w:val="000000"/>
                <w:szCs w:val="20"/>
                <w:lang w:eastAsia="zh-CN"/>
              </w:rPr>
              <w:t>0</w:t>
            </w:r>
            <w:r w:rsidR="003210B6" w:rsidRPr="00E65655">
              <w:rPr>
                <w:rFonts w:cs="Arial"/>
                <w:b/>
                <w:color w:val="000000"/>
                <w:szCs w:val="20"/>
              </w:rPr>
              <w:t>.</w:t>
            </w:r>
            <w:r>
              <w:rPr>
                <w:rFonts w:cs="Arial" w:hint="eastAsia"/>
                <w:b/>
                <w:color w:val="000000"/>
                <w:szCs w:val="20"/>
                <w:lang w:eastAsia="zh-CN"/>
              </w:rPr>
              <w:t>8</w:t>
            </w:r>
            <w:r w:rsidR="003210B6" w:rsidRPr="00E65655">
              <w:rPr>
                <w:rFonts w:cs="Arial"/>
                <w:b/>
                <w:color w:val="000000"/>
                <w:szCs w:val="20"/>
              </w:rPr>
              <w:t>0 SGD</w:t>
            </w:r>
          </w:p>
        </w:tc>
      </w:tr>
      <w:tr w:rsidR="003210B6" w:rsidRPr="00E65655" w14:paraId="54EFF2E7" w14:textId="77777777" w:rsidTr="003210B6">
        <w:tc>
          <w:tcPr>
            <w:tcW w:w="4050" w:type="dxa"/>
            <w:hideMark/>
          </w:tcPr>
          <w:p w14:paraId="4F1AF656"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Management Fee (p.a.):</w:t>
            </w:r>
          </w:p>
        </w:tc>
        <w:tc>
          <w:tcPr>
            <w:tcW w:w="4590" w:type="dxa"/>
            <w:hideMark/>
          </w:tcPr>
          <w:p w14:paraId="58692652" w14:textId="77777777" w:rsidR="003210B6" w:rsidRPr="00E65655" w:rsidRDefault="003210B6">
            <w:pPr>
              <w:spacing w:before="120" w:after="120" w:line="288" w:lineRule="auto"/>
              <w:jc w:val="both"/>
              <w:rPr>
                <w:rFonts w:cs="Arial"/>
                <w:b/>
                <w:color w:val="000000"/>
                <w:szCs w:val="20"/>
              </w:rPr>
            </w:pPr>
            <w:r w:rsidRPr="00E65655">
              <w:rPr>
                <w:rFonts w:cs="Arial"/>
                <w:b/>
                <w:color w:val="000000"/>
                <w:szCs w:val="20"/>
              </w:rPr>
              <w:t>0.40%</w:t>
            </w:r>
          </w:p>
        </w:tc>
      </w:tr>
      <w:tr w:rsidR="003210B6" w:rsidRPr="00E65655" w14:paraId="5F670F31" w14:textId="77777777" w:rsidTr="003210B6">
        <w:tc>
          <w:tcPr>
            <w:tcW w:w="4050" w:type="dxa"/>
            <w:hideMark/>
          </w:tcPr>
          <w:p w14:paraId="14465CF7" w14:textId="77777777" w:rsidR="003210B6" w:rsidRPr="00E65655" w:rsidRDefault="003210B6">
            <w:pPr>
              <w:spacing w:before="120" w:after="120" w:line="288" w:lineRule="auto"/>
              <w:jc w:val="both"/>
              <w:rPr>
                <w:rFonts w:cs="Arial"/>
                <w:color w:val="000000"/>
                <w:szCs w:val="20"/>
              </w:rPr>
            </w:pPr>
            <w:r w:rsidRPr="00E65655">
              <w:rPr>
                <w:rFonts w:cs="Arial"/>
                <w:color w:val="000000"/>
                <w:szCs w:val="20"/>
              </w:rPr>
              <w:t>Gap Premium (p.a.):</w:t>
            </w:r>
          </w:p>
        </w:tc>
        <w:tc>
          <w:tcPr>
            <w:tcW w:w="4590" w:type="dxa"/>
            <w:hideMark/>
          </w:tcPr>
          <w:p w14:paraId="6A69296C" w14:textId="6183012C" w:rsidR="003210B6" w:rsidRPr="00E65655" w:rsidRDefault="003210B6">
            <w:pPr>
              <w:spacing w:before="120" w:after="120" w:line="288" w:lineRule="auto"/>
              <w:jc w:val="both"/>
              <w:rPr>
                <w:rFonts w:cs="Arial"/>
                <w:b/>
                <w:color w:val="000000"/>
                <w:szCs w:val="20"/>
              </w:rPr>
            </w:pPr>
            <w:r w:rsidRPr="00E65655">
              <w:rPr>
                <w:rFonts w:cs="Arial"/>
                <w:b/>
                <w:color w:val="000000"/>
                <w:szCs w:val="20"/>
                <w:lang w:eastAsia="zh-CN"/>
              </w:rPr>
              <w:t>1</w:t>
            </w:r>
            <w:r w:rsidR="00D566E3">
              <w:rPr>
                <w:rFonts w:cs="Arial" w:hint="eastAsia"/>
                <w:b/>
                <w:color w:val="000000"/>
                <w:szCs w:val="20"/>
                <w:lang w:eastAsia="zh-CN"/>
              </w:rPr>
              <w:t>7</w:t>
            </w:r>
            <w:r w:rsidRPr="00E65655">
              <w:rPr>
                <w:rFonts w:cs="Arial"/>
                <w:b/>
                <w:color w:val="000000"/>
                <w:szCs w:val="20"/>
                <w:lang w:eastAsia="zh-CN"/>
              </w:rPr>
              <w:t>.</w:t>
            </w:r>
            <w:r w:rsidR="00D566E3">
              <w:rPr>
                <w:rFonts w:cs="Arial" w:hint="eastAsia"/>
                <w:b/>
                <w:color w:val="000000"/>
                <w:szCs w:val="20"/>
                <w:lang w:eastAsia="zh-CN"/>
              </w:rPr>
              <w:t>00</w:t>
            </w:r>
            <w:r w:rsidRPr="00E65655">
              <w:rPr>
                <w:rFonts w:cs="Arial"/>
                <w:b/>
                <w:color w:val="000000"/>
                <w:szCs w:val="20"/>
                <w:lang w:eastAsia="zh-CN"/>
              </w:rPr>
              <w:t>%</w:t>
            </w:r>
          </w:p>
        </w:tc>
      </w:tr>
      <w:tr w:rsidR="003210B6" w:rsidRPr="00E65655" w14:paraId="6C9A3397" w14:textId="77777777" w:rsidTr="003210B6">
        <w:tc>
          <w:tcPr>
            <w:tcW w:w="4050" w:type="dxa"/>
            <w:hideMark/>
          </w:tcPr>
          <w:p w14:paraId="0FBEA76A" w14:textId="77777777" w:rsidR="003210B6" w:rsidRPr="00E65655" w:rsidRDefault="003210B6">
            <w:pPr>
              <w:spacing w:before="120" w:after="120" w:line="288" w:lineRule="auto"/>
              <w:jc w:val="both"/>
              <w:rPr>
                <w:rFonts w:cs="Arial"/>
                <w:color w:val="000000"/>
                <w:szCs w:val="20"/>
              </w:rPr>
            </w:pPr>
            <w:r w:rsidRPr="00E65655">
              <w:rPr>
                <w:rFonts w:cs="Arial"/>
              </w:rPr>
              <w:t>Strike Level</w:t>
            </w:r>
            <w:r w:rsidRPr="00E65655">
              <w:rPr>
                <w:rFonts w:cs="Arial"/>
                <w:color w:val="000000"/>
                <w:szCs w:val="20"/>
              </w:rPr>
              <w:t>:</w:t>
            </w:r>
          </w:p>
        </w:tc>
        <w:tc>
          <w:tcPr>
            <w:tcW w:w="4590" w:type="dxa"/>
            <w:hideMark/>
          </w:tcPr>
          <w:p w14:paraId="20295478" w14:textId="77777777" w:rsidR="003210B6" w:rsidRPr="00E65655" w:rsidRDefault="003210B6">
            <w:pPr>
              <w:spacing w:before="120" w:after="120" w:line="288" w:lineRule="auto"/>
              <w:jc w:val="both"/>
              <w:rPr>
                <w:rFonts w:cs="Arial"/>
                <w:color w:val="000000"/>
                <w:szCs w:val="20"/>
              </w:rPr>
            </w:pPr>
            <w:r w:rsidRPr="00E65655">
              <w:t>Zero</w:t>
            </w:r>
          </w:p>
        </w:tc>
      </w:tr>
    </w:tbl>
    <w:p w14:paraId="72BA2A4E" w14:textId="77777777" w:rsidR="003210B6" w:rsidRPr="00E65655" w:rsidRDefault="003210B6" w:rsidP="003210B6">
      <w:pPr>
        <w:autoSpaceDE w:val="0"/>
        <w:autoSpaceDN w:val="0"/>
        <w:adjustRightInd w:val="0"/>
        <w:spacing w:after="140" w:line="288" w:lineRule="auto"/>
        <w:jc w:val="both"/>
        <w:rPr>
          <w:rFonts w:cs="Arial"/>
          <w:b/>
          <w:color w:val="000000"/>
          <w:szCs w:val="20"/>
        </w:rPr>
      </w:pPr>
    </w:p>
    <w:p w14:paraId="4852253D" w14:textId="77777777" w:rsidR="00F13693" w:rsidRPr="00E65655" w:rsidRDefault="00F13693" w:rsidP="00F13693">
      <w:pPr>
        <w:autoSpaceDE w:val="0"/>
        <w:autoSpaceDN w:val="0"/>
        <w:adjustRightInd w:val="0"/>
        <w:spacing w:after="140" w:line="288" w:lineRule="auto"/>
        <w:jc w:val="both"/>
        <w:rPr>
          <w:rFonts w:cs="Arial"/>
          <w:b/>
          <w:color w:val="000000"/>
          <w:szCs w:val="20"/>
        </w:rPr>
      </w:pPr>
      <w:r w:rsidRPr="00E65655">
        <w:rPr>
          <w:rFonts w:cs="Arial"/>
          <w:b/>
          <w:color w:val="000000"/>
          <w:szCs w:val="20"/>
        </w:rPr>
        <w:t>Hedging Fee Factor</w:t>
      </w:r>
    </w:p>
    <w:p w14:paraId="126B7346" w14:textId="77777777" w:rsidR="00F13693" w:rsidRPr="00E65655" w:rsidRDefault="00F13693" w:rsidP="00F13693">
      <w:pPr>
        <w:autoSpaceDE w:val="0"/>
        <w:autoSpaceDN w:val="0"/>
        <w:adjustRightInd w:val="0"/>
        <w:spacing w:after="140" w:line="288" w:lineRule="auto"/>
        <w:jc w:val="both"/>
        <w:rPr>
          <w:rFonts w:cs="Arial"/>
          <w:color w:val="000000"/>
          <w:szCs w:val="20"/>
        </w:rPr>
      </w:pPr>
      <w:r w:rsidRPr="00E65655">
        <w:rPr>
          <w:rFonts w:cs="Arial"/>
          <w:color w:val="000000"/>
          <w:szCs w:val="20"/>
        </w:rPr>
        <w:t>Hedging Fee Factor on the n</w:t>
      </w:r>
      <w:r w:rsidRPr="00E65655">
        <w:rPr>
          <w:rFonts w:ascii="Arial Bold" w:hAnsi="Arial Bold" w:cs="Arial"/>
          <w:color w:val="000000"/>
          <w:szCs w:val="20"/>
          <w:vertAlign w:val="superscript"/>
        </w:rPr>
        <w:t>th</w:t>
      </w:r>
      <w:r w:rsidRPr="00E65655">
        <w:rPr>
          <w:rFonts w:cs="Arial"/>
          <w:color w:val="000000"/>
          <w:szCs w:val="20"/>
        </w:rPr>
        <w:t xml:space="preserve"> </w:t>
      </w:r>
      <w:r w:rsidRPr="00E65655">
        <w:rPr>
          <w:rFonts w:cs="Arial"/>
          <w:color w:val="000000"/>
          <w:szCs w:val="20"/>
          <w:lang w:eastAsia="zh-CN"/>
        </w:rPr>
        <w:t xml:space="preserve">Exchange </w:t>
      </w:r>
      <w:r w:rsidRPr="00E65655">
        <w:rPr>
          <w:rFonts w:cs="Arial"/>
          <w:color w:val="000000"/>
          <w:szCs w:val="20"/>
        </w:rPr>
        <w:t>Business Day after issuance of Certificate (“HFF (n)”) is calculated as follows:</w:t>
      </w:r>
    </w:p>
    <w:p w14:paraId="3F31FD4D" w14:textId="77777777" w:rsidR="00F13693" w:rsidRPr="00E65655" w:rsidRDefault="00F13693" w:rsidP="00F13693">
      <w:pPr>
        <w:autoSpaceDE w:val="0"/>
        <w:autoSpaceDN w:val="0"/>
        <w:adjustRightInd w:val="0"/>
        <w:spacing w:after="140" w:line="288" w:lineRule="auto"/>
        <w:jc w:val="both"/>
        <w:rPr>
          <w:rFonts w:cs="Arial"/>
          <w:color w:val="000000"/>
          <w:szCs w:val="20"/>
        </w:rPr>
      </w:pPr>
      <w:proofErr w:type="gramStart"/>
      <w:r w:rsidRPr="00E65655">
        <w:rPr>
          <w:rFonts w:cs="Arial"/>
          <w:color w:val="000000"/>
          <w:szCs w:val="20"/>
        </w:rPr>
        <w:t>HFF(</w:t>
      </w:r>
      <w:proofErr w:type="gramEnd"/>
      <w:r w:rsidRPr="00E65655">
        <w:rPr>
          <w:rFonts w:cs="Arial"/>
          <w:color w:val="000000"/>
          <w:szCs w:val="20"/>
        </w:rPr>
        <w:t>0) = 100%</w:t>
      </w:r>
    </w:p>
    <w:p w14:paraId="7BCF47A3" w14:textId="77777777" w:rsidR="00F13693" w:rsidRPr="00E65655" w:rsidRDefault="00F13693" w:rsidP="00F13693">
      <w:pPr>
        <w:keepNext/>
        <w:autoSpaceDE w:val="0"/>
        <w:autoSpaceDN w:val="0"/>
        <w:adjustRightInd w:val="0"/>
        <w:spacing w:after="140" w:line="288" w:lineRule="auto"/>
        <w:jc w:val="both"/>
        <w:rPr>
          <w:rFonts w:cs="Arial"/>
          <w:color w:val="000000"/>
          <w:szCs w:val="20"/>
        </w:rPr>
      </w:pPr>
      <w:r w:rsidRPr="00E65655">
        <w:rPr>
          <w:rFonts w:cs="Arial"/>
          <w:color w:val="000000"/>
          <w:szCs w:val="20"/>
        </w:rPr>
        <w:t>On Next Calendar Day (assuming it is a</w:t>
      </w:r>
      <w:r w:rsidRPr="00E65655">
        <w:rPr>
          <w:rFonts w:cs="Arial"/>
          <w:color w:val="000000"/>
          <w:szCs w:val="20"/>
          <w:lang w:eastAsia="zh-CN"/>
        </w:rPr>
        <w:t>n Exchange</w:t>
      </w:r>
      <w:r w:rsidRPr="00E65655">
        <w:rPr>
          <w:rFonts w:cs="Arial"/>
          <w:color w:val="000000"/>
          <w:szCs w:val="20"/>
        </w:rPr>
        <w:t xml:space="preserve"> Business Day): </w:t>
      </w:r>
    </w:p>
    <w:p w14:paraId="59FC4228" w14:textId="77777777" w:rsidR="00F13693" w:rsidRPr="00E65655" w:rsidRDefault="00F13693" w:rsidP="00F13693">
      <w:pPr>
        <w:keepNext/>
        <w:autoSpaceDE w:val="0"/>
        <w:autoSpaceDN w:val="0"/>
        <w:adjustRightInd w:val="0"/>
        <w:spacing w:after="140" w:line="288" w:lineRule="auto"/>
        <w:jc w:val="both"/>
        <w:rPr>
          <w:rFonts w:cs="Arial"/>
          <w:color w:val="000000"/>
          <w:sz w:val="18"/>
          <w:szCs w:val="18"/>
          <w:lang w:val="fr-FR"/>
        </w:rPr>
      </w:pPr>
      <m:oMathPara>
        <m:oMathParaPr>
          <m:jc m:val="left"/>
        </m:oMathParaPr>
        <m:oMath>
          <m:r>
            <m:rPr>
              <m:sty m:val="p"/>
            </m:rPr>
            <w:rPr>
              <w:rFonts w:ascii="Cambria Math" w:hAnsi="Cambria Math" w:cs="Arial"/>
              <w:color w:val="000000"/>
              <w:sz w:val="18"/>
              <w:szCs w:val="18"/>
              <w:lang w:val="fr-FR"/>
            </w:rPr>
            <m:t xml:space="preserve">HFF (1) = HFF (0) × </m:t>
          </m:r>
          <m:d>
            <m:dPr>
              <m:ctrlPr>
                <w:rPr>
                  <w:rFonts w:ascii="Cambria Math" w:hAnsi="Cambria Math" w:cs="Arial"/>
                  <w:color w:val="000000"/>
                  <w:sz w:val="18"/>
                  <w:szCs w:val="18"/>
                  <w:lang w:val="fr-FR"/>
                </w:rPr>
              </m:ctrlPr>
            </m:dPr>
            <m:e>
              <m:r>
                <m:rPr>
                  <m:sty m:val="p"/>
                </m:rPr>
                <w:rPr>
                  <w:rFonts w:ascii="Cambria Math" w:hAnsi="Cambria Math"/>
                  <w:sz w:val="18"/>
                  <w:szCs w:val="18"/>
                  <w:lang w:val="fr-FR"/>
                </w:rPr>
                <m:t xml:space="preserve">1 - Management Fee × </m:t>
              </m:r>
              <m:f>
                <m:fPr>
                  <m:ctrlPr>
                    <w:rPr>
                      <w:rFonts w:ascii="Cambria Math" w:hAnsi="Cambria Math"/>
                      <w:sz w:val="18"/>
                      <w:szCs w:val="18"/>
                      <w:lang w:val="fr-FR"/>
                    </w:rPr>
                  </m:ctrlPr>
                </m:fPr>
                <m:num>
                  <m:r>
                    <m:rPr>
                      <m:sty m:val="p"/>
                    </m:rPr>
                    <w:rPr>
                      <w:rFonts w:ascii="Cambria Math" w:hAnsi="Cambria Math"/>
                      <w:sz w:val="18"/>
                      <w:szCs w:val="18"/>
                      <w:lang w:val="fr-FR"/>
                    </w:rPr>
                    <m:t>ACT (t-1;t)</m:t>
                  </m:r>
                </m:num>
                <m:den>
                  <m:r>
                    <m:rPr>
                      <m:sty m:val="p"/>
                    </m:rPr>
                    <w:rPr>
                      <w:rFonts w:ascii="Cambria Math" w:hAnsi="Cambria Math"/>
                      <w:sz w:val="18"/>
                      <w:szCs w:val="18"/>
                      <w:lang w:val="fr-FR"/>
                    </w:rPr>
                    <m:t>360</m:t>
                  </m:r>
                </m:den>
              </m:f>
            </m:e>
          </m:d>
          <m:r>
            <m:rPr>
              <m:sty m:val="p"/>
            </m:rPr>
            <w:rPr>
              <w:rFonts w:ascii="Cambria Math" w:hAnsi="Cambria Math"/>
              <w:sz w:val="18"/>
              <w:szCs w:val="18"/>
              <w:lang w:val="fr-FR"/>
            </w:rPr>
            <m:t xml:space="preserve"> × </m:t>
          </m:r>
          <m:d>
            <m:dPr>
              <m:ctrlPr>
                <w:rPr>
                  <w:rFonts w:ascii="Cambria Math" w:hAnsi="Cambria Math" w:cs="Arial"/>
                  <w:color w:val="000000"/>
                  <w:sz w:val="18"/>
                  <w:szCs w:val="18"/>
                  <w:lang w:val="fr-FR"/>
                </w:rPr>
              </m:ctrlPr>
            </m:dPr>
            <m:e>
              <m:r>
                <m:rPr>
                  <m:sty m:val="p"/>
                </m:rPr>
                <w:rPr>
                  <w:rFonts w:ascii="Cambria Math" w:hAnsi="Cambria Math"/>
                  <w:sz w:val="18"/>
                  <w:szCs w:val="18"/>
                  <w:lang w:val="fr-FR"/>
                </w:rPr>
                <m:t xml:space="preserve">1 - Gap Premium × </m:t>
              </m:r>
              <m:f>
                <m:fPr>
                  <m:ctrlPr>
                    <w:rPr>
                      <w:rFonts w:ascii="Cambria Math" w:hAnsi="Cambria Math"/>
                      <w:sz w:val="18"/>
                      <w:szCs w:val="18"/>
                      <w:lang w:val="fr-FR"/>
                    </w:rPr>
                  </m:ctrlPr>
                </m:fPr>
                <m:num>
                  <m:r>
                    <m:rPr>
                      <m:sty m:val="p"/>
                    </m:rPr>
                    <w:rPr>
                      <w:rFonts w:ascii="Cambria Math" w:hAnsi="Cambria Math"/>
                      <w:sz w:val="18"/>
                      <w:szCs w:val="18"/>
                      <w:lang w:val="fr-FR"/>
                    </w:rPr>
                    <m:t>ACT (t-1;t)</m:t>
                  </m:r>
                </m:num>
                <m:den>
                  <m:r>
                    <m:rPr>
                      <m:sty m:val="p"/>
                    </m:rPr>
                    <w:rPr>
                      <w:rFonts w:ascii="Cambria Math" w:hAnsi="Cambria Math"/>
                      <w:sz w:val="18"/>
                      <w:szCs w:val="18"/>
                      <w:lang w:val="fr-FR"/>
                    </w:rPr>
                    <m:t>360</m:t>
                  </m:r>
                </m:den>
              </m:f>
            </m:e>
          </m:d>
        </m:oMath>
      </m:oMathPara>
    </w:p>
    <w:p w14:paraId="3D82E1CE" w14:textId="5B3A4C87" w:rsidR="00F13693" w:rsidRPr="00E65655" w:rsidRDefault="00F13693" w:rsidP="00F13693">
      <w:pPr>
        <w:autoSpaceDE w:val="0"/>
        <w:autoSpaceDN w:val="0"/>
        <w:adjustRightInd w:val="0"/>
        <w:spacing w:after="140" w:line="288" w:lineRule="auto"/>
        <w:jc w:val="both"/>
        <w:rPr>
          <w:rFonts w:cs="Arial"/>
          <w:color w:val="000000"/>
          <w:szCs w:val="20"/>
          <w:lang w:val="fr-FR"/>
        </w:rPr>
      </w:pPr>
      <m:oMathPara>
        <m:oMathParaPr>
          <m:jc m:val="left"/>
        </m:oMathParaPr>
        <m:oMath>
          <m:r>
            <m:rPr>
              <m:sty m:val="p"/>
            </m:rPr>
            <w:rPr>
              <w:rFonts w:ascii="Cambria Math" w:hAnsi="Cambria Math" w:cs="Arial"/>
              <w:color w:val="000000"/>
              <w:szCs w:val="20"/>
              <w:lang w:val="fr-FR"/>
            </w:rPr>
            <m:t xml:space="preserve">HFF </m:t>
          </m:r>
          <m:d>
            <m:dPr>
              <m:ctrlPr>
                <w:rPr>
                  <w:rFonts w:ascii="Cambria Math" w:hAnsi="Cambria Math" w:cs="Arial"/>
                  <w:color w:val="000000"/>
                  <w:lang w:val="fr-FR"/>
                </w:rPr>
              </m:ctrlPr>
            </m:dPr>
            <m:e>
              <m:r>
                <m:rPr>
                  <m:sty m:val="p"/>
                </m:rPr>
                <w:rPr>
                  <w:rFonts w:ascii="Cambria Math" w:hAnsi="Cambria Math" w:cs="Arial"/>
                  <w:color w:val="000000"/>
                  <w:szCs w:val="20"/>
                  <w:lang w:val="fr-FR"/>
                </w:rPr>
                <m:t>1</m:t>
              </m:r>
            </m:e>
          </m:d>
          <m:r>
            <m:rPr>
              <m:sty m:val="p"/>
            </m:rPr>
            <w:rPr>
              <w:rFonts w:ascii="Cambria Math" w:hAnsi="Cambria Math" w:cs="Arial"/>
              <w:color w:val="000000"/>
              <w:szCs w:val="20"/>
              <w:lang w:val="fr-FR"/>
            </w:rPr>
            <m:t xml:space="preserve">= 100% × </m:t>
          </m:r>
          <m:d>
            <m:dPr>
              <m:ctrlPr>
                <w:rPr>
                  <w:rFonts w:ascii="Cambria Math" w:hAnsi="Cambria Math" w:cs="Arial"/>
                  <w:color w:val="000000"/>
                  <w:lang w:val="fr-FR"/>
                </w:rPr>
              </m:ctrlPr>
            </m:dPr>
            <m:e>
              <m:r>
                <m:rPr>
                  <m:sty m:val="p"/>
                </m:rPr>
                <w:rPr>
                  <w:rFonts w:ascii="Cambria Math" w:hAnsi="Cambria Math"/>
                  <w:szCs w:val="20"/>
                  <w:lang w:val="fr-FR"/>
                </w:rPr>
                <m:t xml:space="preserve">1 - 0.40% × </m:t>
              </m:r>
              <m:f>
                <m:fPr>
                  <m:ctrlPr>
                    <w:rPr>
                      <w:rFonts w:ascii="Cambria Math" w:hAnsi="Cambria Math"/>
                      <w:lang w:val="fr-FR"/>
                    </w:rPr>
                  </m:ctrlPr>
                </m:fPr>
                <m:num>
                  <m:r>
                    <m:rPr>
                      <m:sty m:val="p"/>
                    </m:rPr>
                    <w:rPr>
                      <w:rFonts w:ascii="Cambria Math" w:hAnsi="Cambria Math"/>
                      <w:szCs w:val="20"/>
                      <w:lang w:val="fr-FR"/>
                    </w:rPr>
                    <m:t>1</m:t>
                  </m:r>
                </m:num>
                <m:den>
                  <m:r>
                    <m:rPr>
                      <m:sty m:val="p"/>
                    </m:rPr>
                    <w:rPr>
                      <w:rFonts w:ascii="Cambria Math" w:hAnsi="Cambria Math"/>
                      <w:szCs w:val="20"/>
                      <w:lang w:val="fr-FR"/>
                    </w:rPr>
                    <m:t>360</m:t>
                  </m:r>
                </m:den>
              </m:f>
            </m:e>
          </m:d>
          <m:r>
            <m:rPr>
              <m:sty m:val="p"/>
            </m:rPr>
            <w:rPr>
              <w:rFonts w:ascii="Cambria Math" w:hAnsi="Cambria Math"/>
              <w:szCs w:val="20"/>
              <w:lang w:val="fr-FR"/>
            </w:rPr>
            <m:t xml:space="preserve"> × </m:t>
          </m:r>
          <m:d>
            <m:dPr>
              <m:ctrlPr>
                <w:rPr>
                  <w:rFonts w:ascii="Cambria Math" w:hAnsi="Cambria Math" w:cs="Arial"/>
                  <w:color w:val="000000"/>
                  <w:lang w:val="fr-FR"/>
                </w:rPr>
              </m:ctrlPr>
            </m:dPr>
            <m:e>
              <m:r>
                <m:rPr>
                  <m:sty m:val="p"/>
                </m:rPr>
                <w:rPr>
                  <w:rFonts w:ascii="Cambria Math" w:hAnsi="Cambria Math"/>
                  <w:szCs w:val="20"/>
                  <w:lang w:val="fr-FR"/>
                </w:rPr>
                <m:t xml:space="preserve">1 - 17.00% × </m:t>
              </m:r>
              <m:f>
                <m:fPr>
                  <m:ctrlPr>
                    <w:rPr>
                      <w:rFonts w:ascii="Cambria Math" w:hAnsi="Cambria Math"/>
                      <w:lang w:val="fr-FR"/>
                    </w:rPr>
                  </m:ctrlPr>
                </m:fPr>
                <m:num>
                  <m:r>
                    <m:rPr>
                      <m:sty m:val="p"/>
                    </m:rPr>
                    <w:rPr>
                      <w:rFonts w:ascii="Cambria Math" w:hAnsi="Cambria Math"/>
                      <w:szCs w:val="20"/>
                      <w:lang w:val="fr-FR"/>
                    </w:rPr>
                    <m:t>1</m:t>
                  </m:r>
                </m:num>
                <m:den>
                  <m:r>
                    <m:rPr>
                      <m:sty m:val="p"/>
                    </m:rPr>
                    <w:rPr>
                      <w:rFonts w:ascii="Cambria Math" w:hAnsi="Cambria Math"/>
                      <w:szCs w:val="20"/>
                      <w:lang w:val="fr-FR"/>
                    </w:rPr>
                    <m:t>360</m:t>
                  </m:r>
                </m:den>
              </m:f>
            </m:e>
          </m:d>
        </m:oMath>
      </m:oMathPara>
    </w:p>
    <w:p w14:paraId="611D7D8A" w14:textId="6E14DAE6" w:rsidR="00F13693" w:rsidRPr="00E65655" w:rsidRDefault="00224664" w:rsidP="00F13693">
      <w:pPr>
        <w:autoSpaceDE w:val="0"/>
        <w:autoSpaceDN w:val="0"/>
        <w:adjustRightInd w:val="0"/>
        <w:spacing w:after="140" w:line="288" w:lineRule="auto"/>
        <w:jc w:val="both"/>
        <w:rPr>
          <w:rFonts w:cs="Arial"/>
          <w:color w:val="000000"/>
          <w:szCs w:val="20"/>
          <w:lang w:val="en-US"/>
        </w:rPr>
      </w:pPr>
      <m:oMathPara>
        <m:oMathParaPr>
          <m:jc m:val="left"/>
        </m:oMathParaPr>
        <m:oMath>
          <m:r>
            <m:rPr>
              <m:sty m:val="p"/>
            </m:rPr>
            <w:rPr>
              <w:rFonts w:ascii="Cambria Math" w:hAnsi="Cambria Math" w:cs="Arial" w:hint="eastAsia"/>
              <w:color w:val="000000"/>
              <w:szCs w:val="20"/>
              <w:lang w:val="en-US"/>
            </w:rPr>
            <m:t xml:space="preserve">HFF (1) = 100.0000% x 99.9989% x 99.9528% </m:t>
          </m:r>
          <m:r>
            <m:rPr>
              <m:sty m:val="p"/>
            </m:rPr>
            <w:rPr>
              <w:rFonts w:ascii="Cambria Math" w:hAnsi="Cambria Math" w:cs="Arial" w:hint="eastAsia"/>
              <w:color w:val="000000"/>
              <w:szCs w:val="20"/>
              <w:lang w:val="en-US"/>
            </w:rPr>
            <m:t>≈</m:t>
          </m:r>
          <m:r>
            <m:rPr>
              <m:sty m:val="p"/>
            </m:rPr>
            <w:rPr>
              <w:rFonts w:ascii="Cambria Math" w:hAnsi="Cambria Math" w:cs="Arial" w:hint="eastAsia"/>
              <w:color w:val="000000"/>
              <w:szCs w:val="20"/>
              <w:lang w:val="en-US"/>
            </w:rPr>
            <m:t xml:space="preserve"> 99.9517</m:t>
          </m:r>
          <m:r>
            <m:rPr>
              <m:sty m:val="p"/>
            </m:rPr>
            <w:rPr>
              <w:rFonts w:ascii="Cambria Math" w:hAnsi="Cambria Math" w:cs="Arial"/>
              <w:color w:val="000000"/>
              <w:szCs w:val="20"/>
              <w:lang w:val="en-US"/>
            </w:rPr>
            <m:t>%</m:t>
          </m:r>
        </m:oMath>
      </m:oMathPara>
    </w:p>
    <w:p w14:paraId="436611F1" w14:textId="77777777" w:rsidR="00F13693" w:rsidRPr="00E65655" w:rsidRDefault="00F13693" w:rsidP="00F13693">
      <w:pPr>
        <w:autoSpaceDE w:val="0"/>
        <w:autoSpaceDN w:val="0"/>
        <w:adjustRightInd w:val="0"/>
        <w:spacing w:after="140" w:line="288" w:lineRule="auto"/>
        <w:jc w:val="both"/>
        <w:rPr>
          <w:rFonts w:cs="Arial"/>
          <w:color w:val="000000"/>
          <w:szCs w:val="20"/>
        </w:rPr>
      </w:pPr>
      <w:r w:rsidRPr="00E65655">
        <w:rPr>
          <w:rFonts w:cs="Arial"/>
          <w:color w:val="000000"/>
          <w:szCs w:val="20"/>
        </w:rPr>
        <w:t>Assuming 2</w:t>
      </w:r>
      <w:r w:rsidRPr="00E65655">
        <w:rPr>
          <w:rFonts w:cs="Arial"/>
          <w:color w:val="000000"/>
          <w:szCs w:val="20"/>
          <w:vertAlign w:val="superscript"/>
        </w:rPr>
        <w:t>nd</w:t>
      </w:r>
      <w:r w:rsidRPr="00E65655">
        <w:rPr>
          <w:rFonts w:cs="Arial"/>
          <w:color w:val="000000"/>
          <w:szCs w:val="20"/>
        </w:rPr>
        <w:t xml:space="preserve"> </w:t>
      </w:r>
      <w:r w:rsidRPr="00E65655">
        <w:rPr>
          <w:rFonts w:cs="Arial"/>
          <w:color w:val="000000"/>
          <w:szCs w:val="20"/>
          <w:lang w:eastAsia="zh-CN"/>
        </w:rPr>
        <w:t xml:space="preserve">Exchange </w:t>
      </w:r>
      <w:r w:rsidRPr="00E65655">
        <w:rPr>
          <w:rFonts w:cs="Arial"/>
          <w:color w:val="000000"/>
          <w:szCs w:val="20"/>
        </w:rPr>
        <w:t>Business Day falls 3 Calendar Days after 1</w:t>
      </w:r>
      <w:r w:rsidRPr="00E65655">
        <w:rPr>
          <w:rFonts w:cs="Arial"/>
          <w:color w:val="000000"/>
          <w:szCs w:val="20"/>
          <w:vertAlign w:val="superscript"/>
        </w:rPr>
        <w:t>st</w:t>
      </w:r>
      <w:r w:rsidRPr="00E65655">
        <w:rPr>
          <w:rFonts w:cs="Arial"/>
          <w:color w:val="000000"/>
          <w:szCs w:val="20"/>
        </w:rPr>
        <w:t xml:space="preserve"> </w:t>
      </w:r>
      <w:r w:rsidRPr="00E65655">
        <w:rPr>
          <w:rFonts w:cs="Arial"/>
          <w:color w:val="000000"/>
          <w:szCs w:val="20"/>
          <w:lang w:eastAsia="zh-CN"/>
        </w:rPr>
        <w:t xml:space="preserve">Exchange </w:t>
      </w:r>
      <w:r w:rsidRPr="00E65655">
        <w:rPr>
          <w:rFonts w:cs="Arial"/>
          <w:color w:val="000000"/>
          <w:szCs w:val="20"/>
        </w:rPr>
        <w:t xml:space="preserve">Business Day: </w:t>
      </w:r>
    </w:p>
    <w:p w14:paraId="3DCB193A" w14:textId="77777777" w:rsidR="00F13693" w:rsidRPr="00E65655" w:rsidRDefault="00F13693" w:rsidP="00F13693">
      <w:pPr>
        <w:autoSpaceDE w:val="0"/>
        <w:autoSpaceDN w:val="0"/>
        <w:adjustRightInd w:val="0"/>
        <w:spacing w:after="140" w:line="288" w:lineRule="auto"/>
        <w:jc w:val="both"/>
        <w:rPr>
          <w:rFonts w:cs="Arial"/>
          <w:color w:val="000000"/>
          <w:szCs w:val="20"/>
          <w:lang w:val="fr-FR"/>
        </w:rPr>
      </w:pPr>
      <m:oMathPara>
        <m:oMathParaPr>
          <m:jc m:val="left"/>
        </m:oMathParaPr>
        <m:oMath>
          <m:r>
            <m:rPr>
              <m:sty m:val="p"/>
            </m:rPr>
            <w:rPr>
              <w:rFonts w:ascii="Cambria Math" w:hAnsi="Cambria Math" w:cs="Arial"/>
              <w:color w:val="000000"/>
              <w:szCs w:val="20"/>
              <w:lang w:val="fr-FR"/>
            </w:rPr>
            <m:t xml:space="preserve">HFF </m:t>
          </m:r>
          <m:d>
            <m:dPr>
              <m:ctrlPr>
                <w:rPr>
                  <w:rFonts w:ascii="Cambria Math" w:hAnsi="Cambria Math" w:cs="Arial"/>
                  <w:color w:val="000000"/>
                  <w:lang w:val="fr-FR"/>
                </w:rPr>
              </m:ctrlPr>
            </m:dPr>
            <m:e>
              <m:r>
                <m:rPr>
                  <m:sty m:val="p"/>
                </m:rPr>
                <w:rPr>
                  <w:rFonts w:ascii="Cambria Math" w:hAnsi="Cambria Math" w:cs="Arial"/>
                  <w:color w:val="000000"/>
                  <w:szCs w:val="20"/>
                  <w:lang w:val="fr-FR"/>
                </w:rPr>
                <m:t>2</m:t>
              </m:r>
            </m:e>
          </m:d>
          <m:r>
            <m:rPr>
              <m:sty m:val="p"/>
            </m:rPr>
            <w:rPr>
              <w:rFonts w:ascii="Cambria Math" w:hAnsi="Cambria Math" w:cs="Arial"/>
              <w:color w:val="000000"/>
              <w:szCs w:val="20"/>
              <w:lang w:val="fr-FR"/>
            </w:rPr>
            <m:t>=HFF (1)</m:t>
          </m:r>
          <m:r>
            <m:rPr>
              <m:sty m:val="p"/>
            </m:rPr>
            <w:rPr>
              <w:rFonts w:ascii="Cambria Math" w:hAnsi="Cambria Math" w:cs="Arial" w:hint="eastAsia"/>
              <w:color w:val="000000"/>
              <w:szCs w:val="20"/>
              <w:lang w:val="fr-FR"/>
            </w:rPr>
            <m:t>×</m:t>
          </m:r>
          <m:d>
            <m:dPr>
              <m:ctrlPr>
                <w:rPr>
                  <w:rFonts w:ascii="Cambria Math" w:hAnsi="Cambria Math" w:cs="Arial"/>
                  <w:color w:val="000000"/>
                  <w:lang w:val="fr-FR"/>
                </w:rPr>
              </m:ctrlPr>
            </m:dPr>
            <m:e>
              <m:r>
                <m:rPr>
                  <m:sty m:val="p"/>
                </m:rPr>
                <w:rPr>
                  <w:rFonts w:ascii="Cambria Math" w:hAnsi="Cambria Math"/>
                  <w:szCs w:val="20"/>
                  <w:lang w:val="fr-FR"/>
                </w:rPr>
                <m:t xml:space="preserve">1 </m:t>
              </m:r>
              <m:r>
                <m:rPr>
                  <m:sty m:val="p"/>
                </m:rPr>
                <w:rPr>
                  <w:rFonts w:ascii="Cambria Math" w:hAnsi="Cambria Math" w:hint="eastAsia"/>
                  <w:szCs w:val="20"/>
                  <w:lang w:val="fr-FR"/>
                </w:rPr>
                <m:t>-</m:t>
              </m:r>
              <m:r>
                <m:rPr>
                  <m:sty m:val="p"/>
                </m:rPr>
                <w:rPr>
                  <w:rFonts w:ascii="Cambria Math" w:hAnsi="Cambria Math"/>
                  <w:szCs w:val="20"/>
                  <w:lang w:val="fr-FR"/>
                </w:rPr>
                <m:t xml:space="preserve"> Management Fee </m:t>
              </m:r>
              <m:r>
                <m:rPr>
                  <m:sty m:val="p"/>
                </m:rPr>
                <w:rPr>
                  <w:rFonts w:ascii="Cambria Math" w:hAnsi="Cambria Math" w:hint="eastAsia"/>
                  <w:szCs w:val="20"/>
                  <w:lang w:val="fr-FR"/>
                </w:rPr>
                <m:t>×</m:t>
              </m:r>
              <m:r>
                <m:rPr>
                  <m:sty m:val="p"/>
                </m:rPr>
                <w:rPr>
                  <w:rFonts w:ascii="Cambria Math" w:hAnsi="Cambria Math"/>
                  <w:szCs w:val="20"/>
                  <w:lang w:val="fr-FR"/>
                </w:rPr>
                <m:t xml:space="preserve"> </m:t>
              </m:r>
              <m:f>
                <m:fPr>
                  <m:ctrlPr>
                    <w:rPr>
                      <w:rFonts w:ascii="Cambria Math" w:hAnsi="Cambria Math"/>
                      <w:lang w:val="fr-FR"/>
                    </w:rPr>
                  </m:ctrlPr>
                </m:fPr>
                <m:num>
                  <m:r>
                    <m:rPr>
                      <m:sty m:val="p"/>
                    </m:rPr>
                    <w:rPr>
                      <w:rFonts w:ascii="Cambria Math" w:hAnsi="Cambria Math"/>
                      <w:szCs w:val="20"/>
                      <w:lang w:val="fr-FR"/>
                    </w:rPr>
                    <m:t>ACT (t-1;t)</m:t>
                  </m:r>
                </m:num>
                <m:den>
                  <m:r>
                    <m:rPr>
                      <m:sty m:val="p"/>
                    </m:rPr>
                    <w:rPr>
                      <w:rFonts w:ascii="Cambria Math" w:hAnsi="Cambria Math"/>
                      <w:szCs w:val="20"/>
                      <w:lang w:val="fr-FR"/>
                    </w:rPr>
                    <m:t>360</m:t>
                  </m:r>
                </m:den>
              </m:f>
            </m:e>
          </m:d>
          <m:r>
            <m:rPr>
              <m:sty m:val="p"/>
            </m:rPr>
            <w:rPr>
              <w:rFonts w:ascii="Cambria Math" w:hAnsi="Cambria Math"/>
              <w:szCs w:val="20"/>
              <w:lang w:val="fr-FR"/>
            </w:rPr>
            <m:t xml:space="preserve"> </m:t>
          </m:r>
          <m:r>
            <m:rPr>
              <m:sty m:val="p"/>
            </m:rPr>
            <w:rPr>
              <w:rFonts w:ascii="Cambria Math" w:hAnsi="Cambria Math" w:hint="eastAsia"/>
              <w:szCs w:val="20"/>
              <w:lang w:val="fr-FR"/>
            </w:rPr>
            <m:t>×</m:t>
          </m:r>
          <m:r>
            <m:rPr>
              <m:sty m:val="p"/>
            </m:rPr>
            <w:rPr>
              <w:rFonts w:ascii="Cambria Math" w:hAnsi="Cambria Math"/>
              <w:szCs w:val="20"/>
              <w:lang w:val="fr-FR"/>
            </w:rPr>
            <m:t xml:space="preserve"> </m:t>
          </m:r>
          <m:d>
            <m:dPr>
              <m:ctrlPr>
                <w:rPr>
                  <w:rFonts w:ascii="Cambria Math" w:hAnsi="Cambria Math" w:cs="Arial"/>
                  <w:color w:val="000000"/>
                  <w:lang w:val="fr-FR"/>
                </w:rPr>
              </m:ctrlPr>
            </m:dPr>
            <m:e>
              <m:r>
                <m:rPr>
                  <m:sty m:val="p"/>
                </m:rPr>
                <w:rPr>
                  <w:rFonts w:ascii="Cambria Math" w:hAnsi="Cambria Math"/>
                  <w:szCs w:val="20"/>
                  <w:lang w:val="fr-FR"/>
                </w:rPr>
                <m:t xml:space="preserve">1 </m:t>
              </m:r>
              <m:r>
                <m:rPr>
                  <m:sty m:val="p"/>
                </m:rPr>
                <w:rPr>
                  <w:rFonts w:ascii="Cambria Math" w:hAnsi="Cambria Math" w:hint="eastAsia"/>
                  <w:szCs w:val="20"/>
                  <w:lang w:val="fr-FR"/>
                </w:rPr>
                <m:t>-</m:t>
              </m:r>
              <m:r>
                <m:rPr>
                  <m:sty m:val="p"/>
                </m:rPr>
                <w:rPr>
                  <w:rFonts w:ascii="Cambria Math" w:hAnsi="Cambria Math"/>
                  <w:szCs w:val="20"/>
                  <w:lang w:val="fr-FR"/>
                </w:rPr>
                <m:t xml:space="preserve"> Gap Premium </m:t>
              </m:r>
              <m:r>
                <m:rPr>
                  <m:sty m:val="p"/>
                </m:rPr>
                <w:rPr>
                  <w:rFonts w:ascii="Cambria Math" w:hAnsi="Cambria Math" w:hint="eastAsia"/>
                  <w:szCs w:val="20"/>
                  <w:lang w:val="fr-FR"/>
                </w:rPr>
                <m:t>×</m:t>
              </m:r>
              <m:r>
                <m:rPr>
                  <m:sty m:val="p"/>
                </m:rPr>
                <w:rPr>
                  <w:rFonts w:ascii="Cambria Math" w:hAnsi="Cambria Math"/>
                  <w:szCs w:val="20"/>
                  <w:lang w:val="fr-FR"/>
                </w:rPr>
                <m:t xml:space="preserve"> </m:t>
              </m:r>
              <m:f>
                <m:fPr>
                  <m:ctrlPr>
                    <w:rPr>
                      <w:rFonts w:ascii="Cambria Math" w:hAnsi="Cambria Math"/>
                      <w:lang w:val="fr-FR"/>
                    </w:rPr>
                  </m:ctrlPr>
                </m:fPr>
                <m:num>
                  <m:r>
                    <m:rPr>
                      <m:sty m:val="p"/>
                    </m:rPr>
                    <w:rPr>
                      <w:rFonts w:ascii="Cambria Math" w:hAnsi="Cambria Math"/>
                      <w:szCs w:val="20"/>
                      <w:lang w:val="fr-FR"/>
                    </w:rPr>
                    <m:t>ACT (t-1;t)</m:t>
                  </m:r>
                </m:num>
                <m:den>
                  <m:r>
                    <m:rPr>
                      <m:sty m:val="p"/>
                    </m:rPr>
                    <w:rPr>
                      <w:rFonts w:ascii="Cambria Math" w:hAnsi="Cambria Math"/>
                      <w:szCs w:val="20"/>
                      <w:lang w:val="fr-FR"/>
                    </w:rPr>
                    <m:t>360</m:t>
                  </m:r>
                </m:den>
              </m:f>
            </m:e>
          </m:d>
          <m:r>
            <m:rPr>
              <m:sty m:val="p"/>
            </m:rPr>
            <w:rPr>
              <w:rFonts w:ascii="Cambria Math" w:hAnsi="Cambria Math" w:cs="Arial"/>
              <w:color w:val="000000"/>
              <w:szCs w:val="20"/>
              <w:lang w:val="fr-FR"/>
            </w:rPr>
            <m:t xml:space="preserve"> </m:t>
          </m:r>
        </m:oMath>
      </m:oMathPara>
    </w:p>
    <w:p w14:paraId="33939545" w14:textId="066B6860" w:rsidR="00F13693" w:rsidRPr="00E65655" w:rsidRDefault="00F13693" w:rsidP="00F13693">
      <w:pPr>
        <w:autoSpaceDE w:val="0"/>
        <w:autoSpaceDN w:val="0"/>
        <w:adjustRightInd w:val="0"/>
        <w:spacing w:after="140" w:line="288" w:lineRule="auto"/>
        <w:jc w:val="both"/>
        <w:rPr>
          <w:rFonts w:cs="Arial"/>
          <w:color w:val="000000"/>
          <w:sz w:val="18"/>
          <w:szCs w:val="20"/>
          <w:lang w:val="fr-FR"/>
        </w:rPr>
      </w:pPr>
      <m:oMathPara>
        <m:oMathParaPr>
          <m:jc m:val="left"/>
        </m:oMathParaPr>
        <m:oMath>
          <m:r>
            <m:rPr>
              <m:sty m:val="p"/>
            </m:rPr>
            <w:rPr>
              <w:rFonts w:ascii="Cambria Math" w:hAnsi="Cambria Math" w:cs="Arial"/>
              <w:color w:val="000000"/>
              <w:szCs w:val="20"/>
              <w:lang w:val="fr-FR"/>
            </w:rPr>
            <w:lastRenderedPageBreak/>
            <m:t xml:space="preserve">HFF </m:t>
          </m:r>
          <m:d>
            <m:dPr>
              <m:ctrlPr>
                <w:rPr>
                  <w:rFonts w:ascii="Cambria Math" w:hAnsi="Cambria Math" w:cs="Arial"/>
                  <w:color w:val="000000"/>
                  <w:lang w:val="fr-FR"/>
                </w:rPr>
              </m:ctrlPr>
            </m:dPr>
            <m:e>
              <m:r>
                <m:rPr>
                  <m:sty m:val="p"/>
                </m:rPr>
                <w:rPr>
                  <w:rFonts w:ascii="Cambria Math" w:hAnsi="Cambria Math" w:cs="Arial"/>
                  <w:color w:val="000000"/>
                  <w:szCs w:val="20"/>
                  <w:lang w:val="fr-FR"/>
                </w:rPr>
                <m:t>2</m:t>
              </m:r>
            </m:e>
          </m:d>
          <m:r>
            <m:rPr>
              <m:sty m:val="p"/>
            </m:rPr>
            <w:rPr>
              <w:rFonts w:ascii="Cambria Math" w:hAnsi="Cambria Math" w:cs="Arial"/>
              <w:color w:val="000000"/>
              <w:szCs w:val="20"/>
              <w:lang w:val="fr-FR"/>
            </w:rPr>
            <m:t xml:space="preserve">= </m:t>
          </m:r>
          <m:r>
            <m:rPr>
              <m:sty m:val="p"/>
            </m:rPr>
            <w:rPr>
              <w:rFonts w:ascii="Cambria Math" w:hAnsi="Cambria Math" w:cs="Arial" w:hint="eastAsia"/>
              <w:color w:val="000000"/>
              <w:szCs w:val="18"/>
              <w:lang w:val="en-US"/>
            </w:rPr>
            <m:t>99.9517</m:t>
          </m:r>
          <m:r>
            <m:rPr>
              <m:sty m:val="p"/>
            </m:rPr>
            <w:rPr>
              <w:rFonts w:ascii="Cambria Math" w:hAnsi="Cambria Math" w:cs="Arial"/>
              <w:color w:val="000000"/>
              <w:szCs w:val="20"/>
              <w:lang w:val="en-US"/>
            </w:rPr>
            <m:t>%</m:t>
          </m:r>
          <m:r>
            <m:rPr>
              <m:sty m:val="p"/>
            </m:rPr>
            <w:rPr>
              <w:rFonts w:ascii="Cambria Math" w:hAnsi="Cambria Math" w:cs="Arial"/>
              <w:color w:val="000000"/>
              <w:szCs w:val="20"/>
              <w:lang w:val="fr-FR"/>
            </w:rPr>
            <m:t xml:space="preserve"> </m:t>
          </m:r>
          <m:r>
            <m:rPr>
              <m:sty m:val="p"/>
            </m:rPr>
            <w:rPr>
              <w:rFonts w:ascii="Cambria Math" w:hAnsi="Cambria Math" w:cs="Arial" w:hint="eastAsia"/>
              <w:color w:val="000000"/>
              <w:szCs w:val="20"/>
              <w:lang w:val="fr-FR"/>
            </w:rPr>
            <m:t>×</m:t>
          </m:r>
          <m:d>
            <m:dPr>
              <m:ctrlPr>
                <w:rPr>
                  <w:rFonts w:ascii="Cambria Math" w:hAnsi="Cambria Math" w:cs="Arial"/>
                  <w:color w:val="000000"/>
                  <w:lang w:val="fr-FR"/>
                </w:rPr>
              </m:ctrlPr>
            </m:dPr>
            <m:e>
              <m:r>
                <m:rPr>
                  <m:sty m:val="p"/>
                </m:rPr>
                <w:rPr>
                  <w:rFonts w:ascii="Cambria Math" w:hAnsi="Cambria Math"/>
                  <w:szCs w:val="20"/>
                  <w:lang w:val="fr-FR"/>
                </w:rPr>
                <m:t xml:space="preserve">1 </m:t>
              </m:r>
              <m:r>
                <m:rPr>
                  <m:sty m:val="p"/>
                </m:rPr>
                <w:rPr>
                  <w:rFonts w:ascii="Cambria Math" w:hAnsi="Cambria Math" w:hint="eastAsia"/>
                  <w:szCs w:val="20"/>
                  <w:lang w:val="fr-FR"/>
                </w:rPr>
                <m:t>-</m:t>
              </m:r>
              <m:r>
                <m:rPr>
                  <m:sty m:val="p"/>
                </m:rPr>
                <w:rPr>
                  <w:rFonts w:ascii="Cambria Math" w:hAnsi="Cambria Math"/>
                  <w:szCs w:val="20"/>
                  <w:lang w:val="fr-FR"/>
                </w:rPr>
                <m:t xml:space="preserve"> 0.40% </m:t>
              </m:r>
              <m:r>
                <m:rPr>
                  <m:sty m:val="p"/>
                </m:rPr>
                <w:rPr>
                  <w:rFonts w:ascii="Cambria Math" w:hAnsi="Cambria Math" w:hint="eastAsia"/>
                  <w:szCs w:val="20"/>
                  <w:lang w:val="fr-FR"/>
                </w:rPr>
                <m:t>×</m:t>
              </m:r>
              <m:r>
                <m:rPr>
                  <m:sty m:val="p"/>
                </m:rPr>
                <w:rPr>
                  <w:rFonts w:ascii="Cambria Math" w:hAnsi="Cambria Math"/>
                  <w:szCs w:val="20"/>
                  <w:lang w:val="fr-FR"/>
                </w:rPr>
                <m:t xml:space="preserve"> </m:t>
              </m:r>
              <m:f>
                <m:fPr>
                  <m:ctrlPr>
                    <w:rPr>
                      <w:rFonts w:ascii="Cambria Math" w:hAnsi="Cambria Math"/>
                      <w:lang w:val="fr-FR"/>
                    </w:rPr>
                  </m:ctrlPr>
                </m:fPr>
                <m:num>
                  <m:r>
                    <m:rPr>
                      <m:sty m:val="p"/>
                    </m:rPr>
                    <w:rPr>
                      <w:rFonts w:ascii="Cambria Math" w:hAnsi="Cambria Math"/>
                      <w:szCs w:val="20"/>
                      <w:lang w:val="fr-FR"/>
                    </w:rPr>
                    <m:t>3</m:t>
                  </m:r>
                </m:num>
                <m:den>
                  <m:r>
                    <m:rPr>
                      <m:sty m:val="p"/>
                    </m:rPr>
                    <w:rPr>
                      <w:rFonts w:ascii="Cambria Math" w:hAnsi="Cambria Math"/>
                      <w:szCs w:val="20"/>
                      <w:lang w:val="fr-FR"/>
                    </w:rPr>
                    <m:t>360</m:t>
                  </m:r>
                </m:den>
              </m:f>
            </m:e>
          </m:d>
          <m:r>
            <m:rPr>
              <m:sty m:val="p"/>
            </m:rPr>
            <w:rPr>
              <w:rFonts w:ascii="Cambria Math" w:hAnsi="Cambria Math"/>
              <w:szCs w:val="20"/>
              <w:lang w:val="fr-FR"/>
            </w:rPr>
            <m:t xml:space="preserve"> </m:t>
          </m:r>
          <m:r>
            <m:rPr>
              <m:sty m:val="p"/>
            </m:rPr>
            <w:rPr>
              <w:rFonts w:ascii="Cambria Math" w:hAnsi="Cambria Math" w:hint="eastAsia"/>
              <w:szCs w:val="20"/>
              <w:lang w:val="fr-FR"/>
            </w:rPr>
            <m:t>×</m:t>
          </m:r>
          <m:r>
            <m:rPr>
              <m:sty m:val="p"/>
            </m:rPr>
            <w:rPr>
              <w:rFonts w:ascii="Cambria Math" w:hAnsi="Cambria Math"/>
              <w:szCs w:val="20"/>
              <w:lang w:val="fr-FR"/>
            </w:rPr>
            <m:t xml:space="preserve"> </m:t>
          </m:r>
          <m:d>
            <m:dPr>
              <m:ctrlPr>
                <w:rPr>
                  <w:rFonts w:ascii="Cambria Math" w:hAnsi="Cambria Math" w:cs="Arial"/>
                  <w:color w:val="000000"/>
                  <w:lang w:val="fr-FR"/>
                </w:rPr>
              </m:ctrlPr>
            </m:dPr>
            <m:e>
              <m:r>
                <m:rPr>
                  <m:sty m:val="p"/>
                </m:rPr>
                <w:rPr>
                  <w:rFonts w:ascii="Cambria Math" w:hAnsi="Cambria Math"/>
                  <w:szCs w:val="20"/>
                  <w:lang w:val="fr-FR"/>
                </w:rPr>
                <m:t xml:space="preserve">1 </m:t>
              </m:r>
              <m:r>
                <m:rPr>
                  <m:sty m:val="p"/>
                </m:rPr>
                <w:rPr>
                  <w:rFonts w:ascii="Cambria Math" w:hAnsi="Cambria Math" w:hint="eastAsia"/>
                  <w:szCs w:val="20"/>
                  <w:lang w:val="fr-FR"/>
                </w:rPr>
                <m:t>-</m:t>
              </m:r>
              <m:r>
                <m:rPr>
                  <m:sty m:val="p"/>
                </m:rPr>
                <w:rPr>
                  <w:rFonts w:ascii="Cambria Math" w:hAnsi="Cambria Math"/>
                  <w:szCs w:val="20"/>
                  <w:lang w:val="fr-FR"/>
                </w:rPr>
                <m:t xml:space="preserve"> 17.00% </m:t>
              </m:r>
              <m:r>
                <m:rPr>
                  <m:sty m:val="p"/>
                </m:rPr>
                <w:rPr>
                  <w:rFonts w:ascii="Cambria Math" w:hAnsi="Cambria Math" w:hint="eastAsia"/>
                  <w:szCs w:val="20"/>
                  <w:lang w:val="fr-FR"/>
                </w:rPr>
                <m:t>×</m:t>
              </m:r>
              <m:r>
                <m:rPr>
                  <m:sty m:val="p"/>
                </m:rPr>
                <w:rPr>
                  <w:rFonts w:ascii="Cambria Math" w:hAnsi="Cambria Math"/>
                  <w:szCs w:val="20"/>
                  <w:lang w:val="fr-FR"/>
                </w:rPr>
                <m:t xml:space="preserve"> </m:t>
              </m:r>
              <m:f>
                <m:fPr>
                  <m:ctrlPr>
                    <w:rPr>
                      <w:rFonts w:ascii="Cambria Math" w:hAnsi="Cambria Math"/>
                      <w:lang w:val="fr-FR"/>
                    </w:rPr>
                  </m:ctrlPr>
                </m:fPr>
                <m:num>
                  <m:r>
                    <m:rPr>
                      <m:sty m:val="p"/>
                    </m:rPr>
                    <w:rPr>
                      <w:rFonts w:ascii="Cambria Math" w:hAnsi="Cambria Math"/>
                      <w:szCs w:val="20"/>
                      <w:lang w:val="fr-FR"/>
                    </w:rPr>
                    <m:t>3</m:t>
                  </m:r>
                </m:num>
                <m:den>
                  <m:r>
                    <m:rPr>
                      <m:sty m:val="p"/>
                    </m:rPr>
                    <w:rPr>
                      <w:rFonts w:ascii="Cambria Math" w:hAnsi="Cambria Math"/>
                      <w:szCs w:val="20"/>
                      <w:lang w:val="fr-FR"/>
                    </w:rPr>
                    <m:t>360</m:t>
                  </m:r>
                </m:den>
              </m:f>
            </m:e>
          </m:d>
        </m:oMath>
      </m:oMathPara>
    </w:p>
    <w:p w14:paraId="3FD251AE" w14:textId="5AB94245" w:rsidR="00F13693" w:rsidRPr="00E65655" w:rsidRDefault="00224664" w:rsidP="00F13693">
      <w:pPr>
        <w:autoSpaceDE w:val="0"/>
        <w:autoSpaceDN w:val="0"/>
        <w:adjustRightInd w:val="0"/>
        <w:spacing w:after="140" w:line="288" w:lineRule="auto"/>
        <w:jc w:val="both"/>
        <w:rPr>
          <w:rFonts w:cs="Arial"/>
          <w:color w:val="000000"/>
          <w:szCs w:val="18"/>
          <w:lang w:val="en-US"/>
        </w:rPr>
      </w:pPr>
      <m:oMathPara>
        <m:oMathParaPr>
          <m:jc m:val="left"/>
        </m:oMathParaPr>
        <m:oMath>
          <m:r>
            <m:rPr>
              <m:sty m:val="p"/>
            </m:rPr>
            <w:rPr>
              <w:rFonts w:ascii="Cambria Math" w:hAnsi="Cambria Math" w:cs="Arial" w:hint="eastAsia"/>
              <w:color w:val="000000"/>
              <w:szCs w:val="18"/>
              <w:lang w:val="en-US"/>
            </w:rPr>
            <m:t xml:space="preserve">HFF (2) = 99.9517% x 99.9967% x 99.8583% </m:t>
          </m:r>
          <m:r>
            <m:rPr>
              <m:sty m:val="p"/>
            </m:rPr>
            <w:rPr>
              <w:rFonts w:ascii="Cambria Math" w:hAnsi="Cambria Math" w:cs="Arial" w:hint="eastAsia"/>
              <w:color w:val="000000"/>
              <w:szCs w:val="18"/>
              <w:lang w:val="en-US"/>
            </w:rPr>
            <m:t>≈</m:t>
          </m:r>
          <m:r>
            <m:rPr>
              <m:sty m:val="p"/>
            </m:rPr>
            <w:rPr>
              <w:rFonts w:ascii="Cambria Math" w:hAnsi="Cambria Math" w:cs="Arial" w:hint="eastAsia"/>
              <w:color w:val="000000"/>
              <w:szCs w:val="18"/>
              <w:lang w:val="en-US"/>
            </w:rPr>
            <m:t xml:space="preserve"> 99.8067%</m:t>
          </m:r>
          <m:r>
            <m:rPr>
              <m:sty m:val="p"/>
            </m:rPr>
            <w:rPr>
              <w:rFonts w:ascii="Cambria Math" w:hAnsi="Cambria Math" w:cs="Arial"/>
              <w:color w:val="000000"/>
              <w:szCs w:val="18"/>
              <w:lang w:val="en-US"/>
            </w:rPr>
            <m:t>%</m:t>
          </m:r>
        </m:oMath>
      </m:oMathPara>
    </w:p>
    <w:p w14:paraId="02946358" w14:textId="77777777" w:rsidR="00F13693" w:rsidRPr="00E65655" w:rsidRDefault="00F13693" w:rsidP="00F13693">
      <w:pPr>
        <w:autoSpaceDE w:val="0"/>
        <w:autoSpaceDN w:val="0"/>
        <w:adjustRightInd w:val="0"/>
        <w:spacing w:after="140" w:line="288" w:lineRule="auto"/>
        <w:jc w:val="both"/>
        <w:rPr>
          <w:rFonts w:cs="Arial"/>
          <w:color w:val="000000"/>
          <w:szCs w:val="20"/>
        </w:rPr>
      </w:pPr>
      <w:r w:rsidRPr="00E65655">
        <w:rPr>
          <w:rFonts w:cs="Arial"/>
          <w:color w:val="000000"/>
          <w:szCs w:val="20"/>
        </w:rPr>
        <w:t xml:space="preserve">The same principle applies to the following </w:t>
      </w:r>
      <w:r w:rsidRPr="00E65655">
        <w:rPr>
          <w:rFonts w:cs="Arial"/>
          <w:color w:val="000000"/>
          <w:szCs w:val="20"/>
          <w:lang w:eastAsia="zh-CN"/>
        </w:rPr>
        <w:t xml:space="preserve">Exchange </w:t>
      </w:r>
      <w:r w:rsidRPr="00E65655">
        <w:rPr>
          <w:rFonts w:cs="Arial"/>
          <w:color w:val="000000"/>
          <w:szCs w:val="20"/>
        </w:rPr>
        <w:t xml:space="preserve">Business Days: </w:t>
      </w:r>
    </w:p>
    <w:p w14:paraId="11B3E65C" w14:textId="77777777" w:rsidR="00F13693" w:rsidRPr="00E65655" w:rsidRDefault="00F13693" w:rsidP="00F13693">
      <w:pPr>
        <w:snapToGrid w:val="0"/>
        <w:spacing w:line="288" w:lineRule="auto"/>
        <w:rPr>
          <w:rFonts w:cs="Arial"/>
          <w:color w:val="000000"/>
          <w:sz w:val="18"/>
          <w:szCs w:val="20"/>
          <w:lang w:val="fr-FR"/>
        </w:rPr>
      </w:pPr>
      <m:oMathPara>
        <m:oMathParaPr>
          <m:jc m:val="left"/>
        </m:oMathParaPr>
        <m:oMath>
          <m:r>
            <m:rPr>
              <m:sty m:val="p"/>
            </m:rPr>
            <w:rPr>
              <w:rFonts w:ascii="Cambria Math" w:hAnsi="Cambria Math" w:cs="Arial"/>
              <w:color w:val="000000"/>
              <w:sz w:val="18"/>
              <w:szCs w:val="20"/>
              <w:lang w:val="fr-FR"/>
            </w:rPr>
            <m:t xml:space="preserve">HFF </m:t>
          </m:r>
          <m:d>
            <m:dPr>
              <m:ctrlPr>
                <w:rPr>
                  <w:rFonts w:ascii="Cambria Math" w:hAnsi="Cambria Math" w:cs="Arial"/>
                  <w:color w:val="000000"/>
                  <w:sz w:val="18"/>
                  <w:lang w:val="fr-FR"/>
                </w:rPr>
              </m:ctrlPr>
            </m:dPr>
            <m:e>
              <m:r>
                <m:rPr>
                  <m:sty m:val="p"/>
                </m:rPr>
                <w:rPr>
                  <w:rFonts w:ascii="Cambria Math" w:hAnsi="Cambria Math" w:cs="Arial"/>
                  <w:color w:val="000000"/>
                  <w:sz w:val="18"/>
                  <w:szCs w:val="20"/>
                  <w:lang w:val="fr-FR"/>
                </w:rPr>
                <m:t>n</m:t>
              </m:r>
            </m:e>
          </m:d>
          <m:r>
            <m:rPr>
              <m:sty m:val="p"/>
            </m:rPr>
            <w:rPr>
              <w:rFonts w:ascii="Cambria Math" w:hAnsi="Cambria Math" w:cs="Arial"/>
              <w:color w:val="000000"/>
              <w:sz w:val="18"/>
              <w:szCs w:val="20"/>
              <w:lang w:val="fr-FR"/>
            </w:rPr>
            <m:t xml:space="preserve">=HFF </m:t>
          </m:r>
          <m:d>
            <m:dPr>
              <m:ctrlPr>
                <w:rPr>
                  <w:rFonts w:ascii="Cambria Math" w:hAnsi="Cambria Math" w:cs="Arial"/>
                  <w:color w:val="000000"/>
                  <w:sz w:val="18"/>
                  <w:lang w:val="fr-FR"/>
                </w:rPr>
              </m:ctrlPr>
            </m:dPr>
            <m:e>
              <m:r>
                <m:rPr>
                  <m:sty m:val="p"/>
                </m:rPr>
                <w:rPr>
                  <w:rFonts w:ascii="Cambria Math" w:hAnsi="Cambria Math" w:cs="Arial"/>
                  <w:color w:val="000000"/>
                  <w:sz w:val="18"/>
                  <w:szCs w:val="20"/>
                  <w:lang w:val="fr-FR"/>
                </w:rPr>
                <m:t>n-1</m:t>
              </m:r>
            </m:e>
          </m:d>
          <m:r>
            <m:rPr>
              <m:sty m:val="p"/>
            </m:rPr>
            <w:rPr>
              <w:rFonts w:ascii="Cambria Math" w:hAnsi="Cambria Math" w:hint="eastAsia"/>
              <w:sz w:val="18"/>
              <w:szCs w:val="20"/>
              <w:lang w:val="fr-FR"/>
            </w:rPr>
            <m:t>×</m:t>
          </m:r>
          <m:d>
            <m:dPr>
              <m:ctrlPr>
                <w:rPr>
                  <w:rFonts w:ascii="Cambria Math" w:hAnsi="Cambria Math" w:cs="Arial"/>
                  <w:color w:val="000000"/>
                  <w:sz w:val="18"/>
                  <w:lang w:val="fr-FR"/>
                </w:rPr>
              </m:ctrlPr>
            </m:dPr>
            <m:e>
              <m:r>
                <m:rPr>
                  <m:sty m:val="p"/>
                </m:rPr>
                <w:rPr>
                  <w:rFonts w:ascii="Cambria Math" w:hAnsi="Cambria Math"/>
                  <w:sz w:val="18"/>
                  <w:szCs w:val="20"/>
                  <w:lang w:val="fr-FR"/>
                </w:rPr>
                <m:t xml:space="preserve">1 </m:t>
              </m:r>
              <m:r>
                <m:rPr>
                  <m:sty m:val="p"/>
                </m:rPr>
                <w:rPr>
                  <w:rFonts w:ascii="Cambria Math" w:hAnsi="Cambria Math" w:hint="eastAsia"/>
                  <w:sz w:val="18"/>
                  <w:szCs w:val="20"/>
                  <w:lang w:val="fr-FR"/>
                </w:rPr>
                <m:t>-</m:t>
              </m:r>
              <m:r>
                <m:rPr>
                  <m:sty m:val="p"/>
                </m:rPr>
                <w:rPr>
                  <w:rFonts w:ascii="Cambria Math" w:hAnsi="Cambria Math"/>
                  <w:sz w:val="18"/>
                  <w:szCs w:val="20"/>
                  <w:lang w:val="fr-FR"/>
                </w:rPr>
                <m:t xml:space="preserve"> Management Fee </m:t>
              </m:r>
              <m:r>
                <m:rPr>
                  <m:sty m:val="p"/>
                </m:rPr>
                <w:rPr>
                  <w:rFonts w:ascii="Cambria Math" w:hAnsi="Cambria Math" w:hint="eastAsia"/>
                  <w:sz w:val="18"/>
                  <w:szCs w:val="20"/>
                  <w:lang w:val="fr-FR"/>
                </w:rPr>
                <m:t>×</m:t>
              </m:r>
              <m:r>
                <m:rPr>
                  <m:sty m:val="p"/>
                </m:rPr>
                <w:rPr>
                  <w:rFonts w:ascii="Cambria Math" w:hAnsi="Cambria Math"/>
                  <w:sz w:val="18"/>
                  <w:szCs w:val="20"/>
                  <w:lang w:val="fr-FR"/>
                </w:rPr>
                <m:t xml:space="preserve"> </m:t>
              </m:r>
              <m:f>
                <m:fPr>
                  <m:ctrlPr>
                    <w:rPr>
                      <w:rFonts w:ascii="Cambria Math" w:hAnsi="Cambria Math"/>
                      <w:sz w:val="18"/>
                      <w:lang w:val="fr-FR"/>
                    </w:rPr>
                  </m:ctrlPr>
                </m:fPr>
                <m:num>
                  <m:r>
                    <m:rPr>
                      <m:sty m:val="p"/>
                    </m:rPr>
                    <w:rPr>
                      <w:rFonts w:ascii="Cambria Math" w:hAnsi="Cambria Math"/>
                      <w:sz w:val="18"/>
                      <w:szCs w:val="20"/>
                      <w:lang w:val="fr-FR"/>
                    </w:rPr>
                    <m:t xml:space="preserve">ACT </m:t>
                  </m:r>
                  <m:d>
                    <m:dPr>
                      <m:ctrlPr>
                        <w:rPr>
                          <w:rFonts w:ascii="Cambria Math" w:hAnsi="Cambria Math"/>
                          <w:sz w:val="18"/>
                          <w:lang w:val="fr-FR"/>
                        </w:rPr>
                      </m:ctrlPr>
                    </m:dPr>
                    <m:e>
                      <m:r>
                        <m:rPr>
                          <m:sty m:val="p"/>
                        </m:rPr>
                        <w:rPr>
                          <w:rFonts w:ascii="Cambria Math" w:hAnsi="Cambria Math"/>
                          <w:sz w:val="18"/>
                          <w:szCs w:val="20"/>
                          <w:lang w:val="fr-FR"/>
                        </w:rPr>
                        <m:t>t-1;t</m:t>
                      </m:r>
                    </m:e>
                  </m:d>
                </m:num>
                <m:den>
                  <m:r>
                    <m:rPr>
                      <m:sty m:val="p"/>
                    </m:rPr>
                    <w:rPr>
                      <w:rFonts w:ascii="Cambria Math" w:hAnsi="Cambria Math"/>
                      <w:sz w:val="18"/>
                      <w:szCs w:val="20"/>
                      <w:lang w:val="fr-FR"/>
                    </w:rPr>
                    <m:t>360</m:t>
                  </m:r>
                </m:den>
              </m:f>
            </m:e>
          </m:d>
          <m:r>
            <m:rPr>
              <m:sty m:val="p"/>
            </m:rPr>
            <w:rPr>
              <w:rFonts w:ascii="Cambria Math" w:hAnsi="Cambria Math"/>
              <w:sz w:val="18"/>
              <w:szCs w:val="20"/>
              <w:lang w:val="fr-FR"/>
            </w:rPr>
            <m:t xml:space="preserve"> </m:t>
          </m:r>
          <m:r>
            <m:rPr>
              <m:sty m:val="p"/>
            </m:rPr>
            <w:rPr>
              <w:rFonts w:ascii="Cambria Math" w:hAnsi="Cambria Math" w:hint="eastAsia"/>
              <w:sz w:val="18"/>
              <w:szCs w:val="20"/>
              <w:lang w:val="fr-FR"/>
            </w:rPr>
            <m:t>×</m:t>
          </m:r>
          <m:r>
            <m:rPr>
              <m:sty m:val="p"/>
            </m:rPr>
            <w:rPr>
              <w:rFonts w:ascii="Cambria Math" w:hAnsi="Cambria Math"/>
              <w:sz w:val="18"/>
              <w:szCs w:val="20"/>
              <w:lang w:val="fr-FR"/>
            </w:rPr>
            <m:t xml:space="preserve"> </m:t>
          </m:r>
          <m:d>
            <m:dPr>
              <m:ctrlPr>
                <w:rPr>
                  <w:rFonts w:ascii="Cambria Math" w:hAnsi="Cambria Math" w:cs="Arial"/>
                  <w:color w:val="000000"/>
                  <w:sz w:val="18"/>
                  <w:lang w:val="fr-FR"/>
                </w:rPr>
              </m:ctrlPr>
            </m:dPr>
            <m:e>
              <m:r>
                <m:rPr>
                  <m:sty m:val="p"/>
                </m:rPr>
                <w:rPr>
                  <w:rFonts w:ascii="Cambria Math" w:hAnsi="Cambria Math"/>
                  <w:sz w:val="18"/>
                  <w:szCs w:val="20"/>
                  <w:lang w:val="fr-FR"/>
                </w:rPr>
                <m:t xml:space="preserve">1 </m:t>
              </m:r>
              <m:r>
                <m:rPr>
                  <m:sty m:val="p"/>
                </m:rPr>
                <w:rPr>
                  <w:rFonts w:ascii="Cambria Math" w:hAnsi="Cambria Math" w:hint="eastAsia"/>
                  <w:sz w:val="18"/>
                  <w:szCs w:val="20"/>
                  <w:lang w:val="fr-FR"/>
                </w:rPr>
                <m:t>-</m:t>
              </m:r>
              <m:r>
                <m:rPr>
                  <m:sty m:val="p"/>
                </m:rPr>
                <w:rPr>
                  <w:rFonts w:ascii="Cambria Math" w:hAnsi="Cambria Math"/>
                  <w:sz w:val="18"/>
                  <w:szCs w:val="20"/>
                  <w:lang w:val="fr-FR"/>
                </w:rPr>
                <m:t xml:space="preserve"> Gap Premium </m:t>
              </m:r>
              <m:r>
                <m:rPr>
                  <m:sty m:val="p"/>
                </m:rPr>
                <w:rPr>
                  <w:rFonts w:ascii="Cambria Math" w:hAnsi="Cambria Math" w:hint="eastAsia"/>
                  <w:sz w:val="18"/>
                  <w:szCs w:val="20"/>
                  <w:lang w:val="fr-FR"/>
                </w:rPr>
                <m:t>×</m:t>
              </m:r>
              <m:r>
                <m:rPr>
                  <m:sty m:val="p"/>
                </m:rPr>
                <w:rPr>
                  <w:rFonts w:ascii="Cambria Math" w:hAnsi="Cambria Math"/>
                  <w:sz w:val="18"/>
                  <w:szCs w:val="20"/>
                  <w:lang w:val="fr-FR"/>
                </w:rPr>
                <m:t xml:space="preserve"> </m:t>
              </m:r>
              <m:f>
                <m:fPr>
                  <m:ctrlPr>
                    <w:rPr>
                      <w:rFonts w:ascii="Cambria Math" w:hAnsi="Cambria Math"/>
                      <w:sz w:val="18"/>
                      <w:lang w:val="fr-FR"/>
                    </w:rPr>
                  </m:ctrlPr>
                </m:fPr>
                <m:num>
                  <m:r>
                    <m:rPr>
                      <m:sty m:val="p"/>
                    </m:rPr>
                    <w:rPr>
                      <w:rFonts w:ascii="Cambria Math" w:hAnsi="Cambria Math"/>
                      <w:sz w:val="18"/>
                      <w:szCs w:val="20"/>
                      <w:lang w:val="fr-FR"/>
                    </w:rPr>
                    <m:t xml:space="preserve">ACT </m:t>
                  </m:r>
                  <m:d>
                    <m:dPr>
                      <m:ctrlPr>
                        <w:rPr>
                          <w:rFonts w:ascii="Cambria Math" w:hAnsi="Cambria Math"/>
                          <w:sz w:val="18"/>
                          <w:lang w:val="fr-FR"/>
                        </w:rPr>
                      </m:ctrlPr>
                    </m:dPr>
                    <m:e>
                      <m:r>
                        <m:rPr>
                          <m:sty m:val="p"/>
                        </m:rPr>
                        <w:rPr>
                          <w:rFonts w:ascii="Cambria Math" w:hAnsi="Cambria Math"/>
                          <w:sz w:val="18"/>
                          <w:szCs w:val="20"/>
                          <w:lang w:val="fr-FR"/>
                        </w:rPr>
                        <m:t>t-1;t</m:t>
                      </m:r>
                    </m:e>
                  </m:d>
                </m:num>
                <m:den>
                  <m:r>
                    <m:rPr>
                      <m:sty m:val="p"/>
                    </m:rPr>
                    <w:rPr>
                      <w:rFonts w:ascii="Cambria Math" w:hAnsi="Cambria Math"/>
                      <w:sz w:val="18"/>
                      <w:szCs w:val="20"/>
                      <w:lang w:val="fr-FR"/>
                    </w:rPr>
                    <m:t>360</m:t>
                  </m:r>
                </m:den>
              </m:f>
            </m:e>
          </m:d>
        </m:oMath>
      </m:oMathPara>
    </w:p>
    <w:p w14:paraId="3D992487" w14:textId="77777777" w:rsidR="00F13693" w:rsidRPr="00E65655" w:rsidRDefault="00F13693" w:rsidP="00F13693">
      <w:pPr>
        <w:snapToGrid w:val="0"/>
        <w:spacing w:line="288" w:lineRule="auto"/>
        <w:rPr>
          <w:rFonts w:cs="Arial"/>
        </w:rPr>
      </w:pPr>
    </w:p>
    <w:p w14:paraId="371B1600" w14:textId="52D251FB" w:rsidR="00F13693" w:rsidRPr="00E65655" w:rsidRDefault="00F13693" w:rsidP="00F13693">
      <w:pPr>
        <w:snapToGrid w:val="0"/>
        <w:spacing w:line="288" w:lineRule="auto"/>
        <w:jc w:val="both"/>
      </w:pPr>
      <w:r w:rsidRPr="00E65655">
        <w:t xml:space="preserve">In this example, the Hedging Fee Factor as of the Valuation Date would be equal to </w:t>
      </w:r>
      <w:r w:rsidR="00EE4E1D">
        <w:rPr>
          <w:rFonts w:cs="Arial"/>
          <w:color w:val="000000"/>
          <w:szCs w:val="20"/>
        </w:rPr>
        <w:t>99.2773</w:t>
      </w:r>
      <w:r w:rsidRPr="00E65655">
        <w:rPr>
          <w:rFonts w:eastAsia="DengXian" w:cs="Arial"/>
          <w:color w:val="000000"/>
          <w:szCs w:val="20"/>
        </w:rPr>
        <w:t xml:space="preserve">% </w:t>
      </w:r>
      <w:r w:rsidRPr="00E65655">
        <w:t>as illustrated below:</w:t>
      </w:r>
    </w:p>
    <w:p w14:paraId="2527D85E" w14:textId="77777777" w:rsidR="00F13693" w:rsidRPr="00E65655" w:rsidRDefault="00F13693" w:rsidP="00F13693">
      <w:pPr>
        <w:snapToGrid w:val="0"/>
        <w:spacing w:line="288" w:lineRule="auto"/>
      </w:pPr>
    </w:p>
    <w:tbl>
      <w:tblPr>
        <w:tblStyle w:val="TableGrid"/>
        <w:tblW w:w="0" w:type="auto"/>
        <w:jc w:val="center"/>
        <w:tblLook w:val="04A0" w:firstRow="1" w:lastRow="0" w:firstColumn="1" w:lastColumn="0" w:noHBand="0" w:noVBand="1"/>
      </w:tblPr>
      <w:tblGrid>
        <w:gridCol w:w="1217"/>
        <w:gridCol w:w="1562"/>
      </w:tblGrid>
      <w:tr w:rsidR="00F13693" w:rsidRPr="00E65655" w14:paraId="41DF9C38"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4A443E0" w14:textId="77777777" w:rsidR="00F13693" w:rsidRPr="00E65655" w:rsidRDefault="00F13693" w:rsidP="00081E29">
            <w:pPr>
              <w:snapToGrid w:val="0"/>
              <w:spacing w:line="288" w:lineRule="auto"/>
              <w:jc w:val="center"/>
              <w:rPr>
                <w:b/>
                <w:color w:val="FFFFFF" w:themeColor="background1"/>
              </w:rPr>
            </w:pPr>
            <w:r w:rsidRPr="00E65655">
              <w:rPr>
                <w:b/>
                <w:color w:val="FFFFFF" w:themeColor="background1"/>
              </w:rPr>
              <w:t>Date</w:t>
            </w:r>
          </w:p>
        </w:tc>
        <w:tc>
          <w:tcPr>
            <w:tcW w:w="156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CCCA4EB" w14:textId="77777777" w:rsidR="00F13693" w:rsidRPr="00E65655" w:rsidRDefault="00F13693" w:rsidP="00081E29">
            <w:pPr>
              <w:snapToGrid w:val="0"/>
              <w:spacing w:line="288" w:lineRule="auto"/>
              <w:jc w:val="center"/>
              <w:rPr>
                <w:b/>
                <w:color w:val="FFFFFF" w:themeColor="background1"/>
              </w:rPr>
            </w:pPr>
            <w:r w:rsidRPr="00E65655">
              <w:rPr>
                <w:b/>
                <w:color w:val="FFFFFF" w:themeColor="background1"/>
              </w:rPr>
              <w:t>HFF</w:t>
            </w:r>
          </w:p>
        </w:tc>
      </w:tr>
      <w:tr w:rsidR="00EE4E1D" w:rsidRPr="00E65655" w14:paraId="005A0D54"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3A78E9CF" w14:textId="77777777" w:rsidR="00EE4E1D" w:rsidRPr="00E65655" w:rsidRDefault="00EE4E1D" w:rsidP="00EE4E1D">
            <w:pPr>
              <w:jc w:val="center"/>
            </w:pPr>
            <w:r w:rsidRPr="00E65655">
              <w:t>3/7/2018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BAE7F64" w14:textId="7126C5E2" w:rsidR="00EE4E1D" w:rsidRPr="00E65655" w:rsidRDefault="00EE4E1D" w:rsidP="00EE4E1D">
            <w:pPr>
              <w:jc w:val="center"/>
            </w:pPr>
            <w:r>
              <w:rPr>
                <w:rFonts w:cs="Arial"/>
                <w:color w:val="000000"/>
                <w:szCs w:val="20"/>
              </w:rPr>
              <w:t>100.0000%</w:t>
            </w:r>
          </w:p>
        </w:tc>
      </w:tr>
      <w:tr w:rsidR="00EE4E1D" w:rsidRPr="00E65655" w14:paraId="7C3A0659"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19BDF582" w14:textId="77777777" w:rsidR="00EE4E1D" w:rsidRPr="00E65655" w:rsidRDefault="00EE4E1D" w:rsidP="00EE4E1D">
            <w:pPr>
              <w:jc w:val="center"/>
            </w:pPr>
            <w:r w:rsidRPr="00E65655">
              <w:t>4/7/2018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780333A" w14:textId="625F3039" w:rsidR="00EE4E1D" w:rsidRPr="00E65655" w:rsidRDefault="00EE4E1D" w:rsidP="00EE4E1D">
            <w:pPr>
              <w:jc w:val="center"/>
            </w:pPr>
            <w:r>
              <w:rPr>
                <w:rFonts w:cs="Arial"/>
                <w:color w:val="000000"/>
                <w:szCs w:val="20"/>
              </w:rPr>
              <w:t>99.9517%</w:t>
            </w:r>
          </w:p>
        </w:tc>
      </w:tr>
      <w:tr w:rsidR="00EE4E1D" w:rsidRPr="00E65655" w14:paraId="4F31C438"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59128548" w14:textId="77777777" w:rsidR="00EE4E1D" w:rsidRPr="00E65655" w:rsidRDefault="00EE4E1D" w:rsidP="00EE4E1D">
            <w:pPr>
              <w:jc w:val="center"/>
            </w:pPr>
            <w:r w:rsidRPr="00E65655">
              <w:t>5/7/2018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6900C39" w14:textId="7202CF7E" w:rsidR="00EE4E1D" w:rsidRPr="00E65655" w:rsidRDefault="00EE4E1D" w:rsidP="00EE4E1D">
            <w:pPr>
              <w:jc w:val="center"/>
            </w:pPr>
            <w:r>
              <w:rPr>
                <w:rFonts w:cs="Arial"/>
                <w:color w:val="000000"/>
                <w:szCs w:val="20"/>
              </w:rPr>
              <w:t>99.9034%</w:t>
            </w:r>
          </w:p>
        </w:tc>
      </w:tr>
      <w:tr w:rsidR="00EE4E1D" w:rsidRPr="00E65655" w14:paraId="2592B846"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43416632" w14:textId="77777777" w:rsidR="00EE4E1D" w:rsidRPr="00E65655" w:rsidRDefault="00EE4E1D" w:rsidP="00EE4E1D">
            <w:pPr>
              <w:jc w:val="center"/>
            </w:pPr>
            <w:r w:rsidRPr="00E65655">
              <w:t>6/7/2018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EFA5B70" w14:textId="39F803C6" w:rsidR="00EE4E1D" w:rsidRPr="00E65655" w:rsidRDefault="00EE4E1D" w:rsidP="00EE4E1D">
            <w:pPr>
              <w:jc w:val="center"/>
            </w:pPr>
            <w:r>
              <w:rPr>
                <w:rFonts w:cs="Arial"/>
                <w:color w:val="000000"/>
                <w:szCs w:val="20"/>
              </w:rPr>
              <w:t>99.8551%</w:t>
            </w:r>
          </w:p>
        </w:tc>
      </w:tr>
      <w:tr w:rsidR="00EE4E1D" w:rsidRPr="00E65655" w14:paraId="7BD55D7C"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08B40E14" w14:textId="77777777" w:rsidR="00EE4E1D" w:rsidRPr="00E65655" w:rsidRDefault="00EE4E1D" w:rsidP="00EE4E1D">
            <w:pPr>
              <w:jc w:val="center"/>
            </w:pPr>
            <w:r w:rsidRPr="00E65655">
              <w:t>9/7/2018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E8CD507" w14:textId="23888C09" w:rsidR="00EE4E1D" w:rsidRPr="00E65655" w:rsidRDefault="00EE4E1D" w:rsidP="00EE4E1D">
            <w:pPr>
              <w:jc w:val="center"/>
            </w:pPr>
            <w:r>
              <w:rPr>
                <w:rFonts w:cs="Arial"/>
                <w:color w:val="000000"/>
                <w:szCs w:val="20"/>
              </w:rPr>
              <w:t>99.7103%</w:t>
            </w:r>
          </w:p>
        </w:tc>
      </w:tr>
      <w:tr w:rsidR="00EE4E1D" w:rsidRPr="00E65655" w14:paraId="78624FFB"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43704646" w14:textId="77777777" w:rsidR="00EE4E1D" w:rsidRPr="00E65655" w:rsidRDefault="00EE4E1D" w:rsidP="00EE4E1D">
            <w:pPr>
              <w:jc w:val="center"/>
            </w:pPr>
            <w:r w:rsidRPr="00E65655">
              <w:t>10/7/2018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544B862" w14:textId="3052A567" w:rsidR="00EE4E1D" w:rsidRPr="00E65655" w:rsidRDefault="00EE4E1D" w:rsidP="00EE4E1D">
            <w:pPr>
              <w:jc w:val="center"/>
            </w:pPr>
            <w:r>
              <w:rPr>
                <w:rFonts w:cs="Arial"/>
                <w:color w:val="000000"/>
                <w:szCs w:val="20"/>
              </w:rPr>
              <w:t>99.6621%</w:t>
            </w:r>
          </w:p>
        </w:tc>
      </w:tr>
      <w:tr w:rsidR="00EE4E1D" w:rsidRPr="00E65655" w14:paraId="27EA4B83"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6EA33BDA" w14:textId="77777777" w:rsidR="00EE4E1D" w:rsidRPr="00E65655" w:rsidRDefault="00EE4E1D" w:rsidP="00EE4E1D">
            <w:pPr>
              <w:jc w:val="center"/>
            </w:pPr>
            <w:r w:rsidRPr="00E65655">
              <w:t>11/7/2018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73C1B27" w14:textId="34F39E27" w:rsidR="00EE4E1D" w:rsidRPr="00E65655" w:rsidRDefault="00EE4E1D" w:rsidP="00EE4E1D">
            <w:pPr>
              <w:jc w:val="center"/>
            </w:pPr>
            <w:r>
              <w:rPr>
                <w:rFonts w:cs="Arial"/>
                <w:color w:val="000000"/>
                <w:szCs w:val="20"/>
              </w:rPr>
              <w:t>99.6139%</w:t>
            </w:r>
          </w:p>
        </w:tc>
      </w:tr>
      <w:tr w:rsidR="00EE4E1D" w:rsidRPr="00E65655" w14:paraId="0C599FDE"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625F97BC" w14:textId="77777777" w:rsidR="00EE4E1D" w:rsidRPr="00E65655" w:rsidRDefault="00EE4E1D" w:rsidP="00EE4E1D">
            <w:pPr>
              <w:jc w:val="center"/>
            </w:pPr>
            <w:r w:rsidRPr="00E65655">
              <w:t>12/7/2018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84CFB84" w14:textId="06596B9D" w:rsidR="00EE4E1D" w:rsidRPr="00E65655" w:rsidRDefault="00EE4E1D" w:rsidP="00EE4E1D">
            <w:pPr>
              <w:jc w:val="center"/>
            </w:pPr>
            <w:r>
              <w:rPr>
                <w:rFonts w:cs="Arial"/>
                <w:color w:val="000000"/>
                <w:szCs w:val="20"/>
              </w:rPr>
              <w:t>99.5658%</w:t>
            </w:r>
          </w:p>
        </w:tc>
      </w:tr>
      <w:tr w:rsidR="00EE4E1D" w:rsidRPr="00E65655" w14:paraId="70B55328"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6556C1DE" w14:textId="77777777" w:rsidR="00EE4E1D" w:rsidRPr="00E65655" w:rsidRDefault="00EE4E1D" w:rsidP="00EE4E1D">
            <w:pPr>
              <w:jc w:val="center"/>
            </w:pPr>
            <w:r w:rsidRPr="00E65655">
              <w:t>13/7/2018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C5840A8" w14:textId="2AD4EDE2" w:rsidR="00EE4E1D" w:rsidRPr="00E65655" w:rsidRDefault="00EE4E1D" w:rsidP="00EE4E1D">
            <w:pPr>
              <w:jc w:val="center"/>
            </w:pPr>
            <w:r>
              <w:rPr>
                <w:rFonts w:cs="Arial"/>
                <w:color w:val="000000"/>
                <w:szCs w:val="20"/>
              </w:rPr>
              <w:t>99.5177%</w:t>
            </w:r>
          </w:p>
        </w:tc>
      </w:tr>
      <w:tr w:rsidR="00EE4E1D" w:rsidRPr="00E65655" w14:paraId="23CBF707"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77441579" w14:textId="77777777" w:rsidR="00EE4E1D" w:rsidRPr="00E65655" w:rsidRDefault="00EE4E1D" w:rsidP="00EE4E1D">
            <w:pPr>
              <w:jc w:val="center"/>
            </w:pPr>
            <w:r w:rsidRPr="00E65655">
              <w:t>16/7/2018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9F8AB30" w14:textId="10BB57D3" w:rsidR="00EE4E1D" w:rsidRPr="00E65655" w:rsidRDefault="00EE4E1D" w:rsidP="00EE4E1D">
            <w:pPr>
              <w:jc w:val="center"/>
            </w:pPr>
            <w:r>
              <w:rPr>
                <w:rFonts w:cs="Arial"/>
                <w:color w:val="000000"/>
                <w:szCs w:val="20"/>
              </w:rPr>
              <w:t>99.3734%</w:t>
            </w:r>
          </w:p>
        </w:tc>
      </w:tr>
      <w:tr w:rsidR="00EE4E1D" w:rsidRPr="00E65655" w14:paraId="66D03C4B"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62D08FEC" w14:textId="77777777" w:rsidR="00EE4E1D" w:rsidRPr="00E65655" w:rsidRDefault="00EE4E1D" w:rsidP="00EE4E1D">
            <w:pPr>
              <w:jc w:val="center"/>
            </w:pPr>
            <w:r w:rsidRPr="00E65655">
              <w:t>17/7/2018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62E3C67" w14:textId="6D4A52E3" w:rsidR="00EE4E1D" w:rsidRPr="00E65655" w:rsidRDefault="00EE4E1D" w:rsidP="00EE4E1D">
            <w:pPr>
              <w:jc w:val="center"/>
            </w:pPr>
            <w:r>
              <w:rPr>
                <w:rFonts w:cs="Arial"/>
                <w:color w:val="000000"/>
                <w:szCs w:val="20"/>
              </w:rPr>
              <w:t>99.3253%</w:t>
            </w:r>
          </w:p>
        </w:tc>
      </w:tr>
      <w:tr w:rsidR="00EE4E1D" w:rsidRPr="00E65655" w14:paraId="3C8E6F88" w14:textId="77777777" w:rsidTr="00081E29">
        <w:trPr>
          <w:jc w:val="center"/>
        </w:trPr>
        <w:tc>
          <w:tcPr>
            <w:tcW w:w="1217" w:type="dxa"/>
            <w:tcBorders>
              <w:top w:val="single" w:sz="4" w:space="0" w:color="auto"/>
              <w:left w:val="single" w:sz="4" w:space="0" w:color="auto"/>
              <w:bottom w:val="single" w:sz="4" w:space="0" w:color="auto"/>
              <w:right w:val="single" w:sz="4" w:space="0" w:color="auto"/>
            </w:tcBorders>
            <w:hideMark/>
          </w:tcPr>
          <w:p w14:paraId="5DA5F345" w14:textId="77777777" w:rsidR="00EE4E1D" w:rsidRPr="00E65655" w:rsidRDefault="00EE4E1D" w:rsidP="00EE4E1D">
            <w:pPr>
              <w:jc w:val="center"/>
            </w:pPr>
            <w:r w:rsidRPr="00E65655">
              <w:t>18/7/2018</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27278BB" w14:textId="4DA6B6AF" w:rsidR="00EE4E1D" w:rsidRPr="00E65655" w:rsidRDefault="00EE4E1D" w:rsidP="00EE4E1D">
            <w:pPr>
              <w:jc w:val="center"/>
            </w:pPr>
            <w:r>
              <w:rPr>
                <w:rFonts w:cs="Arial"/>
                <w:color w:val="000000"/>
                <w:szCs w:val="20"/>
              </w:rPr>
              <w:t>99.2773%</w:t>
            </w:r>
          </w:p>
        </w:tc>
      </w:tr>
    </w:tbl>
    <w:p w14:paraId="3F5986D4" w14:textId="77777777" w:rsidR="00F13693" w:rsidRPr="00E65655" w:rsidRDefault="00F13693" w:rsidP="00F13693">
      <w:pPr>
        <w:snapToGrid w:val="0"/>
        <w:spacing w:line="288" w:lineRule="auto"/>
      </w:pPr>
    </w:p>
    <w:p w14:paraId="6896455C" w14:textId="77777777" w:rsidR="00F13693" w:rsidRPr="00E65655" w:rsidRDefault="00F13693" w:rsidP="00F13693">
      <w:pPr>
        <w:snapToGrid w:val="0"/>
        <w:spacing w:line="288" w:lineRule="auto"/>
        <w:rPr>
          <w:b/>
        </w:rPr>
      </w:pPr>
      <w:r w:rsidRPr="00E65655">
        <w:rPr>
          <w:b/>
        </w:rPr>
        <w:t>Cash Settlement Amount</w:t>
      </w:r>
    </w:p>
    <w:p w14:paraId="67EFCC29" w14:textId="77777777" w:rsidR="00F13693" w:rsidRPr="00E65655" w:rsidRDefault="00F13693" w:rsidP="00F13693">
      <w:pPr>
        <w:snapToGrid w:val="0"/>
        <w:spacing w:line="288" w:lineRule="auto"/>
      </w:pPr>
    </w:p>
    <w:p w14:paraId="757836C1" w14:textId="77777777" w:rsidR="00F13693" w:rsidRPr="00E65655" w:rsidRDefault="00F13693" w:rsidP="00F13693">
      <w:pPr>
        <w:snapToGrid w:val="0"/>
        <w:spacing w:line="288" w:lineRule="auto"/>
      </w:pPr>
      <w:r w:rsidRPr="00E65655">
        <w:t>In this example, the Closing Level and the Cash Settlement Amount would be computed as follows:</w:t>
      </w:r>
    </w:p>
    <w:p w14:paraId="1FD97F9A" w14:textId="77777777" w:rsidR="00F13693" w:rsidRPr="00E65655" w:rsidRDefault="00F13693" w:rsidP="00F13693">
      <w:pPr>
        <w:snapToGrid w:val="0"/>
        <w:spacing w:line="288" w:lineRule="auto"/>
      </w:pPr>
    </w:p>
    <w:p w14:paraId="76010997" w14:textId="77777777" w:rsidR="00F13693" w:rsidRPr="00E65655" w:rsidRDefault="00F13693" w:rsidP="00F13693">
      <w:pPr>
        <w:snapToGrid w:val="0"/>
        <w:spacing w:line="288" w:lineRule="auto"/>
        <w:jc w:val="both"/>
      </w:pPr>
      <w:r w:rsidRPr="00E65655">
        <w:t xml:space="preserve">Closing Level = [(Final Reference Level </w:t>
      </w:r>
      <w:proofErr w:type="gramStart"/>
      <w:r w:rsidRPr="00E65655">
        <w:t>x</w:t>
      </w:r>
      <w:proofErr w:type="gramEnd"/>
      <w:r w:rsidRPr="00E65655">
        <w:t xml:space="preserve"> Final Exchange Rate) / (Initial Reference Level </w:t>
      </w:r>
      <w:proofErr w:type="gramStart"/>
      <w:r w:rsidRPr="00E65655">
        <w:t>x</w:t>
      </w:r>
      <w:proofErr w:type="gramEnd"/>
      <w:r w:rsidRPr="00E65655">
        <w:t xml:space="preserve"> Initial Exchange Rate) – Strike Level] x Hedging Fee Factor</w:t>
      </w:r>
    </w:p>
    <w:p w14:paraId="20D9CD1C" w14:textId="1FCB7C97" w:rsidR="00F13693" w:rsidRPr="00E65655" w:rsidRDefault="00F13693" w:rsidP="00F13693">
      <w:pPr>
        <w:autoSpaceDE w:val="0"/>
        <w:autoSpaceDN w:val="0"/>
        <w:adjustRightInd w:val="0"/>
        <w:snapToGrid w:val="0"/>
        <w:spacing w:after="140" w:line="288" w:lineRule="auto"/>
        <w:rPr>
          <w:rFonts w:cs="Arial"/>
          <w:color w:val="000000"/>
          <w:szCs w:val="20"/>
        </w:rPr>
      </w:pPr>
      <w:r w:rsidRPr="00E65655">
        <w:rPr>
          <w:rFonts w:cs="Arial"/>
          <w:color w:val="000000"/>
          <w:szCs w:val="20"/>
        </w:rPr>
        <w:tab/>
      </w:r>
      <w:r w:rsidRPr="00E65655">
        <w:rPr>
          <w:rFonts w:cs="Arial"/>
          <w:color w:val="000000"/>
          <w:szCs w:val="20"/>
        </w:rPr>
        <w:tab/>
      </w:r>
      <w:r w:rsidRPr="00E65655">
        <w:rPr>
          <w:rFonts w:cs="Arial"/>
          <w:color w:val="000000"/>
          <w:szCs w:val="20"/>
        </w:rPr>
        <w:tab/>
        <w:t xml:space="preserve">= [(1200 x 1) / (1000 x 1) – 0] x </w:t>
      </w:r>
      <w:r w:rsidR="00EE4E1D">
        <w:rPr>
          <w:rFonts w:cs="Arial"/>
          <w:color w:val="000000"/>
          <w:szCs w:val="20"/>
        </w:rPr>
        <w:t>99.2773</w:t>
      </w:r>
      <w:r w:rsidRPr="00E65655">
        <w:rPr>
          <w:rFonts w:eastAsia="DengXian" w:cs="Arial"/>
          <w:color w:val="000000"/>
          <w:szCs w:val="20"/>
        </w:rPr>
        <w:t>%</w:t>
      </w:r>
    </w:p>
    <w:p w14:paraId="5E9E6A56" w14:textId="6A0336DD" w:rsidR="00F13693" w:rsidRPr="00E65655" w:rsidRDefault="00F13693" w:rsidP="00F13693">
      <w:pPr>
        <w:autoSpaceDE w:val="0"/>
        <w:autoSpaceDN w:val="0"/>
        <w:adjustRightInd w:val="0"/>
        <w:snapToGrid w:val="0"/>
        <w:spacing w:after="140" w:line="288" w:lineRule="auto"/>
        <w:rPr>
          <w:rFonts w:cs="Arial"/>
          <w:color w:val="000000"/>
          <w:szCs w:val="20"/>
        </w:rPr>
      </w:pPr>
      <w:r w:rsidRPr="00E65655">
        <w:rPr>
          <w:rFonts w:cs="Arial"/>
          <w:color w:val="000000"/>
          <w:szCs w:val="20"/>
        </w:rPr>
        <w:tab/>
      </w:r>
      <w:r w:rsidRPr="00E65655">
        <w:rPr>
          <w:rFonts w:cs="Arial"/>
          <w:color w:val="000000"/>
          <w:szCs w:val="20"/>
        </w:rPr>
        <w:tab/>
      </w:r>
      <w:r w:rsidRPr="00E65655">
        <w:rPr>
          <w:rFonts w:cs="Arial"/>
          <w:color w:val="000000"/>
          <w:szCs w:val="20"/>
        </w:rPr>
        <w:tab/>
        <w:t xml:space="preserve">= </w:t>
      </w:r>
      <w:r w:rsidR="00E65655" w:rsidRPr="00E65655">
        <w:rPr>
          <w:rFonts w:cs="Arial"/>
          <w:color w:val="000000"/>
          <w:szCs w:val="20"/>
        </w:rPr>
        <w:t>119.</w:t>
      </w:r>
      <w:r w:rsidR="00EE4E1D">
        <w:rPr>
          <w:rFonts w:cs="Arial" w:hint="eastAsia"/>
          <w:color w:val="000000"/>
          <w:szCs w:val="20"/>
          <w:lang w:eastAsia="zh-CN"/>
        </w:rPr>
        <w:t>13</w:t>
      </w:r>
      <w:r w:rsidRPr="00E65655">
        <w:rPr>
          <w:rFonts w:cs="Arial"/>
          <w:color w:val="000000"/>
          <w:szCs w:val="20"/>
        </w:rPr>
        <w:t>%</w:t>
      </w:r>
    </w:p>
    <w:p w14:paraId="7E6243CC" w14:textId="77777777" w:rsidR="00F13693" w:rsidRPr="00E65655" w:rsidRDefault="00F13693" w:rsidP="00F13693">
      <w:pPr>
        <w:autoSpaceDE w:val="0"/>
        <w:autoSpaceDN w:val="0"/>
        <w:adjustRightInd w:val="0"/>
        <w:snapToGrid w:val="0"/>
        <w:spacing w:after="140" w:line="288" w:lineRule="auto"/>
        <w:rPr>
          <w:rFonts w:cs="Arial"/>
          <w:color w:val="000000"/>
          <w:szCs w:val="20"/>
        </w:rPr>
      </w:pPr>
    </w:p>
    <w:p w14:paraId="1ACFF228" w14:textId="77777777" w:rsidR="00F13693" w:rsidRPr="00E65655" w:rsidRDefault="00F13693" w:rsidP="00F13693">
      <w:pPr>
        <w:snapToGrid w:val="0"/>
        <w:spacing w:line="288" w:lineRule="auto"/>
        <w:jc w:val="both"/>
      </w:pPr>
      <w:r w:rsidRPr="00E65655">
        <w:t>Cash Settlement Amount = Closing Level x Notional Amount per Certificate</w:t>
      </w:r>
    </w:p>
    <w:p w14:paraId="3689A48D" w14:textId="7F86534B" w:rsidR="00F13693" w:rsidRPr="00E65655" w:rsidRDefault="00F13693" w:rsidP="00F13693">
      <w:pPr>
        <w:autoSpaceDE w:val="0"/>
        <w:autoSpaceDN w:val="0"/>
        <w:adjustRightInd w:val="0"/>
        <w:snapToGrid w:val="0"/>
        <w:spacing w:after="140" w:line="288" w:lineRule="auto"/>
        <w:jc w:val="both"/>
        <w:rPr>
          <w:rFonts w:cs="Arial"/>
          <w:color w:val="000000"/>
          <w:szCs w:val="20"/>
        </w:rPr>
      </w:pPr>
      <w:r w:rsidRPr="00E65655">
        <w:rPr>
          <w:rFonts w:cs="Arial"/>
          <w:b/>
          <w:color w:val="000000"/>
          <w:szCs w:val="20"/>
        </w:rPr>
        <w:tab/>
      </w:r>
      <w:r w:rsidRPr="00E65655">
        <w:rPr>
          <w:rFonts w:cs="Arial"/>
          <w:b/>
          <w:color w:val="000000"/>
          <w:szCs w:val="20"/>
        </w:rPr>
        <w:tab/>
      </w:r>
      <w:r w:rsidRPr="00E65655">
        <w:rPr>
          <w:rFonts w:cs="Arial"/>
          <w:b/>
          <w:color w:val="000000"/>
          <w:szCs w:val="20"/>
        </w:rPr>
        <w:tab/>
      </w:r>
      <w:r w:rsidRPr="00E65655">
        <w:rPr>
          <w:rFonts w:cs="Arial"/>
          <w:color w:val="000000"/>
          <w:szCs w:val="20"/>
        </w:rPr>
        <w:t>= 119.</w:t>
      </w:r>
      <w:r w:rsidR="00EE4E1D">
        <w:rPr>
          <w:rFonts w:cs="Arial" w:hint="eastAsia"/>
          <w:color w:val="000000"/>
          <w:szCs w:val="20"/>
          <w:lang w:eastAsia="zh-CN"/>
        </w:rPr>
        <w:t>13</w:t>
      </w:r>
      <w:r w:rsidRPr="00E65655">
        <w:rPr>
          <w:rFonts w:cs="Arial"/>
          <w:color w:val="000000"/>
          <w:szCs w:val="20"/>
        </w:rPr>
        <w:t xml:space="preserve">% x </w:t>
      </w:r>
      <w:r w:rsidR="00EE4E1D">
        <w:rPr>
          <w:rFonts w:cs="Arial" w:hint="eastAsia"/>
          <w:color w:val="000000"/>
          <w:szCs w:val="20"/>
          <w:lang w:eastAsia="zh-CN"/>
        </w:rPr>
        <w:t>0.80</w:t>
      </w:r>
      <w:r w:rsidRPr="00E65655">
        <w:rPr>
          <w:rFonts w:cs="Arial"/>
          <w:color w:val="000000"/>
          <w:szCs w:val="20"/>
        </w:rPr>
        <w:t xml:space="preserve"> SGD</w:t>
      </w:r>
    </w:p>
    <w:p w14:paraId="10232EF6" w14:textId="22E0ECB2" w:rsidR="00F2771C" w:rsidRPr="00E65655" w:rsidRDefault="00F13693" w:rsidP="00F13693">
      <w:pPr>
        <w:spacing w:after="140" w:line="290" w:lineRule="auto"/>
        <w:rPr>
          <w:rFonts w:cs="Arial"/>
          <w:b/>
          <w:szCs w:val="20"/>
          <w:lang w:val="en-US" w:eastAsia="zh-CN"/>
        </w:rPr>
      </w:pPr>
      <w:r w:rsidRPr="00E65655">
        <w:rPr>
          <w:rFonts w:cs="Arial"/>
          <w:b/>
          <w:color w:val="000000"/>
          <w:szCs w:val="20"/>
        </w:rPr>
        <w:tab/>
      </w:r>
      <w:r w:rsidRPr="00E65655">
        <w:rPr>
          <w:rFonts w:cs="Arial"/>
          <w:b/>
          <w:color w:val="000000"/>
          <w:szCs w:val="20"/>
        </w:rPr>
        <w:tab/>
      </w:r>
      <w:r w:rsidRPr="00E65655">
        <w:rPr>
          <w:rFonts w:cs="Arial"/>
          <w:b/>
          <w:color w:val="000000"/>
          <w:szCs w:val="20"/>
        </w:rPr>
        <w:tab/>
        <w:t xml:space="preserve">= </w:t>
      </w:r>
      <w:r w:rsidR="006C644C">
        <w:rPr>
          <w:rFonts w:cs="Arial" w:hint="eastAsia"/>
          <w:b/>
          <w:color w:val="000000"/>
          <w:szCs w:val="20"/>
          <w:lang w:eastAsia="zh-CN"/>
        </w:rPr>
        <w:t>0.953</w:t>
      </w:r>
      <w:r w:rsidR="00BA5CDA">
        <w:rPr>
          <w:rFonts w:cs="Arial" w:hint="eastAsia"/>
          <w:b/>
          <w:color w:val="000000"/>
          <w:szCs w:val="20"/>
          <w:lang w:eastAsia="zh-CN"/>
        </w:rPr>
        <w:t xml:space="preserve"> </w:t>
      </w:r>
      <w:r w:rsidRPr="00E65655">
        <w:rPr>
          <w:rFonts w:cs="Arial"/>
          <w:b/>
          <w:color w:val="000000"/>
          <w:szCs w:val="20"/>
        </w:rPr>
        <w:t>SGD</w:t>
      </w:r>
    </w:p>
    <w:p w14:paraId="072BEE60" w14:textId="77777777" w:rsidR="00F2771C" w:rsidRPr="00E65655" w:rsidRDefault="00F2771C" w:rsidP="00F2771C">
      <w:pPr>
        <w:spacing w:after="140" w:line="290" w:lineRule="auto"/>
        <w:rPr>
          <w:rFonts w:cs="Arial"/>
          <w:b/>
          <w:szCs w:val="20"/>
          <w:lang w:val="en-US" w:eastAsia="zh-CN"/>
        </w:rPr>
      </w:pPr>
      <w:r w:rsidRPr="00E65655">
        <w:rPr>
          <w:rFonts w:cs="Arial"/>
          <w:b/>
          <w:szCs w:val="20"/>
          <w:lang w:val="en-US" w:eastAsia="zh-CN"/>
        </w:rPr>
        <w:br w:type="page"/>
      </w:r>
    </w:p>
    <w:p w14:paraId="4317F2BB" w14:textId="2406CD5D" w:rsidR="004C211B" w:rsidRPr="00E65655" w:rsidRDefault="004C211B" w:rsidP="00F2771C">
      <w:pPr>
        <w:tabs>
          <w:tab w:val="left" w:pos="1290"/>
        </w:tabs>
        <w:spacing w:after="140" w:line="290" w:lineRule="auto"/>
        <w:rPr>
          <w:rFonts w:cs="Arial"/>
          <w:b/>
          <w:szCs w:val="20"/>
          <w:lang w:val="en-US" w:eastAsia="zh-CN"/>
        </w:rPr>
      </w:pPr>
      <w:r w:rsidRPr="00E65655">
        <w:rPr>
          <w:rFonts w:cs="Arial"/>
          <w:b/>
          <w:szCs w:val="20"/>
          <w:lang w:val="en-US" w:eastAsia="zh-CN"/>
        </w:rPr>
        <w:lastRenderedPageBreak/>
        <w:t xml:space="preserve">Illustration on how returns and losses can occur under different scenarios </w:t>
      </w:r>
    </w:p>
    <w:p w14:paraId="08C7D3F7" w14:textId="77777777" w:rsidR="00A93CB7" w:rsidRPr="00E65655" w:rsidRDefault="004C211B">
      <w:pPr>
        <w:keepNext/>
        <w:autoSpaceDE w:val="0"/>
        <w:autoSpaceDN w:val="0"/>
        <w:adjustRightInd w:val="0"/>
        <w:snapToGrid w:val="0"/>
        <w:spacing w:after="140" w:line="264" w:lineRule="auto"/>
        <w:jc w:val="both"/>
        <w:rPr>
          <w:rFonts w:cs="Arial"/>
          <w:i/>
          <w:color w:val="000000"/>
          <w:szCs w:val="20"/>
        </w:rPr>
      </w:pPr>
      <w:r w:rsidRPr="00E65655">
        <w:rPr>
          <w:rFonts w:cs="Arial"/>
          <w:i/>
          <w:color w:val="000000"/>
          <w:szCs w:val="20"/>
        </w:rPr>
        <w:t>The example</w:t>
      </w:r>
      <w:r w:rsidR="00397556" w:rsidRPr="00E65655">
        <w:rPr>
          <w:rFonts w:cs="Arial"/>
          <w:i/>
          <w:color w:val="000000"/>
          <w:szCs w:val="20"/>
        </w:rPr>
        <w:t>s are</w:t>
      </w:r>
      <w:r w:rsidRPr="00E65655">
        <w:rPr>
          <w:rFonts w:cs="Arial"/>
          <w:i/>
          <w:color w:val="000000"/>
          <w:szCs w:val="20"/>
        </w:rPr>
        <w:t xml:space="preserve"> purely hypothetical and </w:t>
      </w:r>
      <w:r w:rsidR="00397556" w:rsidRPr="00E65655">
        <w:rPr>
          <w:rFonts w:cs="Arial"/>
          <w:i/>
          <w:color w:val="000000"/>
          <w:szCs w:val="20"/>
        </w:rPr>
        <w:t>do</w:t>
      </w:r>
      <w:r w:rsidRPr="00E65655">
        <w:rPr>
          <w:rFonts w:cs="Arial"/>
          <w:i/>
          <w:color w:val="000000"/>
          <w:szCs w:val="20"/>
        </w:rPr>
        <w:t xml:space="preserve"> not take fees and charges payable</w:t>
      </w:r>
      <w:r w:rsidR="00397556" w:rsidRPr="00E65655">
        <w:rPr>
          <w:rFonts w:cs="Arial"/>
          <w:i/>
          <w:color w:val="000000"/>
          <w:szCs w:val="20"/>
        </w:rPr>
        <w:t xml:space="preserve"> by investors</w:t>
      </w:r>
      <w:r w:rsidR="00547617" w:rsidRPr="00E65655">
        <w:rPr>
          <w:rFonts w:cs="Arial"/>
          <w:i/>
          <w:color w:val="000000"/>
          <w:szCs w:val="20"/>
        </w:rPr>
        <w:t xml:space="preserve"> </w:t>
      </w:r>
      <w:r w:rsidRPr="00E65655">
        <w:rPr>
          <w:rFonts w:cs="Arial"/>
          <w:i/>
          <w:color w:val="000000"/>
          <w:szCs w:val="20"/>
        </w:rPr>
        <w:t>into consideration</w:t>
      </w:r>
      <w:r w:rsidR="00547617" w:rsidRPr="00E65655">
        <w:rPr>
          <w:rFonts w:cs="Arial"/>
          <w:i/>
          <w:color w:val="000000"/>
          <w:szCs w:val="20"/>
        </w:rPr>
        <w:t xml:space="preserve">. The examples highlight the effect of the </w:t>
      </w:r>
      <w:r w:rsidR="003F66C9" w:rsidRPr="00E65655">
        <w:rPr>
          <w:rFonts w:cs="Arial"/>
          <w:i/>
          <w:color w:val="000000"/>
          <w:szCs w:val="20"/>
        </w:rPr>
        <w:t>Underlying Stock</w:t>
      </w:r>
      <w:r w:rsidR="00547617" w:rsidRPr="00E65655">
        <w:rPr>
          <w:rFonts w:cs="Arial"/>
          <w:i/>
          <w:color w:val="000000"/>
          <w:szCs w:val="20"/>
        </w:rPr>
        <w:t xml:space="preserve"> performance on the </w:t>
      </w:r>
      <w:r w:rsidR="00322C87" w:rsidRPr="00E65655">
        <w:rPr>
          <w:rFonts w:cs="Arial"/>
          <w:i/>
          <w:color w:val="000000"/>
          <w:szCs w:val="20"/>
        </w:rPr>
        <w:t xml:space="preserve">value of the </w:t>
      </w:r>
      <w:r w:rsidR="00547617" w:rsidRPr="00E65655">
        <w:rPr>
          <w:rFonts w:cs="Arial"/>
          <w:i/>
          <w:color w:val="000000"/>
          <w:szCs w:val="20"/>
        </w:rPr>
        <w:t>Certificate</w:t>
      </w:r>
      <w:r w:rsidR="00A22294" w:rsidRPr="00E65655">
        <w:rPr>
          <w:rFonts w:cs="Arial"/>
          <w:i/>
          <w:color w:val="000000"/>
          <w:szCs w:val="20"/>
        </w:rPr>
        <w:t>s</w:t>
      </w:r>
      <w:r w:rsidR="00547617" w:rsidRPr="00E65655">
        <w:rPr>
          <w:rFonts w:cs="Arial"/>
          <w:i/>
          <w:color w:val="000000"/>
          <w:szCs w:val="20"/>
        </w:rPr>
        <w:t xml:space="preserve"> and </w:t>
      </w:r>
      <w:r w:rsidR="00322C87" w:rsidRPr="00E65655">
        <w:rPr>
          <w:rFonts w:cs="Arial"/>
          <w:i/>
          <w:color w:val="000000"/>
          <w:szCs w:val="20"/>
        </w:rPr>
        <w:t xml:space="preserve">do not </w:t>
      </w:r>
      <w:proofErr w:type="gramStart"/>
      <w:r w:rsidR="00322C87" w:rsidRPr="00E65655">
        <w:rPr>
          <w:rFonts w:cs="Arial"/>
          <w:i/>
          <w:color w:val="000000"/>
          <w:szCs w:val="20"/>
        </w:rPr>
        <w:t>take into account</w:t>
      </w:r>
      <w:proofErr w:type="gramEnd"/>
      <w:r w:rsidR="00547617" w:rsidRPr="00E65655">
        <w:rPr>
          <w:rFonts w:cs="Arial"/>
          <w:i/>
          <w:color w:val="000000"/>
          <w:szCs w:val="20"/>
        </w:rPr>
        <w:t xml:space="preserve"> the possible influence of </w:t>
      </w:r>
      <w:r w:rsidR="00785B73" w:rsidRPr="00E65655">
        <w:rPr>
          <w:rFonts w:cs="Arial"/>
          <w:i/>
          <w:color w:val="000000"/>
          <w:szCs w:val="20"/>
        </w:rPr>
        <w:t>fees</w:t>
      </w:r>
      <w:r w:rsidR="00C04463" w:rsidRPr="00E65655">
        <w:rPr>
          <w:rFonts w:cs="Arial"/>
          <w:i/>
          <w:color w:val="000000"/>
          <w:szCs w:val="20"/>
        </w:rPr>
        <w:t>, exchange rates, dividends,</w:t>
      </w:r>
      <w:r w:rsidR="000932A7" w:rsidRPr="00E65655">
        <w:rPr>
          <w:rFonts w:cs="Arial"/>
          <w:i/>
          <w:color w:val="000000"/>
          <w:szCs w:val="20"/>
        </w:rPr>
        <w:t xml:space="preserve"> </w:t>
      </w:r>
      <w:r w:rsidR="00785B73" w:rsidRPr="00E65655">
        <w:rPr>
          <w:rFonts w:cs="Arial"/>
          <w:i/>
          <w:color w:val="000000"/>
          <w:szCs w:val="20"/>
        </w:rPr>
        <w:t xml:space="preserve">or </w:t>
      </w:r>
      <w:r w:rsidR="00322C87" w:rsidRPr="00E65655">
        <w:rPr>
          <w:rFonts w:cs="Arial"/>
          <w:i/>
          <w:color w:val="000000"/>
          <w:szCs w:val="20"/>
        </w:rPr>
        <w:t xml:space="preserve">any </w:t>
      </w:r>
      <w:r w:rsidR="00547617" w:rsidRPr="00E65655">
        <w:rPr>
          <w:rFonts w:cs="Arial"/>
          <w:i/>
          <w:color w:val="000000"/>
          <w:szCs w:val="20"/>
        </w:rPr>
        <w:t>other market parameters</w:t>
      </w:r>
      <w:r w:rsidR="00A22294" w:rsidRPr="00E65655">
        <w:rPr>
          <w:color w:val="000000"/>
          <w:szCs w:val="20"/>
        </w:rPr>
        <w:t>.</w:t>
      </w:r>
    </w:p>
    <w:p w14:paraId="751B7103" w14:textId="77777777" w:rsidR="00A93CB7" w:rsidRPr="00E65655" w:rsidRDefault="00191623">
      <w:pPr>
        <w:spacing w:after="120"/>
        <w:rPr>
          <w:rFonts w:cs="Arial"/>
          <w:szCs w:val="20"/>
          <w:u w:val="single"/>
          <w:lang w:val="en-US" w:eastAsia="zh-CN"/>
        </w:rPr>
      </w:pPr>
      <w:r w:rsidRPr="00E65655">
        <w:rPr>
          <w:rFonts w:cs="Arial"/>
          <w:szCs w:val="20"/>
          <w:lang w:val="en-US" w:eastAsia="zh-CN"/>
        </w:rPr>
        <w:t xml:space="preserve">1. </w:t>
      </w:r>
      <w:r w:rsidRPr="00E65655">
        <w:rPr>
          <w:rFonts w:cs="Arial"/>
          <w:szCs w:val="20"/>
          <w:u w:val="single"/>
          <w:lang w:val="en-US" w:eastAsia="zh-CN"/>
        </w:rPr>
        <w:t>Illustrative examples</w:t>
      </w:r>
    </w:p>
    <w:p w14:paraId="38CB6877" w14:textId="77777777" w:rsidR="00A93CB7" w:rsidRPr="00E65655" w:rsidRDefault="00A1075F">
      <w:pPr>
        <w:spacing w:after="120"/>
        <w:jc w:val="center"/>
        <w:rPr>
          <w:rFonts w:cs="Arial"/>
          <w:i/>
          <w:color w:val="000000"/>
          <w:szCs w:val="20"/>
          <w:u w:val="single"/>
        </w:rPr>
      </w:pPr>
      <w:r w:rsidRPr="00E65655">
        <w:rPr>
          <w:rFonts w:cs="Arial"/>
          <w:i/>
          <w:color w:val="000000"/>
          <w:szCs w:val="20"/>
          <w:u w:val="single"/>
        </w:rPr>
        <w:t>Scenario 1 – Upward Trend</w:t>
      </w:r>
    </w:p>
    <w:p w14:paraId="6E73781E" w14:textId="77777777" w:rsidR="00A93CB7" w:rsidRPr="00E65655" w:rsidRDefault="00C0345E">
      <w:pPr>
        <w:spacing w:after="140" w:line="290" w:lineRule="auto"/>
        <w:jc w:val="center"/>
      </w:pPr>
      <w:r w:rsidRPr="00E65655">
        <w:rPr>
          <w:rFonts w:ascii="Times New Roman" w:hAnsi="Times New Roman"/>
          <w:noProof/>
          <w:szCs w:val="20"/>
          <w:lang w:eastAsia="zh-CN"/>
        </w:rPr>
        <w:drawing>
          <wp:inline distT="0" distB="0" distL="0" distR="0" wp14:anchorId="1771F5EC" wp14:editId="09F42B64">
            <wp:extent cx="4846320" cy="222486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6320" cy="2224864"/>
                    </a:xfrm>
                    <a:prstGeom prst="rect">
                      <a:avLst/>
                    </a:prstGeom>
                    <a:noFill/>
                  </pic:spPr>
                </pic:pic>
              </a:graphicData>
            </a:graphic>
          </wp:inline>
        </w:drawing>
      </w:r>
    </w:p>
    <w:p w14:paraId="5ED3FD66" w14:textId="77777777" w:rsidR="00A93CB7" w:rsidRPr="00E65655" w:rsidRDefault="00A1075F">
      <w:pPr>
        <w:spacing w:after="120"/>
        <w:jc w:val="center"/>
        <w:rPr>
          <w:rFonts w:cs="Arial"/>
          <w:i/>
          <w:color w:val="000000"/>
          <w:szCs w:val="20"/>
          <w:u w:val="single"/>
        </w:rPr>
      </w:pPr>
      <w:r w:rsidRPr="00E65655">
        <w:rPr>
          <w:rFonts w:cs="Arial"/>
          <w:i/>
          <w:color w:val="000000"/>
          <w:szCs w:val="20"/>
          <w:u w:val="single"/>
        </w:rPr>
        <w:t>Scenario 2 – Downward Trend</w:t>
      </w:r>
    </w:p>
    <w:p w14:paraId="05AD1E7B" w14:textId="77777777" w:rsidR="00381391" w:rsidRPr="00E65655" w:rsidRDefault="00C0345E" w:rsidP="00C0345E">
      <w:pPr>
        <w:spacing w:after="140" w:line="290" w:lineRule="auto"/>
        <w:jc w:val="center"/>
      </w:pPr>
      <w:r w:rsidRPr="00E65655">
        <w:rPr>
          <w:rFonts w:ascii="Times New Roman" w:hAnsi="Times New Roman"/>
          <w:noProof/>
          <w:szCs w:val="20"/>
          <w:lang w:eastAsia="zh-CN"/>
        </w:rPr>
        <w:drawing>
          <wp:inline distT="0" distB="0" distL="0" distR="0" wp14:anchorId="773147D5" wp14:editId="389DB289">
            <wp:extent cx="4846320" cy="222486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6320" cy="2224864"/>
                    </a:xfrm>
                    <a:prstGeom prst="rect">
                      <a:avLst/>
                    </a:prstGeom>
                    <a:noFill/>
                  </pic:spPr>
                </pic:pic>
              </a:graphicData>
            </a:graphic>
          </wp:inline>
        </w:drawing>
      </w:r>
    </w:p>
    <w:p w14:paraId="5D7701CA" w14:textId="77777777" w:rsidR="00A93CB7" w:rsidRPr="00E65655" w:rsidRDefault="003D26F4">
      <w:pPr>
        <w:spacing w:after="120"/>
        <w:jc w:val="center"/>
        <w:rPr>
          <w:rFonts w:cs="Arial"/>
          <w:i/>
          <w:color w:val="000000"/>
          <w:szCs w:val="20"/>
          <w:u w:val="single"/>
        </w:rPr>
      </w:pPr>
      <w:r w:rsidRPr="00E65655">
        <w:rPr>
          <w:rFonts w:cs="Arial"/>
          <w:i/>
          <w:color w:val="000000"/>
          <w:szCs w:val="20"/>
          <w:u w:val="single"/>
        </w:rPr>
        <w:t xml:space="preserve">Scenario </w:t>
      </w:r>
      <w:r w:rsidR="00A1075F" w:rsidRPr="00E65655">
        <w:rPr>
          <w:rFonts w:cs="Arial"/>
          <w:i/>
          <w:color w:val="000000"/>
          <w:szCs w:val="20"/>
          <w:u w:val="single"/>
        </w:rPr>
        <w:t xml:space="preserve">3 </w:t>
      </w:r>
      <w:r w:rsidRPr="00E65655">
        <w:rPr>
          <w:rFonts w:cs="Arial"/>
          <w:i/>
          <w:color w:val="000000"/>
          <w:szCs w:val="20"/>
          <w:u w:val="single"/>
        </w:rPr>
        <w:t xml:space="preserve">– </w:t>
      </w:r>
      <w:r w:rsidR="00A1075F" w:rsidRPr="00E65655">
        <w:rPr>
          <w:rFonts w:cs="Arial"/>
          <w:i/>
          <w:color w:val="000000"/>
          <w:szCs w:val="20"/>
          <w:u w:val="single"/>
        </w:rPr>
        <w:t>Volatile Market</w:t>
      </w:r>
    </w:p>
    <w:p w14:paraId="398C898F" w14:textId="77777777" w:rsidR="00A93CB7" w:rsidRPr="00E65655" w:rsidRDefault="00C0345E">
      <w:pPr>
        <w:spacing w:after="140" w:line="290" w:lineRule="auto"/>
        <w:jc w:val="center"/>
      </w:pPr>
      <w:r w:rsidRPr="00E65655">
        <w:rPr>
          <w:rFonts w:ascii="Times New Roman" w:hAnsi="Times New Roman"/>
          <w:noProof/>
          <w:szCs w:val="20"/>
          <w:lang w:eastAsia="zh-CN"/>
        </w:rPr>
        <w:drawing>
          <wp:inline distT="0" distB="0" distL="0" distR="0" wp14:anchorId="14D70ADD" wp14:editId="18C872A4">
            <wp:extent cx="4846320" cy="223960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6320" cy="2239607"/>
                    </a:xfrm>
                    <a:prstGeom prst="rect">
                      <a:avLst/>
                    </a:prstGeom>
                    <a:noFill/>
                  </pic:spPr>
                </pic:pic>
              </a:graphicData>
            </a:graphic>
          </wp:inline>
        </w:drawing>
      </w:r>
    </w:p>
    <w:p w14:paraId="227B9628" w14:textId="77777777" w:rsidR="00D52561" w:rsidRPr="00E65655" w:rsidRDefault="00D52561" w:rsidP="00D52561">
      <w:pPr>
        <w:autoSpaceDE w:val="0"/>
        <w:autoSpaceDN w:val="0"/>
        <w:adjustRightInd w:val="0"/>
        <w:spacing w:after="140" w:line="290" w:lineRule="auto"/>
      </w:pPr>
      <w:r w:rsidRPr="00E65655">
        <w:rPr>
          <w:rFonts w:cs="Arial"/>
          <w:color w:val="000000"/>
          <w:szCs w:val="20"/>
        </w:rPr>
        <w:lastRenderedPageBreak/>
        <w:t xml:space="preserve">2. </w:t>
      </w:r>
      <w:r w:rsidRPr="00E65655">
        <w:rPr>
          <w:rFonts w:cs="Arial"/>
          <w:color w:val="000000"/>
          <w:szCs w:val="20"/>
          <w:u w:val="single"/>
        </w:rPr>
        <w:t>Numerical Examples</w:t>
      </w:r>
    </w:p>
    <w:p w14:paraId="14C7CE4A" w14:textId="77777777" w:rsidR="00F13693" w:rsidRPr="00E65655" w:rsidRDefault="00F13693" w:rsidP="00F13693">
      <w:pPr>
        <w:spacing w:after="140"/>
        <w:jc w:val="center"/>
        <w:rPr>
          <w:rFonts w:cs="Arial"/>
          <w:i/>
          <w:color w:val="000000"/>
          <w:szCs w:val="20"/>
          <w:u w:val="single"/>
        </w:rPr>
      </w:pPr>
      <w:r w:rsidRPr="00E65655">
        <w:rPr>
          <w:rFonts w:cs="Arial"/>
          <w:i/>
          <w:color w:val="000000"/>
          <w:szCs w:val="20"/>
          <w:u w:val="single"/>
        </w:rPr>
        <w:t>Scenario 1 – Upward Trend</w:t>
      </w:r>
    </w:p>
    <w:tbl>
      <w:tblPr>
        <w:tblW w:w="9015"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2265"/>
        <w:gridCol w:w="1080"/>
        <w:gridCol w:w="1080"/>
        <w:gridCol w:w="1080"/>
        <w:gridCol w:w="1170"/>
        <w:gridCol w:w="1170"/>
        <w:gridCol w:w="1170"/>
      </w:tblGrid>
      <w:tr w:rsidR="00F13693" w:rsidRPr="00E65655" w14:paraId="01D40E09" w14:textId="77777777" w:rsidTr="00081E29">
        <w:trPr>
          <w:trHeight w:val="300"/>
          <w:jc w:val="center"/>
        </w:trPr>
        <w:tc>
          <w:tcPr>
            <w:tcW w:w="9015" w:type="dxa"/>
            <w:gridSpan w:val="7"/>
            <w:tcBorders>
              <w:top w:val="single" w:sz="12" w:space="0" w:color="auto"/>
              <w:left w:val="single" w:sz="12" w:space="0" w:color="auto"/>
              <w:bottom w:val="nil"/>
              <w:right w:val="single" w:sz="12" w:space="0" w:color="auto"/>
            </w:tcBorders>
            <w:shd w:val="clear" w:color="auto" w:fill="FFFFFF"/>
            <w:noWrap/>
            <w:vAlign w:val="center"/>
            <w:hideMark/>
          </w:tcPr>
          <w:p w14:paraId="5041A7ED" w14:textId="77777777" w:rsidR="00F13693" w:rsidRPr="00E65655" w:rsidRDefault="00F13693" w:rsidP="00081E29">
            <w:pPr>
              <w:jc w:val="center"/>
              <w:rPr>
                <w:rFonts w:cs="Arial"/>
                <w:color w:val="000000"/>
                <w:szCs w:val="20"/>
                <w:lang w:val="en-US"/>
              </w:rPr>
            </w:pPr>
            <w:r w:rsidRPr="00E65655">
              <w:rPr>
                <w:rFonts w:cs="Arial"/>
                <w:b/>
                <w:color w:val="000000"/>
                <w:szCs w:val="20"/>
                <w:lang w:val="en-US"/>
              </w:rPr>
              <w:t>Underlying Stock</w:t>
            </w:r>
          </w:p>
        </w:tc>
      </w:tr>
      <w:tr w:rsidR="00F13693" w:rsidRPr="00E65655" w14:paraId="794F0142" w14:textId="77777777" w:rsidTr="00081E29">
        <w:trPr>
          <w:trHeight w:val="300"/>
          <w:jc w:val="center"/>
        </w:trPr>
        <w:tc>
          <w:tcPr>
            <w:tcW w:w="2265" w:type="dxa"/>
            <w:tcBorders>
              <w:top w:val="nil"/>
              <w:left w:val="single" w:sz="12" w:space="0" w:color="auto"/>
              <w:bottom w:val="nil"/>
              <w:right w:val="nil"/>
            </w:tcBorders>
            <w:shd w:val="clear" w:color="auto" w:fill="D9D9D9"/>
            <w:noWrap/>
            <w:vAlign w:val="center"/>
            <w:hideMark/>
          </w:tcPr>
          <w:p w14:paraId="3F2B2811"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shd w:val="clear" w:color="auto" w:fill="D9D9D9"/>
            <w:noWrap/>
            <w:vAlign w:val="center"/>
            <w:hideMark/>
          </w:tcPr>
          <w:p w14:paraId="75ACE1E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0</w:t>
            </w:r>
          </w:p>
        </w:tc>
        <w:tc>
          <w:tcPr>
            <w:tcW w:w="1080" w:type="dxa"/>
            <w:tcBorders>
              <w:top w:val="nil"/>
              <w:left w:val="nil"/>
              <w:bottom w:val="nil"/>
              <w:right w:val="nil"/>
            </w:tcBorders>
            <w:shd w:val="clear" w:color="auto" w:fill="D9D9D9"/>
            <w:noWrap/>
            <w:vAlign w:val="center"/>
            <w:hideMark/>
          </w:tcPr>
          <w:p w14:paraId="04624D1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1</w:t>
            </w:r>
          </w:p>
        </w:tc>
        <w:tc>
          <w:tcPr>
            <w:tcW w:w="1080" w:type="dxa"/>
            <w:tcBorders>
              <w:top w:val="nil"/>
              <w:left w:val="nil"/>
              <w:bottom w:val="nil"/>
              <w:right w:val="nil"/>
            </w:tcBorders>
            <w:shd w:val="clear" w:color="auto" w:fill="D9D9D9"/>
            <w:noWrap/>
            <w:vAlign w:val="center"/>
            <w:hideMark/>
          </w:tcPr>
          <w:p w14:paraId="4A33D819"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2</w:t>
            </w:r>
          </w:p>
        </w:tc>
        <w:tc>
          <w:tcPr>
            <w:tcW w:w="1170" w:type="dxa"/>
            <w:tcBorders>
              <w:top w:val="nil"/>
              <w:left w:val="nil"/>
              <w:bottom w:val="nil"/>
              <w:right w:val="nil"/>
            </w:tcBorders>
            <w:shd w:val="clear" w:color="auto" w:fill="D9D9D9"/>
            <w:noWrap/>
            <w:vAlign w:val="center"/>
            <w:hideMark/>
          </w:tcPr>
          <w:p w14:paraId="41F61D22"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3</w:t>
            </w:r>
          </w:p>
        </w:tc>
        <w:tc>
          <w:tcPr>
            <w:tcW w:w="1170" w:type="dxa"/>
            <w:tcBorders>
              <w:top w:val="nil"/>
              <w:left w:val="nil"/>
              <w:bottom w:val="nil"/>
              <w:right w:val="nil"/>
            </w:tcBorders>
            <w:shd w:val="clear" w:color="auto" w:fill="D9D9D9"/>
            <w:noWrap/>
            <w:vAlign w:val="center"/>
            <w:hideMark/>
          </w:tcPr>
          <w:p w14:paraId="19C88A5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4</w:t>
            </w:r>
          </w:p>
        </w:tc>
        <w:tc>
          <w:tcPr>
            <w:tcW w:w="1170" w:type="dxa"/>
            <w:tcBorders>
              <w:top w:val="nil"/>
              <w:left w:val="nil"/>
              <w:bottom w:val="nil"/>
              <w:right w:val="single" w:sz="12" w:space="0" w:color="auto"/>
            </w:tcBorders>
            <w:shd w:val="clear" w:color="auto" w:fill="D9D9D9"/>
            <w:noWrap/>
            <w:vAlign w:val="center"/>
            <w:hideMark/>
          </w:tcPr>
          <w:p w14:paraId="3D6F7E59"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5</w:t>
            </w:r>
          </w:p>
        </w:tc>
      </w:tr>
      <w:tr w:rsidR="00F13693" w:rsidRPr="00E65655" w14:paraId="4D93107C" w14:textId="77777777" w:rsidTr="00081E29">
        <w:trPr>
          <w:trHeight w:val="300"/>
          <w:jc w:val="center"/>
        </w:trPr>
        <w:tc>
          <w:tcPr>
            <w:tcW w:w="2265" w:type="dxa"/>
            <w:tcBorders>
              <w:top w:val="nil"/>
              <w:left w:val="single" w:sz="12" w:space="0" w:color="auto"/>
              <w:bottom w:val="nil"/>
              <w:right w:val="nil"/>
            </w:tcBorders>
            <w:noWrap/>
            <w:vAlign w:val="center"/>
            <w:hideMark/>
          </w:tcPr>
          <w:p w14:paraId="66F0348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Daily return</w:t>
            </w:r>
          </w:p>
        </w:tc>
        <w:tc>
          <w:tcPr>
            <w:tcW w:w="1080" w:type="dxa"/>
            <w:tcBorders>
              <w:top w:val="nil"/>
              <w:left w:val="nil"/>
              <w:bottom w:val="nil"/>
              <w:right w:val="nil"/>
            </w:tcBorders>
            <w:noWrap/>
            <w:vAlign w:val="center"/>
            <w:hideMark/>
          </w:tcPr>
          <w:p w14:paraId="281B8964"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noWrap/>
            <w:vAlign w:val="center"/>
            <w:hideMark/>
          </w:tcPr>
          <w:p w14:paraId="4372883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080" w:type="dxa"/>
            <w:tcBorders>
              <w:top w:val="nil"/>
              <w:left w:val="nil"/>
              <w:bottom w:val="nil"/>
              <w:right w:val="nil"/>
            </w:tcBorders>
            <w:noWrap/>
            <w:vAlign w:val="center"/>
            <w:hideMark/>
          </w:tcPr>
          <w:p w14:paraId="1BE0530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nil"/>
            </w:tcBorders>
            <w:noWrap/>
            <w:vAlign w:val="center"/>
            <w:hideMark/>
          </w:tcPr>
          <w:p w14:paraId="07DD7A4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nil"/>
            </w:tcBorders>
            <w:noWrap/>
            <w:vAlign w:val="center"/>
            <w:hideMark/>
          </w:tcPr>
          <w:p w14:paraId="56A9982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single" w:sz="12" w:space="0" w:color="auto"/>
            </w:tcBorders>
            <w:noWrap/>
            <w:vAlign w:val="center"/>
            <w:hideMark/>
          </w:tcPr>
          <w:p w14:paraId="433E7173"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r>
      <w:tr w:rsidR="00F13693" w:rsidRPr="00E65655" w14:paraId="7FE87E96" w14:textId="77777777" w:rsidTr="00081E29">
        <w:trPr>
          <w:trHeight w:val="300"/>
          <w:jc w:val="center"/>
        </w:trPr>
        <w:tc>
          <w:tcPr>
            <w:tcW w:w="2265" w:type="dxa"/>
            <w:tcBorders>
              <w:top w:val="nil"/>
              <w:left w:val="single" w:sz="12" w:space="0" w:color="auto"/>
              <w:bottom w:val="nil"/>
              <w:right w:val="nil"/>
            </w:tcBorders>
            <w:noWrap/>
            <w:vAlign w:val="center"/>
            <w:hideMark/>
          </w:tcPr>
          <w:p w14:paraId="1DEC385F"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Value at end of day</w:t>
            </w:r>
          </w:p>
        </w:tc>
        <w:tc>
          <w:tcPr>
            <w:tcW w:w="1080" w:type="dxa"/>
            <w:tcBorders>
              <w:top w:val="nil"/>
              <w:left w:val="nil"/>
              <w:bottom w:val="nil"/>
              <w:right w:val="nil"/>
            </w:tcBorders>
            <w:noWrap/>
            <w:vAlign w:val="center"/>
            <w:hideMark/>
          </w:tcPr>
          <w:p w14:paraId="0A3B476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10,000.0</w:t>
            </w:r>
          </w:p>
        </w:tc>
        <w:tc>
          <w:tcPr>
            <w:tcW w:w="1080" w:type="dxa"/>
            <w:tcBorders>
              <w:top w:val="nil"/>
              <w:left w:val="nil"/>
              <w:bottom w:val="nil"/>
              <w:right w:val="nil"/>
            </w:tcBorders>
            <w:noWrap/>
            <w:vAlign w:val="center"/>
            <w:hideMark/>
          </w:tcPr>
          <w:p w14:paraId="1F2E879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10,200.0</w:t>
            </w:r>
          </w:p>
        </w:tc>
        <w:tc>
          <w:tcPr>
            <w:tcW w:w="1080" w:type="dxa"/>
            <w:tcBorders>
              <w:top w:val="nil"/>
              <w:left w:val="nil"/>
              <w:bottom w:val="nil"/>
              <w:right w:val="nil"/>
            </w:tcBorders>
            <w:noWrap/>
            <w:vAlign w:val="center"/>
            <w:hideMark/>
          </w:tcPr>
          <w:p w14:paraId="57158C6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10,404.0</w:t>
            </w:r>
          </w:p>
        </w:tc>
        <w:tc>
          <w:tcPr>
            <w:tcW w:w="1170" w:type="dxa"/>
            <w:tcBorders>
              <w:top w:val="nil"/>
              <w:left w:val="nil"/>
              <w:bottom w:val="nil"/>
              <w:right w:val="nil"/>
            </w:tcBorders>
            <w:noWrap/>
            <w:vAlign w:val="center"/>
            <w:hideMark/>
          </w:tcPr>
          <w:p w14:paraId="70B7C9E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10,612.1</w:t>
            </w:r>
          </w:p>
        </w:tc>
        <w:tc>
          <w:tcPr>
            <w:tcW w:w="1170" w:type="dxa"/>
            <w:tcBorders>
              <w:top w:val="nil"/>
              <w:left w:val="nil"/>
              <w:bottom w:val="nil"/>
              <w:right w:val="nil"/>
            </w:tcBorders>
            <w:noWrap/>
            <w:vAlign w:val="center"/>
            <w:hideMark/>
          </w:tcPr>
          <w:p w14:paraId="55CA244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10,824.3</w:t>
            </w:r>
          </w:p>
        </w:tc>
        <w:tc>
          <w:tcPr>
            <w:tcW w:w="1170" w:type="dxa"/>
            <w:tcBorders>
              <w:top w:val="nil"/>
              <w:left w:val="nil"/>
              <w:bottom w:val="nil"/>
              <w:right w:val="single" w:sz="12" w:space="0" w:color="auto"/>
            </w:tcBorders>
            <w:noWrap/>
            <w:vAlign w:val="center"/>
            <w:hideMark/>
          </w:tcPr>
          <w:p w14:paraId="46DF4F0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11,040.8</w:t>
            </w:r>
          </w:p>
        </w:tc>
      </w:tr>
      <w:tr w:rsidR="00F13693" w:rsidRPr="00E65655" w14:paraId="125192C6" w14:textId="77777777" w:rsidTr="00081E29">
        <w:trPr>
          <w:trHeight w:val="300"/>
          <w:jc w:val="center"/>
        </w:trPr>
        <w:tc>
          <w:tcPr>
            <w:tcW w:w="2265" w:type="dxa"/>
            <w:tcBorders>
              <w:top w:val="nil"/>
              <w:left w:val="single" w:sz="12" w:space="0" w:color="auto"/>
              <w:bottom w:val="single" w:sz="12" w:space="0" w:color="auto"/>
              <w:right w:val="nil"/>
            </w:tcBorders>
            <w:noWrap/>
            <w:vAlign w:val="center"/>
            <w:hideMark/>
          </w:tcPr>
          <w:p w14:paraId="154D2AA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Accumulated Return</w:t>
            </w:r>
          </w:p>
        </w:tc>
        <w:tc>
          <w:tcPr>
            <w:tcW w:w="1080" w:type="dxa"/>
            <w:tcBorders>
              <w:top w:val="nil"/>
              <w:left w:val="nil"/>
              <w:bottom w:val="single" w:sz="12" w:space="0" w:color="auto"/>
              <w:right w:val="nil"/>
            </w:tcBorders>
            <w:noWrap/>
            <w:vAlign w:val="center"/>
            <w:hideMark/>
          </w:tcPr>
          <w:p w14:paraId="4C6AA46F" w14:textId="77777777" w:rsidR="00F13693" w:rsidRPr="00E65655" w:rsidRDefault="00F13693" w:rsidP="00081E29">
            <w:pPr>
              <w:rPr>
                <w:rFonts w:cs="Arial"/>
                <w:color w:val="000000"/>
                <w:szCs w:val="20"/>
                <w:lang w:val="en-US"/>
              </w:rPr>
            </w:pPr>
          </w:p>
        </w:tc>
        <w:tc>
          <w:tcPr>
            <w:tcW w:w="1080" w:type="dxa"/>
            <w:tcBorders>
              <w:top w:val="nil"/>
              <w:left w:val="nil"/>
              <w:bottom w:val="single" w:sz="12" w:space="0" w:color="auto"/>
              <w:right w:val="nil"/>
            </w:tcBorders>
            <w:noWrap/>
            <w:vAlign w:val="center"/>
            <w:hideMark/>
          </w:tcPr>
          <w:p w14:paraId="323306A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2.00%</w:t>
            </w:r>
          </w:p>
        </w:tc>
        <w:tc>
          <w:tcPr>
            <w:tcW w:w="1080" w:type="dxa"/>
            <w:tcBorders>
              <w:top w:val="nil"/>
              <w:left w:val="nil"/>
              <w:bottom w:val="single" w:sz="12" w:space="0" w:color="auto"/>
              <w:right w:val="nil"/>
            </w:tcBorders>
            <w:noWrap/>
            <w:vAlign w:val="center"/>
            <w:hideMark/>
          </w:tcPr>
          <w:p w14:paraId="6A92DD5A"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4.04%</w:t>
            </w:r>
          </w:p>
        </w:tc>
        <w:tc>
          <w:tcPr>
            <w:tcW w:w="1170" w:type="dxa"/>
            <w:tcBorders>
              <w:top w:val="nil"/>
              <w:left w:val="nil"/>
              <w:bottom w:val="single" w:sz="12" w:space="0" w:color="auto"/>
              <w:right w:val="nil"/>
            </w:tcBorders>
            <w:noWrap/>
            <w:vAlign w:val="center"/>
            <w:hideMark/>
          </w:tcPr>
          <w:p w14:paraId="1F42B7B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6.12%</w:t>
            </w:r>
          </w:p>
        </w:tc>
        <w:tc>
          <w:tcPr>
            <w:tcW w:w="1170" w:type="dxa"/>
            <w:tcBorders>
              <w:top w:val="nil"/>
              <w:left w:val="nil"/>
              <w:bottom w:val="single" w:sz="12" w:space="0" w:color="auto"/>
              <w:right w:val="nil"/>
            </w:tcBorders>
            <w:noWrap/>
            <w:vAlign w:val="center"/>
            <w:hideMark/>
          </w:tcPr>
          <w:p w14:paraId="5D8F92A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8.24%</w:t>
            </w:r>
          </w:p>
        </w:tc>
        <w:tc>
          <w:tcPr>
            <w:tcW w:w="1170" w:type="dxa"/>
            <w:tcBorders>
              <w:top w:val="nil"/>
              <w:left w:val="nil"/>
              <w:bottom w:val="single" w:sz="12" w:space="0" w:color="auto"/>
              <w:right w:val="single" w:sz="12" w:space="0" w:color="auto"/>
            </w:tcBorders>
            <w:noWrap/>
            <w:vAlign w:val="center"/>
            <w:hideMark/>
          </w:tcPr>
          <w:p w14:paraId="67FA8F1F"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10.41%</w:t>
            </w:r>
          </w:p>
        </w:tc>
      </w:tr>
    </w:tbl>
    <w:p w14:paraId="5E7868BB" w14:textId="77777777" w:rsidR="00F13693" w:rsidRPr="00E65655" w:rsidRDefault="00F13693" w:rsidP="00F13693">
      <w:pPr>
        <w:keepNext/>
        <w:autoSpaceDE w:val="0"/>
        <w:autoSpaceDN w:val="0"/>
        <w:adjustRightInd w:val="0"/>
        <w:spacing w:after="140" w:line="288" w:lineRule="auto"/>
        <w:jc w:val="center"/>
        <w:rPr>
          <w:rFonts w:cs="Arial"/>
          <w:b/>
          <w:i/>
          <w:color w:val="000000"/>
          <w:szCs w:val="20"/>
        </w:rPr>
      </w:pPr>
    </w:p>
    <w:tbl>
      <w:tblPr>
        <w:tblW w:w="9015"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2265"/>
        <w:gridCol w:w="1080"/>
        <w:gridCol w:w="1080"/>
        <w:gridCol w:w="1080"/>
        <w:gridCol w:w="1170"/>
        <w:gridCol w:w="1170"/>
        <w:gridCol w:w="1170"/>
      </w:tblGrid>
      <w:tr w:rsidR="00F13693" w:rsidRPr="00E65655" w14:paraId="344F5E84" w14:textId="77777777" w:rsidTr="00081E29">
        <w:trPr>
          <w:trHeight w:val="300"/>
          <w:jc w:val="center"/>
        </w:trPr>
        <w:tc>
          <w:tcPr>
            <w:tcW w:w="9015" w:type="dxa"/>
            <w:gridSpan w:val="7"/>
            <w:tcBorders>
              <w:top w:val="single" w:sz="12" w:space="0" w:color="auto"/>
              <w:left w:val="single" w:sz="12" w:space="0" w:color="auto"/>
              <w:bottom w:val="nil"/>
              <w:right w:val="single" w:sz="12" w:space="0" w:color="auto"/>
            </w:tcBorders>
            <w:shd w:val="clear" w:color="auto" w:fill="FFFFFF"/>
            <w:noWrap/>
            <w:vAlign w:val="center"/>
            <w:hideMark/>
          </w:tcPr>
          <w:p w14:paraId="4C56AD9E" w14:textId="77777777" w:rsidR="00F13693" w:rsidRPr="00E65655" w:rsidRDefault="00F13693" w:rsidP="00081E29">
            <w:pPr>
              <w:jc w:val="center"/>
              <w:rPr>
                <w:rFonts w:cs="Arial"/>
                <w:color w:val="000000"/>
                <w:szCs w:val="20"/>
                <w:lang w:val="en-US"/>
              </w:rPr>
            </w:pPr>
            <w:r w:rsidRPr="00E65655">
              <w:rPr>
                <w:rFonts w:cs="Arial"/>
                <w:b/>
                <w:color w:val="000000"/>
                <w:szCs w:val="20"/>
                <w:lang w:val="fr-FR"/>
              </w:rPr>
              <w:t>Value of the Certificates</w:t>
            </w:r>
          </w:p>
        </w:tc>
      </w:tr>
      <w:tr w:rsidR="00F13693" w:rsidRPr="00E65655" w14:paraId="750BDD2D" w14:textId="77777777" w:rsidTr="00081E29">
        <w:trPr>
          <w:trHeight w:val="300"/>
          <w:jc w:val="center"/>
        </w:trPr>
        <w:tc>
          <w:tcPr>
            <w:tcW w:w="2265" w:type="dxa"/>
            <w:tcBorders>
              <w:top w:val="nil"/>
              <w:left w:val="single" w:sz="12" w:space="0" w:color="auto"/>
              <w:bottom w:val="nil"/>
              <w:right w:val="nil"/>
            </w:tcBorders>
            <w:shd w:val="clear" w:color="auto" w:fill="D9D9D9"/>
            <w:noWrap/>
            <w:vAlign w:val="center"/>
            <w:hideMark/>
          </w:tcPr>
          <w:p w14:paraId="63E9B8CE"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shd w:val="clear" w:color="auto" w:fill="D9D9D9"/>
            <w:noWrap/>
            <w:vAlign w:val="center"/>
            <w:hideMark/>
          </w:tcPr>
          <w:p w14:paraId="1863A249"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0</w:t>
            </w:r>
          </w:p>
        </w:tc>
        <w:tc>
          <w:tcPr>
            <w:tcW w:w="1080" w:type="dxa"/>
            <w:tcBorders>
              <w:top w:val="nil"/>
              <w:left w:val="nil"/>
              <w:bottom w:val="nil"/>
              <w:right w:val="nil"/>
            </w:tcBorders>
            <w:shd w:val="clear" w:color="auto" w:fill="D9D9D9"/>
            <w:noWrap/>
            <w:vAlign w:val="center"/>
            <w:hideMark/>
          </w:tcPr>
          <w:p w14:paraId="41559021"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1</w:t>
            </w:r>
          </w:p>
        </w:tc>
        <w:tc>
          <w:tcPr>
            <w:tcW w:w="1080" w:type="dxa"/>
            <w:tcBorders>
              <w:top w:val="nil"/>
              <w:left w:val="nil"/>
              <w:bottom w:val="nil"/>
              <w:right w:val="nil"/>
            </w:tcBorders>
            <w:shd w:val="clear" w:color="auto" w:fill="D9D9D9"/>
            <w:noWrap/>
            <w:vAlign w:val="center"/>
            <w:hideMark/>
          </w:tcPr>
          <w:p w14:paraId="0A87120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2</w:t>
            </w:r>
          </w:p>
        </w:tc>
        <w:tc>
          <w:tcPr>
            <w:tcW w:w="1170" w:type="dxa"/>
            <w:tcBorders>
              <w:top w:val="nil"/>
              <w:left w:val="nil"/>
              <w:bottom w:val="nil"/>
              <w:right w:val="nil"/>
            </w:tcBorders>
            <w:shd w:val="clear" w:color="auto" w:fill="D9D9D9"/>
            <w:noWrap/>
            <w:vAlign w:val="center"/>
            <w:hideMark/>
          </w:tcPr>
          <w:p w14:paraId="7ACAD6A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3</w:t>
            </w:r>
          </w:p>
        </w:tc>
        <w:tc>
          <w:tcPr>
            <w:tcW w:w="1170" w:type="dxa"/>
            <w:tcBorders>
              <w:top w:val="nil"/>
              <w:left w:val="nil"/>
              <w:bottom w:val="nil"/>
              <w:right w:val="nil"/>
            </w:tcBorders>
            <w:shd w:val="clear" w:color="auto" w:fill="D9D9D9"/>
            <w:noWrap/>
            <w:vAlign w:val="center"/>
            <w:hideMark/>
          </w:tcPr>
          <w:p w14:paraId="5298BAA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4</w:t>
            </w:r>
          </w:p>
        </w:tc>
        <w:tc>
          <w:tcPr>
            <w:tcW w:w="1170" w:type="dxa"/>
            <w:tcBorders>
              <w:top w:val="nil"/>
              <w:left w:val="nil"/>
              <w:bottom w:val="nil"/>
              <w:right w:val="single" w:sz="12" w:space="0" w:color="auto"/>
            </w:tcBorders>
            <w:shd w:val="clear" w:color="auto" w:fill="D9D9D9"/>
            <w:noWrap/>
            <w:vAlign w:val="center"/>
            <w:hideMark/>
          </w:tcPr>
          <w:p w14:paraId="483D5C5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5</w:t>
            </w:r>
          </w:p>
        </w:tc>
      </w:tr>
      <w:tr w:rsidR="00F13693" w:rsidRPr="00E65655" w14:paraId="25B85B8D" w14:textId="77777777" w:rsidTr="00081E29">
        <w:trPr>
          <w:trHeight w:val="300"/>
          <w:jc w:val="center"/>
        </w:trPr>
        <w:tc>
          <w:tcPr>
            <w:tcW w:w="2265" w:type="dxa"/>
            <w:tcBorders>
              <w:top w:val="nil"/>
              <w:left w:val="single" w:sz="12" w:space="0" w:color="auto"/>
              <w:bottom w:val="nil"/>
              <w:right w:val="nil"/>
            </w:tcBorders>
            <w:noWrap/>
            <w:vAlign w:val="center"/>
            <w:hideMark/>
          </w:tcPr>
          <w:p w14:paraId="6330FF4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Daily return</w:t>
            </w:r>
          </w:p>
        </w:tc>
        <w:tc>
          <w:tcPr>
            <w:tcW w:w="1080" w:type="dxa"/>
            <w:tcBorders>
              <w:top w:val="nil"/>
              <w:left w:val="nil"/>
              <w:bottom w:val="nil"/>
              <w:right w:val="nil"/>
            </w:tcBorders>
            <w:noWrap/>
            <w:vAlign w:val="center"/>
            <w:hideMark/>
          </w:tcPr>
          <w:p w14:paraId="69BF4C31" w14:textId="77777777" w:rsidR="00F13693" w:rsidRPr="00E65655" w:rsidRDefault="00F13693" w:rsidP="00081E29">
            <w:pPr>
              <w:jc w:val="center"/>
              <w:rPr>
                <w:rFonts w:cs="Arial"/>
                <w:color w:val="000000"/>
                <w:szCs w:val="20"/>
                <w:lang w:val="en-US"/>
              </w:rPr>
            </w:pPr>
          </w:p>
        </w:tc>
        <w:tc>
          <w:tcPr>
            <w:tcW w:w="1080" w:type="dxa"/>
            <w:tcBorders>
              <w:top w:val="nil"/>
              <w:left w:val="nil"/>
              <w:bottom w:val="nil"/>
              <w:right w:val="nil"/>
            </w:tcBorders>
            <w:noWrap/>
            <w:vAlign w:val="center"/>
            <w:hideMark/>
          </w:tcPr>
          <w:p w14:paraId="6ADAF37A"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080" w:type="dxa"/>
            <w:tcBorders>
              <w:top w:val="nil"/>
              <w:left w:val="nil"/>
              <w:bottom w:val="nil"/>
              <w:right w:val="nil"/>
            </w:tcBorders>
            <w:noWrap/>
            <w:vAlign w:val="center"/>
            <w:hideMark/>
          </w:tcPr>
          <w:p w14:paraId="6CBB7CF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nil"/>
            </w:tcBorders>
            <w:noWrap/>
            <w:vAlign w:val="center"/>
            <w:hideMark/>
          </w:tcPr>
          <w:p w14:paraId="6FB4F97F"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nil"/>
            </w:tcBorders>
            <w:noWrap/>
            <w:vAlign w:val="center"/>
            <w:hideMark/>
          </w:tcPr>
          <w:p w14:paraId="0CD4762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single" w:sz="12" w:space="0" w:color="auto"/>
            </w:tcBorders>
            <w:noWrap/>
            <w:vAlign w:val="center"/>
            <w:hideMark/>
          </w:tcPr>
          <w:p w14:paraId="4DC550C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r>
      <w:tr w:rsidR="007F10B7" w:rsidRPr="00E65655" w14:paraId="669F54CF" w14:textId="77777777" w:rsidTr="007F10B7">
        <w:trPr>
          <w:trHeight w:val="300"/>
          <w:jc w:val="center"/>
        </w:trPr>
        <w:tc>
          <w:tcPr>
            <w:tcW w:w="2265" w:type="dxa"/>
            <w:tcBorders>
              <w:top w:val="nil"/>
              <w:left w:val="single" w:sz="12" w:space="0" w:color="auto"/>
              <w:bottom w:val="nil"/>
              <w:right w:val="nil"/>
            </w:tcBorders>
            <w:noWrap/>
            <w:vAlign w:val="center"/>
            <w:hideMark/>
          </w:tcPr>
          <w:p w14:paraId="2C9CFCBA" w14:textId="77777777" w:rsidR="007F10B7" w:rsidRPr="00E65655" w:rsidRDefault="007F10B7" w:rsidP="007F10B7">
            <w:pPr>
              <w:jc w:val="center"/>
              <w:rPr>
                <w:rFonts w:cs="Arial"/>
                <w:color w:val="000000"/>
                <w:szCs w:val="20"/>
                <w:lang w:val="en-US"/>
              </w:rPr>
            </w:pPr>
            <w:r w:rsidRPr="00E65655">
              <w:rPr>
                <w:rFonts w:cs="Arial"/>
                <w:color w:val="000000"/>
                <w:szCs w:val="20"/>
                <w:lang w:val="en-US"/>
              </w:rPr>
              <w:t>Price at end of day</w:t>
            </w:r>
          </w:p>
        </w:tc>
        <w:tc>
          <w:tcPr>
            <w:tcW w:w="1080" w:type="dxa"/>
            <w:tcBorders>
              <w:top w:val="nil"/>
              <w:left w:val="nil"/>
              <w:bottom w:val="nil"/>
              <w:right w:val="nil"/>
            </w:tcBorders>
            <w:noWrap/>
            <w:vAlign w:val="center"/>
            <w:hideMark/>
          </w:tcPr>
          <w:p w14:paraId="1D983082" w14:textId="2327FDA2" w:rsidR="007F10B7" w:rsidRPr="00E65655" w:rsidRDefault="007F10B7" w:rsidP="007F10B7">
            <w:pPr>
              <w:jc w:val="center"/>
              <w:rPr>
                <w:rFonts w:cs="Arial"/>
                <w:szCs w:val="20"/>
                <w:lang w:eastAsia="zh-CN"/>
              </w:rPr>
            </w:pPr>
            <w:r w:rsidRPr="00450DF7">
              <w:t xml:space="preserve"> 0.8</w:t>
            </w:r>
            <w:r>
              <w:rPr>
                <w:rFonts w:hint="eastAsia"/>
                <w:lang w:eastAsia="zh-CN"/>
              </w:rPr>
              <w:t>0</w:t>
            </w:r>
          </w:p>
        </w:tc>
        <w:tc>
          <w:tcPr>
            <w:tcW w:w="1080" w:type="dxa"/>
            <w:tcBorders>
              <w:top w:val="nil"/>
              <w:left w:val="nil"/>
              <w:bottom w:val="nil"/>
              <w:right w:val="nil"/>
            </w:tcBorders>
            <w:noWrap/>
            <w:vAlign w:val="center"/>
            <w:hideMark/>
          </w:tcPr>
          <w:p w14:paraId="7289A2E5" w14:textId="005C52CB" w:rsidR="007F10B7" w:rsidRPr="00E65655" w:rsidRDefault="007F10B7" w:rsidP="007F10B7">
            <w:pPr>
              <w:jc w:val="center"/>
              <w:rPr>
                <w:rFonts w:cs="Arial"/>
                <w:szCs w:val="20"/>
              </w:rPr>
            </w:pPr>
            <w:r w:rsidRPr="00450DF7">
              <w:t>0.72</w:t>
            </w:r>
          </w:p>
        </w:tc>
        <w:tc>
          <w:tcPr>
            <w:tcW w:w="1080" w:type="dxa"/>
            <w:tcBorders>
              <w:top w:val="nil"/>
              <w:left w:val="nil"/>
              <w:bottom w:val="nil"/>
              <w:right w:val="nil"/>
            </w:tcBorders>
            <w:noWrap/>
            <w:vAlign w:val="center"/>
            <w:hideMark/>
          </w:tcPr>
          <w:p w14:paraId="253B29D2" w14:textId="003D576D" w:rsidR="007F10B7" w:rsidRPr="00E65655" w:rsidRDefault="007F10B7" w:rsidP="007F10B7">
            <w:pPr>
              <w:jc w:val="center"/>
              <w:rPr>
                <w:rFonts w:cs="Arial"/>
                <w:szCs w:val="20"/>
              </w:rPr>
            </w:pPr>
            <w:r w:rsidRPr="00450DF7">
              <w:t>0.65</w:t>
            </w:r>
          </w:p>
        </w:tc>
        <w:tc>
          <w:tcPr>
            <w:tcW w:w="1170" w:type="dxa"/>
            <w:tcBorders>
              <w:top w:val="nil"/>
              <w:left w:val="nil"/>
              <w:bottom w:val="nil"/>
              <w:right w:val="nil"/>
            </w:tcBorders>
            <w:noWrap/>
            <w:vAlign w:val="center"/>
            <w:hideMark/>
          </w:tcPr>
          <w:p w14:paraId="69C0363A" w14:textId="26E0385F" w:rsidR="007F10B7" w:rsidRPr="00E65655" w:rsidRDefault="007F10B7" w:rsidP="007F10B7">
            <w:pPr>
              <w:jc w:val="center"/>
              <w:rPr>
                <w:rFonts w:cs="Arial"/>
                <w:szCs w:val="20"/>
              </w:rPr>
            </w:pPr>
            <w:r w:rsidRPr="00450DF7">
              <w:t>0.58</w:t>
            </w:r>
          </w:p>
        </w:tc>
        <w:tc>
          <w:tcPr>
            <w:tcW w:w="1170" w:type="dxa"/>
            <w:tcBorders>
              <w:top w:val="nil"/>
              <w:left w:val="nil"/>
              <w:bottom w:val="nil"/>
              <w:right w:val="nil"/>
            </w:tcBorders>
            <w:noWrap/>
            <w:vAlign w:val="center"/>
            <w:hideMark/>
          </w:tcPr>
          <w:p w14:paraId="0DED4037" w14:textId="4C0A38DF" w:rsidR="007F10B7" w:rsidRPr="00E65655" w:rsidRDefault="007F10B7" w:rsidP="007F10B7">
            <w:pPr>
              <w:jc w:val="center"/>
              <w:rPr>
                <w:rFonts w:cs="Arial"/>
                <w:szCs w:val="20"/>
              </w:rPr>
            </w:pPr>
            <w:r w:rsidRPr="00450DF7">
              <w:t>0.52</w:t>
            </w:r>
          </w:p>
        </w:tc>
        <w:tc>
          <w:tcPr>
            <w:tcW w:w="1170" w:type="dxa"/>
            <w:tcBorders>
              <w:top w:val="nil"/>
              <w:left w:val="nil"/>
              <w:bottom w:val="nil"/>
              <w:right w:val="single" w:sz="12" w:space="0" w:color="auto"/>
            </w:tcBorders>
            <w:noWrap/>
            <w:vAlign w:val="center"/>
            <w:hideMark/>
          </w:tcPr>
          <w:p w14:paraId="61C53C18" w14:textId="63E79809" w:rsidR="007F10B7" w:rsidRPr="00E65655" w:rsidRDefault="007F10B7" w:rsidP="007F10B7">
            <w:pPr>
              <w:jc w:val="center"/>
              <w:rPr>
                <w:rFonts w:cs="Arial"/>
                <w:szCs w:val="20"/>
              </w:rPr>
            </w:pPr>
            <w:r w:rsidRPr="00450DF7">
              <w:t>0.47</w:t>
            </w:r>
          </w:p>
        </w:tc>
      </w:tr>
      <w:tr w:rsidR="00F13693" w:rsidRPr="00E65655" w14:paraId="29775E51" w14:textId="77777777" w:rsidTr="00081E29">
        <w:trPr>
          <w:trHeight w:val="300"/>
          <w:jc w:val="center"/>
        </w:trPr>
        <w:tc>
          <w:tcPr>
            <w:tcW w:w="2265" w:type="dxa"/>
            <w:tcBorders>
              <w:top w:val="nil"/>
              <w:left w:val="single" w:sz="12" w:space="0" w:color="auto"/>
              <w:bottom w:val="single" w:sz="12" w:space="0" w:color="auto"/>
              <w:right w:val="nil"/>
            </w:tcBorders>
            <w:noWrap/>
            <w:vAlign w:val="center"/>
            <w:hideMark/>
          </w:tcPr>
          <w:p w14:paraId="09857F3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Accumulated Return</w:t>
            </w:r>
          </w:p>
        </w:tc>
        <w:tc>
          <w:tcPr>
            <w:tcW w:w="1080" w:type="dxa"/>
            <w:tcBorders>
              <w:top w:val="nil"/>
              <w:left w:val="nil"/>
              <w:bottom w:val="single" w:sz="12" w:space="0" w:color="auto"/>
              <w:right w:val="nil"/>
            </w:tcBorders>
            <w:noWrap/>
            <w:vAlign w:val="center"/>
            <w:hideMark/>
          </w:tcPr>
          <w:p w14:paraId="616E17AD" w14:textId="77777777" w:rsidR="00F13693" w:rsidRPr="00E65655" w:rsidRDefault="00F13693" w:rsidP="00081E29">
            <w:pPr>
              <w:jc w:val="center"/>
              <w:rPr>
                <w:rFonts w:cs="Arial"/>
                <w:color w:val="000000"/>
                <w:szCs w:val="20"/>
                <w:lang w:val="en-US"/>
              </w:rPr>
            </w:pPr>
          </w:p>
        </w:tc>
        <w:tc>
          <w:tcPr>
            <w:tcW w:w="1080" w:type="dxa"/>
            <w:tcBorders>
              <w:top w:val="nil"/>
              <w:left w:val="nil"/>
              <w:bottom w:val="single" w:sz="12" w:space="0" w:color="auto"/>
              <w:right w:val="nil"/>
            </w:tcBorders>
            <w:noWrap/>
            <w:vAlign w:val="center"/>
            <w:hideMark/>
          </w:tcPr>
          <w:p w14:paraId="578F389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-10.00%</w:t>
            </w:r>
          </w:p>
        </w:tc>
        <w:tc>
          <w:tcPr>
            <w:tcW w:w="1080" w:type="dxa"/>
            <w:tcBorders>
              <w:top w:val="nil"/>
              <w:left w:val="nil"/>
              <w:bottom w:val="single" w:sz="12" w:space="0" w:color="auto"/>
              <w:right w:val="nil"/>
            </w:tcBorders>
            <w:noWrap/>
            <w:vAlign w:val="center"/>
            <w:hideMark/>
          </w:tcPr>
          <w:p w14:paraId="2C7BC70A"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-19.00%</w:t>
            </w:r>
          </w:p>
        </w:tc>
        <w:tc>
          <w:tcPr>
            <w:tcW w:w="1170" w:type="dxa"/>
            <w:tcBorders>
              <w:top w:val="nil"/>
              <w:left w:val="nil"/>
              <w:bottom w:val="single" w:sz="12" w:space="0" w:color="auto"/>
              <w:right w:val="nil"/>
            </w:tcBorders>
            <w:noWrap/>
            <w:vAlign w:val="center"/>
            <w:hideMark/>
          </w:tcPr>
          <w:p w14:paraId="238F829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-27.10%</w:t>
            </w:r>
          </w:p>
        </w:tc>
        <w:tc>
          <w:tcPr>
            <w:tcW w:w="1170" w:type="dxa"/>
            <w:tcBorders>
              <w:top w:val="nil"/>
              <w:left w:val="nil"/>
              <w:bottom w:val="single" w:sz="12" w:space="0" w:color="auto"/>
              <w:right w:val="nil"/>
            </w:tcBorders>
            <w:noWrap/>
            <w:vAlign w:val="center"/>
            <w:hideMark/>
          </w:tcPr>
          <w:p w14:paraId="5392421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-34.39%</w:t>
            </w:r>
          </w:p>
        </w:tc>
        <w:tc>
          <w:tcPr>
            <w:tcW w:w="1170" w:type="dxa"/>
            <w:tcBorders>
              <w:top w:val="nil"/>
              <w:left w:val="nil"/>
              <w:bottom w:val="single" w:sz="12" w:space="0" w:color="auto"/>
              <w:right w:val="single" w:sz="12" w:space="0" w:color="auto"/>
            </w:tcBorders>
            <w:noWrap/>
            <w:vAlign w:val="center"/>
            <w:hideMark/>
          </w:tcPr>
          <w:p w14:paraId="2CFE0E4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-40.95%</w:t>
            </w:r>
          </w:p>
        </w:tc>
      </w:tr>
    </w:tbl>
    <w:p w14:paraId="636A01B2" w14:textId="77777777" w:rsidR="00F13693" w:rsidRPr="00E65655" w:rsidRDefault="00F13693" w:rsidP="00F13693">
      <w:pPr>
        <w:keepNext/>
        <w:autoSpaceDE w:val="0"/>
        <w:autoSpaceDN w:val="0"/>
        <w:adjustRightInd w:val="0"/>
        <w:spacing w:after="140" w:line="288" w:lineRule="auto"/>
        <w:jc w:val="center"/>
        <w:rPr>
          <w:rFonts w:cs="Arial"/>
          <w:i/>
          <w:color w:val="000000"/>
          <w:szCs w:val="20"/>
          <w:u w:val="single"/>
        </w:rPr>
      </w:pPr>
    </w:p>
    <w:p w14:paraId="74CFF34F" w14:textId="77777777" w:rsidR="00F13693" w:rsidRPr="00E65655" w:rsidRDefault="00F13693" w:rsidP="00F13693">
      <w:pPr>
        <w:keepNext/>
        <w:autoSpaceDE w:val="0"/>
        <w:autoSpaceDN w:val="0"/>
        <w:adjustRightInd w:val="0"/>
        <w:spacing w:after="140" w:line="288" w:lineRule="auto"/>
        <w:jc w:val="center"/>
        <w:rPr>
          <w:rFonts w:cs="Arial"/>
          <w:i/>
          <w:color w:val="000000"/>
          <w:szCs w:val="20"/>
          <w:u w:val="single"/>
        </w:rPr>
      </w:pPr>
      <w:r w:rsidRPr="00E65655">
        <w:rPr>
          <w:rFonts w:cs="Arial"/>
          <w:i/>
          <w:color w:val="000000"/>
          <w:szCs w:val="20"/>
          <w:u w:val="single"/>
        </w:rPr>
        <w:t>Scenario 2 – Downward Trend</w:t>
      </w:r>
    </w:p>
    <w:tbl>
      <w:tblPr>
        <w:tblW w:w="9015"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2265"/>
        <w:gridCol w:w="1080"/>
        <w:gridCol w:w="1080"/>
        <w:gridCol w:w="1080"/>
        <w:gridCol w:w="1170"/>
        <w:gridCol w:w="1170"/>
        <w:gridCol w:w="1170"/>
      </w:tblGrid>
      <w:tr w:rsidR="00F13693" w:rsidRPr="00E65655" w14:paraId="2E4CB12A" w14:textId="77777777" w:rsidTr="00081E29">
        <w:trPr>
          <w:trHeight w:val="300"/>
          <w:jc w:val="center"/>
        </w:trPr>
        <w:tc>
          <w:tcPr>
            <w:tcW w:w="9015" w:type="dxa"/>
            <w:gridSpan w:val="7"/>
            <w:tcBorders>
              <w:top w:val="single" w:sz="12" w:space="0" w:color="auto"/>
              <w:left w:val="single" w:sz="12" w:space="0" w:color="auto"/>
              <w:bottom w:val="nil"/>
              <w:right w:val="single" w:sz="12" w:space="0" w:color="auto"/>
            </w:tcBorders>
            <w:shd w:val="clear" w:color="auto" w:fill="FFFFFF"/>
            <w:noWrap/>
            <w:vAlign w:val="center"/>
            <w:hideMark/>
          </w:tcPr>
          <w:p w14:paraId="68B6223F" w14:textId="77777777" w:rsidR="00F13693" w:rsidRPr="00E65655" w:rsidRDefault="00F13693" w:rsidP="00081E29">
            <w:pPr>
              <w:jc w:val="center"/>
              <w:rPr>
                <w:rFonts w:cs="Arial"/>
                <w:color w:val="000000"/>
                <w:szCs w:val="20"/>
                <w:lang w:val="en-US"/>
              </w:rPr>
            </w:pPr>
            <w:r w:rsidRPr="00E65655">
              <w:rPr>
                <w:rFonts w:cs="Arial"/>
                <w:b/>
                <w:color w:val="000000"/>
                <w:szCs w:val="20"/>
                <w:lang w:val="en-US"/>
              </w:rPr>
              <w:t>Underlying Stock</w:t>
            </w:r>
          </w:p>
        </w:tc>
      </w:tr>
      <w:tr w:rsidR="00F13693" w:rsidRPr="00E65655" w14:paraId="4E224FD7" w14:textId="77777777" w:rsidTr="00081E29">
        <w:trPr>
          <w:trHeight w:val="300"/>
          <w:jc w:val="center"/>
        </w:trPr>
        <w:tc>
          <w:tcPr>
            <w:tcW w:w="2265" w:type="dxa"/>
            <w:tcBorders>
              <w:top w:val="nil"/>
              <w:left w:val="single" w:sz="12" w:space="0" w:color="auto"/>
              <w:bottom w:val="nil"/>
              <w:right w:val="nil"/>
            </w:tcBorders>
            <w:shd w:val="clear" w:color="auto" w:fill="D9D9D9"/>
            <w:noWrap/>
            <w:vAlign w:val="center"/>
            <w:hideMark/>
          </w:tcPr>
          <w:p w14:paraId="4F356FC6"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shd w:val="clear" w:color="auto" w:fill="D9D9D9"/>
            <w:noWrap/>
            <w:vAlign w:val="center"/>
            <w:hideMark/>
          </w:tcPr>
          <w:p w14:paraId="500DDEC3"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0</w:t>
            </w:r>
          </w:p>
        </w:tc>
        <w:tc>
          <w:tcPr>
            <w:tcW w:w="1080" w:type="dxa"/>
            <w:tcBorders>
              <w:top w:val="nil"/>
              <w:left w:val="nil"/>
              <w:bottom w:val="nil"/>
              <w:right w:val="nil"/>
            </w:tcBorders>
            <w:shd w:val="clear" w:color="auto" w:fill="D9D9D9"/>
            <w:noWrap/>
            <w:vAlign w:val="center"/>
            <w:hideMark/>
          </w:tcPr>
          <w:p w14:paraId="3F27C4E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1</w:t>
            </w:r>
          </w:p>
        </w:tc>
        <w:tc>
          <w:tcPr>
            <w:tcW w:w="1080" w:type="dxa"/>
            <w:tcBorders>
              <w:top w:val="nil"/>
              <w:left w:val="nil"/>
              <w:bottom w:val="nil"/>
              <w:right w:val="nil"/>
            </w:tcBorders>
            <w:shd w:val="clear" w:color="auto" w:fill="D9D9D9"/>
            <w:noWrap/>
            <w:vAlign w:val="center"/>
            <w:hideMark/>
          </w:tcPr>
          <w:p w14:paraId="73B947C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2</w:t>
            </w:r>
          </w:p>
        </w:tc>
        <w:tc>
          <w:tcPr>
            <w:tcW w:w="1170" w:type="dxa"/>
            <w:tcBorders>
              <w:top w:val="nil"/>
              <w:left w:val="nil"/>
              <w:bottom w:val="nil"/>
              <w:right w:val="nil"/>
            </w:tcBorders>
            <w:shd w:val="clear" w:color="auto" w:fill="D9D9D9"/>
            <w:noWrap/>
            <w:vAlign w:val="center"/>
            <w:hideMark/>
          </w:tcPr>
          <w:p w14:paraId="26046FA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3</w:t>
            </w:r>
          </w:p>
        </w:tc>
        <w:tc>
          <w:tcPr>
            <w:tcW w:w="1170" w:type="dxa"/>
            <w:tcBorders>
              <w:top w:val="nil"/>
              <w:left w:val="nil"/>
              <w:bottom w:val="nil"/>
              <w:right w:val="nil"/>
            </w:tcBorders>
            <w:shd w:val="clear" w:color="auto" w:fill="D9D9D9"/>
            <w:noWrap/>
            <w:vAlign w:val="center"/>
            <w:hideMark/>
          </w:tcPr>
          <w:p w14:paraId="133CD80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4</w:t>
            </w:r>
          </w:p>
        </w:tc>
        <w:tc>
          <w:tcPr>
            <w:tcW w:w="1170" w:type="dxa"/>
            <w:tcBorders>
              <w:top w:val="nil"/>
              <w:left w:val="nil"/>
              <w:bottom w:val="nil"/>
              <w:right w:val="single" w:sz="12" w:space="0" w:color="auto"/>
            </w:tcBorders>
            <w:shd w:val="clear" w:color="auto" w:fill="D9D9D9"/>
            <w:noWrap/>
            <w:vAlign w:val="center"/>
            <w:hideMark/>
          </w:tcPr>
          <w:p w14:paraId="203937E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5</w:t>
            </w:r>
          </w:p>
        </w:tc>
      </w:tr>
      <w:tr w:rsidR="00F13693" w:rsidRPr="00E65655" w14:paraId="302CA2EC" w14:textId="77777777" w:rsidTr="00081E29">
        <w:trPr>
          <w:trHeight w:val="300"/>
          <w:jc w:val="center"/>
        </w:trPr>
        <w:tc>
          <w:tcPr>
            <w:tcW w:w="2265" w:type="dxa"/>
            <w:tcBorders>
              <w:top w:val="nil"/>
              <w:left w:val="single" w:sz="12" w:space="0" w:color="auto"/>
              <w:bottom w:val="nil"/>
              <w:right w:val="nil"/>
            </w:tcBorders>
            <w:noWrap/>
            <w:vAlign w:val="center"/>
            <w:hideMark/>
          </w:tcPr>
          <w:p w14:paraId="155DCA6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Daily return</w:t>
            </w:r>
          </w:p>
        </w:tc>
        <w:tc>
          <w:tcPr>
            <w:tcW w:w="1080" w:type="dxa"/>
            <w:tcBorders>
              <w:top w:val="nil"/>
              <w:left w:val="nil"/>
              <w:bottom w:val="nil"/>
              <w:right w:val="nil"/>
            </w:tcBorders>
            <w:noWrap/>
            <w:vAlign w:val="center"/>
            <w:hideMark/>
          </w:tcPr>
          <w:p w14:paraId="4A2B2025"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noWrap/>
            <w:vAlign w:val="center"/>
            <w:hideMark/>
          </w:tcPr>
          <w:p w14:paraId="737D0AE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080" w:type="dxa"/>
            <w:tcBorders>
              <w:top w:val="nil"/>
              <w:left w:val="nil"/>
              <w:bottom w:val="nil"/>
              <w:right w:val="nil"/>
            </w:tcBorders>
            <w:noWrap/>
            <w:vAlign w:val="center"/>
            <w:hideMark/>
          </w:tcPr>
          <w:p w14:paraId="1F180322"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nil"/>
            </w:tcBorders>
            <w:noWrap/>
            <w:vAlign w:val="center"/>
            <w:hideMark/>
          </w:tcPr>
          <w:p w14:paraId="773CE04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nil"/>
            </w:tcBorders>
            <w:noWrap/>
            <w:vAlign w:val="center"/>
            <w:hideMark/>
          </w:tcPr>
          <w:p w14:paraId="7574F51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single" w:sz="12" w:space="0" w:color="auto"/>
            </w:tcBorders>
            <w:noWrap/>
            <w:vAlign w:val="center"/>
            <w:hideMark/>
          </w:tcPr>
          <w:p w14:paraId="22EB190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r>
      <w:tr w:rsidR="00F13693" w:rsidRPr="00E65655" w14:paraId="6447B100" w14:textId="77777777" w:rsidTr="00081E29">
        <w:trPr>
          <w:trHeight w:val="300"/>
          <w:jc w:val="center"/>
        </w:trPr>
        <w:tc>
          <w:tcPr>
            <w:tcW w:w="2265" w:type="dxa"/>
            <w:tcBorders>
              <w:top w:val="nil"/>
              <w:left w:val="single" w:sz="12" w:space="0" w:color="auto"/>
              <w:bottom w:val="nil"/>
              <w:right w:val="nil"/>
            </w:tcBorders>
            <w:noWrap/>
            <w:vAlign w:val="center"/>
            <w:hideMark/>
          </w:tcPr>
          <w:p w14:paraId="3B730F1A"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Value at end of day</w:t>
            </w:r>
          </w:p>
        </w:tc>
        <w:tc>
          <w:tcPr>
            <w:tcW w:w="1080" w:type="dxa"/>
            <w:tcBorders>
              <w:top w:val="nil"/>
              <w:left w:val="nil"/>
              <w:bottom w:val="nil"/>
              <w:right w:val="nil"/>
            </w:tcBorders>
            <w:noWrap/>
            <w:vAlign w:val="center"/>
            <w:hideMark/>
          </w:tcPr>
          <w:p w14:paraId="48172A5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10,000.0</w:t>
            </w:r>
          </w:p>
        </w:tc>
        <w:tc>
          <w:tcPr>
            <w:tcW w:w="1080" w:type="dxa"/>
            <w:tcBorders>
              <w:top w:val="nil"/>
              <w:left w:val="nil"/>
              <w:bottom w:val="nil"/>
              <w:right w:val="nil"/>
            </w:tcBorders>
            <w:noWrap/>
            <w:vAlign w:val="center"/>
            <w:hideMark/>
          </w:tcPr>
          <w:p w14:paraId="3BC039E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9,800.0</w:t>
            </w:r>
          </w:p>
        </w:tc>
        <w:tc>
          <w:tcPr>
            <w:tcW w:w="1080" w:type="dxa"/>
            <w:tcBorders>
              <w:top w:val="nil"/>
              <w:left w:val="nil"/>
              <w:bottom w:val="nil"/>
              <w:right w:val="nil"/>
            </w:tcBorders>
            <w:noWrap/>
            <w:vAlign w:val="center"/>
            <w:hideMark/>
          </w:tcPr>
          <w:p w14:paraId="587A14C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9,604.0</w:t>
            </w:r>
          </w:p>
        </w:tc>
        <w:tc>
          <w:tcPr>
            <w:tcW w:w="1170" w:type="dxa"/>
            <w:tcBorders>
              <w:top w:val="nil"/>
              <w:left w:val="nil"/>
              <w:bottom w:val="nil"/>
              <w:right w:val="nil"/>
            </w:tcBorders>
            <w:noWrap/>
            <w:vAlign w:val="center"/>
            <w:hideMark/>
          </w:tcPr>
          <w:p w14:paraId="5E7C098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9,411.9</w:t>
            </w:r>
          </w:p>
        </w:tc>
        <w:tc>
          <w:tcPr>
            <w:tcW w:w="1170" w:type="dxa"/>
            <w:tcBorders>
              <w:top w:val="nil"/>
              <w:left w:val="nil"/>
              <w:bottom w:val="nil"/>
              <w:right w:val="nil"/>
            </w:tcBorders>
            <w:noWrap/>
            <w:vAlign w:val="center"/>
            <w:hideMark/>
          </w:tcPr>
          <w:p w14:paraId="57868E2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9,223.7</w:t>
            </w:r>
          </w:p>
        </w:tc>
        <w:tc>
          <w:tcPr>
            <w:tcW w:w="1170" w:type="dxa"/>
            <w:tcBorders>
              <w:top w:val="nil"/>
              <w:left w:val="nil"/>
              <w:bottom w:val="nil"/>
              <w:right w:val="single" w:sz="12" w:space="0" w:color="auto"/>
            </w:tcBorders>
            <w:noWrap/>
            <w:vAlign w:val="center"/>
            <w:hideMark/>
          </w:tcPr>
          <w:p w14:paraId="60096A81"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9,039.2</w:t>
            </w:r>
          </w:p>
        </w:tc>
      </w:tr>
      <w:tr w:rsidR="00F13693" w:rsidRPr="00E65655" w14:paraId="1B8CAD06" w14:textId="77777777" w:rsidTr="00081E29">
        <w:trPr>
          <w:trHeight w:val="300"/>
          <w:jc w:val="center"/>
        </w:trPr>
        <w:tc>
          <w:tcPr>
            <w:tcW w:w="2265" w:type="dxa"/>
            <w:tcBorders>
              <w:top w:val="nil"/>
              <w:left w:val="single" w:sz="12" w:space="0" w:color="auto"/>
              <w:bottom w:val="single" w:sz="12" w:space="0" w:color="auto"/>
              <w:right w:val="nil"/>
            </w:tcBorders>
            <w:noWrap/>
            <w:vAlign w:val="center"/>
            <w:hideMark/>
          </w:tcPr>
          <w:p w14:paraId="2D5E3A8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Accumulated Return</w:t>
            </w:r>
          </w:p>
        </w:tc>
        <w:tc>
          <w:tcPr>
            <w:tcW w:w="1080" w:type="dxa"/>
            <w:tcBorders>
              <w:top w:val="nil"/>
              <w:left w:val="nil"/>
              <w:bottom w:val="single" w:sz="12" w:space="0" w:color="auto"/>
              <w:right w:val="nil"/>
            </w:tcBorders>
            <w:noWrap/>
            <w:vAlign w:val="center"/>
            <w:hideMark/>
          </w:tcPr>
          <w:p w14:paraId="12F8D5C5" w14:textId="77777777" w:rsidR="00F13693" w:rsidRPr="00E65655" w:rsidRDefault="00F13693" w:rsidP="00081E29">
            <w:pPr>
              <w:rPr>
                <w:rFonts w:cs="Arial"/>
                <w:color w:val="000000"/>
                <w:szCs w:val="20"/>
                <w:lang w:val="en-US"/>
              </w:rPr>
            </w:pPr>
          </w:p>
        </w:tc>
        <w:tc>
          <w:tcPr>
            <w:tcW w:w="1080" w:type="dxa"/>
            <w:tcBorders>
              <w:top w:val="nil"/>
              <w:left w:val="nil"/>
              <w:bottom w:val="single" w:sz="12" w:space="0" w:color="auto"/>
              <w:right w:val="nil"/>
            </w:tcBorders>
            <w:noWrap/>
            <w:vAlign w:val="center"/>
            <w:hideMark/>
          </w:tcPr>
          <w:p w14:paraId="6F2D8FE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-2.00%</w:t>
            </w:r>
          </w:p>
        </w:tc>
        <w:tc>
          <w:tcPr>
            <w:tcW w:w="1080" w:type="dxa"/>
            <w:tcBorders>
              <w:top w:val="nil"/>
              <w:left w:val="nil"/>
              <w:bottom w:val="single" w:sz="12" w:space="0" w:color="auto"/>
              <w:right w:val="nil"/>
            </w:tcBorders>
            <w:noWrap/>
            <w:vAlign w:val="center"/>
            <w:hideMark/>
          </w:tcPr>
          <w:p w14:paraId="41F75B21"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-3.96%</w:t>
            </w:r>
          </w:p>
        </w:tc>
        <w:tc>
          <w:tcPr>
            <w:tcW w:w="1170" w:type="dxa"/>
            <w:tcBorders>
              <w:top w:val="nil"/>
              <w:left w:val="nil"/>
              <w:bottom w:val="single" w:sz="12" w:space="0" w:color="auto"/>
              <w:right w:val="nil"/>
            </w:tcBorders>
            <w:noWrap/>
            <w:vAlign w:val="center"/>
            <w:hideMark/>
          </w:tcPr>
          <w:p w14:paraId="496FC75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-5.88%</w:t>
            </w:r>
          </w:p>
        </w:tc>
        <w:tc>
          <w:tcPr>
            <w:tcW w:w="1170" w:type="dxa"/>
            <w:tcBorders>
              <w:top w:val="nil"/>
              <w:left w:val="nil"/>
              <w:bottom w:val="single" w:sz="12" w:space="0" w:color="auto"/>
              <w:right w:val="nil"/>
            </w:tcBorders>
            <w:noWrap/>
            <w:vAlign w:val="center"/>
            <w:hideMark/>
          </w:tcPr>
          <w:p w14:paraId="603F6A5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-7.76%</w:t>
            </w:r>
          </w:p>
        </w:tc>
        <w:tc>
          <w:tcPr>
            <w:tcW w:w="1170" w:type="dxa"/>
            <w:tcBorders>
              <w:top w:val="nil"/>
              <w:left w:val="nil"/>
              <w:bottom w:val="single" w:sz="12" w:space="0" w:color="auto"/>
              <w:right w:val="single" w:sz="12" w:space="0" w:color="auto"/>
            </w:tcBorders>
            <w:noWrap/>
            <w:vAlign w:val="center"/>
            <w:hideMark/>
          </w:tcPr>
          <w:p w14:paraId="7BDE55C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-9.61%</w:t>
            </w:r>
          </w:p>
        </w:tc>
      </w:tr>
    </w:tbl>
    <w:p w14:paraId="7ED685D5" w14:textId="77777777" w:rsidR="00F13693" w:rsidRPr="00E65655" w:rsidRDefault="00F13693" w:rsidP="00F13693">
      <w:pPr>
        <w:keepNext/>
        <w:autoSpaceDE w:val="0"/>
        <w:autoSpaceDN w:val="0"/>
        <w:adjustRightInd w:val="0"/>
        <w:spacing w:after="140" w:line="288" w:lineRule="auto"/>
        <w:jc w:val="center"/>
        <w:rPr>
          <w:rFonts w:cs="Arial"/>
          <w:b/>
          <w:i/>
          <w:color w:val="000000"/>
          <w:szCs w:val="20"/>
        </w:rPr>
      </w:pPr>
    </w:p>
    <w:tbl>
      <w:tblPr>
        <w:tblW w:w="9015"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2265"/>
        <w:gridCol w:w="1080"/>
        <w:gridCol w:w="1080"/>
        <w:gridCol w:w="1080"/>
        <w:gridCol w:w="1170"/>
        <w:gridCol w:w="1170"/>
        <w:gridCol w:w="1170"/>
      </w:tblGrid>
      <w:tr w:rsidR="00F13693" w:rsidRPr="00E65655" w14:paraId="589C7EF0" w14:textId="77777777" w:rsidTr="00081E29">
        <w:trPr>
          <w:trHeight w:val="300"/>
          <w:jc w:val="center"/>
        </w:trPr>
        <w:tc>
          <w:tcPr>
            <w:tcW w:w="9015" w:type="dxa"/>
            <w:gridSpan w:val="7"/>
            <w:tcBorders>
              <w:top w:val="single" w:sz="12" w:space="0" w:color="auto"/>
              <w:left w:val="single" w:sz="12" w:space="0" w:color="auto"/>
              <w:bottom w:val="nil"/>
              <w:right w:val="single" w:sz="12" w:space="0" w:color="auto"/>
            </w:tcBorders>
            <w:shd w:val="clear" w:color="auto" w:fill="FFFFFF"/>
            <w:noWrap/>
            <w:vAlign w:val="center"/>
            <w:hideMark/>
          </w:tcPr>
          <w:p w14:paraId="06D94799" w14:textId="77777777" w:rsidR="00F13693" w:rsidRPr="00E65655" w:rsidRDefault="00F13693" w:rsidP="00081E29">
            <w:pPr>
              <w:jc w:val="center"/>
              <w:rPr>
                <w:rFonts w:cs="Arial"/>
                <w:color w:val="000000"/>
                <w:szCs w:val="20"/>
                <w:lang w:val="en-US"/>
              </w:rPr>
            </w:pPr>
            <w:r w:rsidRPr="00E65655">
              <w:rPr>
                <w:rFonts w:cs="Arial"/>
                <w:b/>
                <w:color w:val="000000"/>
                <w:szCs w:val="20"/>
                <w:lang w:val="fr-FR"/>
              </w:rPr>
              <w:t>Value of the Certificates</w:t>
            </w:r>
          </w:p>
        </w:tc>
      </w:tr>
      <w:tr w:rsidR="00F13693" w:rsidRPr="00E65655" w14:paraId="014096EA" w14:textId="77777777" w:rsidTr="00081E29">
        <w:trPr>
          <w:trHeight w:val="300"/>
          <w:jc w:val="center"/>
        </w:trPr>
        <w:tc>
          <w:tcPr>
            <w:tcW w:w="2265" w:type="dxa"/>
            <w:tcBorders>
              <w:top w:val="nil"/>
              <w:left w:val="single" w:sz="12" w:space="0" w:color="auto"/>
              <w:bottom w:val="nil"/>
              <w:right w:val="nil"/>
            </w:tcBorders>
            <w:shd w:val="clear" w:color="auto" w:fill="D9D9D9"/>
            <w:noWrap/>
            <w:vAlign w:val="center"/>
            <w:hideMark/>
          </w:tcPr>
          <w:p w14:paraId="06BEAC89"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shd w:val="clear" w:color="auto" w:fill="D9D9D9"/>
            <w:noWrap/>
            <w:vAlign w:val="center"/>
            <w:hideMark/>
          </w:tcPr>
          <w:p w14:paraId="5BEDB419"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0</w:t>
            </w:r>
          </w:p>
        </w:tc>
        <w:tc>
          <w:tcPr>
            <w:tcW w:w="1080" w:type="dxa"/>
            <w:tcBorders>
              <w:top w:val="nil"/>
              <w:left w:val="nil"/>
              <w:bottom w:val="nil"/>
              <w:right w:val="nil"/>
            </w:tcBorders>
            <w:shd w:val="clear" w:color="auto" w:fill="D9D9D9"/>
            <w:noWrap/>
            <w:vAlign w:val="center"/>
            <w:hideMark/>
          </w:tcPr>
          <w:p w14:paraId="492302F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1</w:t>
            </w:r>
          </w:p>
        </w:tc>
        <w:tc>
          <w:tcPr>
            <w:tcW w:w="1080" w:type="dxa"/>
            <w:tcBorders>
              <w:top w:val="nil"/>
              <w:left w:val="nil"/>
              <w:bottom w:val="nil"/>
              <w:right w:val="nil"/>
            </w:tcBorders>
            <w:shd w:val="clear" w:color="auto" w:fill="D9D9D9"/>
            <w:noWrap/>
            <w:vAlign w:val="center"/>
            <w:hideMark/>
          </w:tcPr>
          <w:p w14:paraId="5F3690E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2</w:t>
            </w:r>
          </w:p>
        </w:tc>
        <w:tc>
          <w:tcPr>
            <w:tcW w:w="1170" w:type="dxa"/>
            <w:tcBorders>
              <w:top w:val="nil"/>
              <w:left w:val="nil"/>
              <w:bottom w:val="nil"/>
              <w:right w:val="nil"/>
            </w:tcBorders>
            <w:shd w:val="clear" w:color="auto" w:fill="D9D9D9"/>
            <w:noWrap/>
            <w:vAlign w:val="center"/>
            <w:hideMark/>
          </w:tcPr>
          <w:p w14:paraId="4B62DF5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3</w:t>
            </w:r>
          </w:p>
        </w:tc>
        <w:tc>
          <w:tcPr>
            <w:tcW w:w="1170" w:type="dxa"/>
            <w:tcBorders>
              <w:top w:val="nil"/>
              <w:left w:val="nil"/>
              <w:bottom w:val="nil"/>
              <w:right w:val="nil"/>
            </w:tcBorders>
            <w:shd w:val="clear" w:color="auto" w:fill="D9D9D9"/>
            <w:noWrap/>
            <w:vAlign w:val="center"/>
            <w:hideMark/>
          </w:tcPr>
          <w:p w14:paraId="2B1DECA3"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4</w:t>
            </w:r>
          </w:p>
        </w:tc>
        <w:tc>
          <w:tcPr>
            <w:tcW w:w="1170" w:type="dxa"/>
            <w:tcBorders>
              <w:top w:val="nil"/>
              <w:left w:val="nil"/>
              <w:bottom w:val="nil"/>
              <w:right w:val="single" w:sz="12" w:space="0" w:color="auto"/>
            </w:tcBorders>
            <w:shd w:val="clear" w:color="auto" w:fill="D9D9D9"/>
            <w:noWrap/>
            <w:vAlign w:val="center"/>
            <w:hideMark/>
          </w:tcPr>
          <w:p w14:paraId="360BE442"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5</w:t>
            </w:r>
          </w:p>
        </w:tc>
      </w:tr>
      <w:tr w:rsidR="00F13693" w:rsidRPr="00E65655" w14:paraId="155A4924" w14:textId="77777777" w:rsidTr="00081E29">
        <w:trPr>
          <w:trHeight w:val="300"/>
          <w:jc w:val="center"/>
        </w:trPr>
        <w:tc>
          <w:tcPr>
            <w:tcW w:w="2265" w:type="dxa"/>
            <w:tcBorders>
              <w:top w:val="nil"/>
              <w:left w:val="single" w:sz="12" w:space="0" w:color="auto"/>
              <w:bottom w:val="nil"/>
              <w:right w:val="nil"/>
            </w:tcBorders>
            <w:noWrap/>
            <w:vAlign w:val="center"/>
            <w:hideMark/>
          </w:tcPr>
          <w:p w14:paraId="25EA47C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Daily return</w:t>
            </w:r>
          </w:p>
        </w:tc>
        <w:tc>
          <w:tcPr>
            <w:tcW w:w="1080" w:type="dxa"/>
            <w:tcBorders>
              <w:top w:val="nil"/>
              <w:left w:val="nil"/>
              <w:bottom w:val="nil"/>
              <w:right w:val="nil"/>
            </w:tcBorders>
            <w:noWrap/>
            <w:vAlign w:val="center"/>
            <w:hideMark/>
          </w:tcPr>
          <w:p w14:paraId="27D1778A" w14:textId="77777777" w:rsidR="00F13693" w:rsidRPr="00E65655" w:rsidRDefault="00F13693" w:rsidP="00081E29">
            <w:pPr>
              <w:jc w:val="center"/>
              <w:rPr>
                <w:rFonts w:cs="Arial"/>
                <w:color w:val="000000"/>
                <w:szCs w:val="20"/>
                <w:lang w:val="en-US"/>
              </w:rPr>
            </w:pPr>
          </w:p>
        </w:tc>
        <w:tc>
          <w:tcPr>
            <w:tcW w:w="1080" w:type="dxa"/>
            <w:tcBorders>
              <w:top w:val="nil"/>
              <w:left w:val="nil"/>
              <w:bottom w:val="nil"/>
              <w:right w:val="nil"/>
            </w:tcBorders>
            <w:noWrap/>
            <w:vAlign w:val="center"/>
            <w:hideMark/>
          </w:tcPr>
          <w:p w14:paraId="29E3B5F9"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080" w:type="dxa"/>
            <w:tcBorders>
              <w:top w:val="nil"/>
              <w:left w:val="nil"/>
              <w:bottom w:val="nil"/>
              <w:right w:val="nil"/>
            </w:tcBorders>
            <w:noWrap/>
            <w:vAlign w:val="center"/>
            <w:hideMark/>
          </w:tcPr>
          <w:p w14:paraId="1FC8E292"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nil"/>
            </w:tcBorders>
            <w:noWrap/>
            <w:vAlign w:val="center"/>
            <w:hideMark/>
          </w:tcPr>
          <w:p w14:paraId="78A8B35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nil"/>
            </w:tcBorders>
            <w:noWrap/>
            <w:vAlign w:val="center"/>
            <w:hideMark/>
          </w:tcPr>
          <w:p w14:paraId="7AF5374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single" w:sz="12" w:space="0" w:color="auto"/>
            </w:tcBorders>
            <w:noWrap/>
            <w:vAlign w:val="center"/>
            <w:hideMark/>
          </w:tcPr>
          <w:p w14:paraId="2C56B493"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r>
      <w:tr w:rsidR="00A8322E" w:rsidRPr="00E65655" w14:paraId="10FB5DED" w14:textId="77777777" w:rsidTr="00A8322E">
        <w:trPr>
          <w:trHeight w:val="300"/>
          <w:jc w:val="center"/>
        </w:trPr>
        <w:tc>
          <w:tcPr>
            <w:tcW w:w="2265" w:type="dxa"/>
            <w:tcBorders>
              <w:top w:val="nil"/>
              <w:left w:val="single" w:sz="12" w:space="0" w:color="auto"/>
              <w:bottom w:val="nil"/>
              <w:right w:val="nil"/>
            </w:tcBorders>
            <w:noWrap/>
            <w:vAlign w:val="center"/>
            <w:hideMark/>
          </w:tcPr>
          <w:p w14:paraId="43B4A678" w14:textId="77777777" w:rsidR="00A8322E" w:rsidRPr="00E65655" w:rsidRDefault="00A8322E" w:rsidP="00A8322E">
            <w:pPr>
              <w:jc w:val="center"/>
              <w:rPr>
                <w:rFonts w:cs="Arial"/>
                <w:color w:val="000000"/>
                <w:szCs w:val="20"/>
                <w:lang w:val="en-US"/>
              </w:rPr>
            </w:pPr>
            <w:r w:rsidRPr="00E65655">
              <w:rPr>
                <w:rFonts w:cs="Arial"/>
                <w:color w:val="000000"/>
                <w:szCs w:val="20"/>
                <w:lang w:val="en-US"/>
              </w:rPr>
              <w:t>Price at end of day</w:t>
            </w:r>
          </w:p>
        </w:tc>
        <w:tc>
          <w:tcPr>
            <w:tcW w:w="1080" w:type="dxa"/>
            <w:tcBorders>
              <w:top w:val="nil"/>
              <w:left w:val="nil"/>
              <w:bottom w:val="nil"/>
              <w:right w:val="nil"/>
            </w:tcBorders>
            <w:noWrap/>
            <w:vAlign w:val="center"/>
            <w:hideMark/>
          </w:tcPr>
          <w:p w14:paraId="046332DF" w14:textId="3CE1AE3F" w:rsidR="00A8322E" w:rsidRPr="00E65655" w:rsidRDefault="00A8322E" w:rsidP="00A8322E">
            <w:pPr>
              <w:jc w:val="center"/>
              <w:rPr>
                <w:rFonts w:cs="Arial"/>
                <w:color w:val="000000"/>
                <w:szCs w:val="20"/>
                <w:lang w:val="en-US" w:eastAsia="zh-CN"/>
              </w:rPr>
            </w:pPr>
            <w:r w:rsidRPr="00F40B60">
              <w:t xml:space="preserve"> 0.8</w:t>
            </w:r>
            <w:r>
              <w:rPr>
                <w:rFonts w:hint="eastAsia"/>
                <w:lang w:eastAsia="zh-CN"/>
              </w:rPr>
              <w:t>0</w:t>
            </w:r>
          </w:p>
        </w:tc>
        <w:tc>
          <w:tcPr>
            <w:tcW w:w="1080" w:type="dxa"/>
            <w:tcBorders>
              <w:top w:val="nil"/>
              <w:left w:val="nil"/>
              <w:bottom w:val="nil"/>
              <w:right w:val="nil"/>
            </w:tcBorders>
            <w:noWrap/>
            <w:vAlign w:val="center"/>
            <w:hideMark/>
          </w:tcPr>
          <w:p w14:paraId="6CA3505A" w14:textId="2C14DEB8" w:rsidR="00A8322E" w:rsidRPr="00E65655" w:rsidRDefault="00A8322E" w:rsidP="00A8322E">
            <w:pPr>
              <w:jc w:val="center"/>
              <w:rPr>
                <w:rFonts w:cs="Arial"/>
                <w:szCs w:val="20"/>
              </w:rPr>
            </w:pPr>
            <w:r w:rsidRPr="00F40B60">
              <w:t>0.88</w:t>
            </w:r>
          </w:p>
        </w:tc>
        <w:tc>
          <w:tcPr>
            <w:tcW w:w="1080" w:type="dxa"/>
            <w:tcBorders>
              <w:top w:val="nil"/>
              <w:left w:val="nil"/>
              <w:bottom w:val="nil"/>
              <w:right w:val="nil"/>
            </w:tcBorders>
            <w:noWrap/>
            <w:vAlign w:val="center"/>
            <w:hideMark/>
          </w:tcPr>
          <w:p w14:paraId="504E8781" w14:textId="1CA2B238" w:rsidR="00A8322E" w:rsidRPr="00E65655" w:rsidRDefault="00A8322E" w:rsidP="00A8322E">
            <w:pPr>
              <w:jc w:val="center"/>
              <w:rPr>
                <w:rFonts w:cs="Arial"/>
                <w:szCs w:val="20"/>
              </w:rPr>
            </w:pPr>
            <w:r w:rsidRPr="00F40B60">
              <w:t>0.97</w:t>
            </w:r>
          </w:p>
        </w:tc>
        <w:tc>
          <w:tcPr>
            <w:tcW w:w="1170" w:type="dxa"/>
            <w:tcBorders>
              <w:top w:val="nil"/>
              <w:left w:val="nil"/>
              <w:bottom w:val="nil"/>
              <w:right w:val="nil"/>
            </w:tcBorders>
            <w:noWrap/>
            <w:vAlign w:val="center"/>
            <w:hideMark/>
          </w:tcPr>
          <w:p w14:paraId="6FB12E9C" w14:textId="7AB22398" w:rsidR="00A8322E" w:rsidRPr="00E65655" w:rsidRDefault="00A8322E" w:rsidP="00A8322E">
            <w:pPr>
              <w:jc w:val="center"/>
              <w:rPr>
                <w:rFonts w:cs="Arial"/>
                <w:szCs w:val="20"/>
              </w:rPr>
            </w:pPr>
            <w:r w:rsidRPr="00F40B60">
              <w:t>1.06</w:t>
            </w:r>
          </w:p>
        </w:tc>
        <w:tc>
          <w:tcPr>
            <w:tcW w:w="1170" w:type="dxa"/>
            <w:tcBorders>
              <w:top w:val="nil"/>
              <w:left w:val="nil"/>
              <w:bottom w:val="nil"/>
              <w:right w:val="nil"/>
            </w:tcBorders>
            <w:noWrap/>
            <w:vAlign w:val="center"/>
            <w:hideMark/>
          </w:tcPr>
          <w:p w14:paraId="7B561333" w14:textId="3E7A3A0D" w:rsidR="00A8322E" w:rsidRPr="00E65655" w:rsidRDefault="00A8322E" w:rsidP="00A8322E">
            <w:pPr>
              <w:jc w:val="center"/>
              <w:rPr>
                <w:rFonts w:cs="Arial"/>
                <w:szCs w:val="20"/>
              </w:rPr>
            </w:pPr>
            <w:r w:rsidRPr="00F40B60">
              <w:t>1.17</w:t>
            </w:r>
          </w:p>
        </w:tc>
        <w:tc>
          <w:tcPr>
            <w:tcW w:w="1170" w:type="dxa"/>
            <w:tcBorders>
              <w:top w:val="nil"/>
              <w:left w:val="nil"/>
              <w:bottom w:val="nil"/>
              <w:right w:val="single" w:sz="12" w:space="0" w:color="auto"/>
            </w:tcBorders>
            <w:noWrap/>
            <w:vAlign w:val="center"/>
            <w:hideMark/>
          </w:tcPr>
          <w:p w14:paraId="302B8789" w14:textId="2F49D1E1" w:rsidR="00A8322E" w:rsidRPr="00E65655" w:rsidRDefault="00A8322E" w:rsidP="00A8322E">
            <w:pPr>
              <w:jc w:val="center"/>
              <w:rPr>
                <w:rFonts w:cs="Arial"/>
                <w:szCs w:val="20"/>
              </w:rPr>
            </w:pPr>
            <w:r w:rsidRPr="00F40B60">
              <w:t>1.29</w:t>
            </w:r>
          </w:p>
        </w:tc>
      </w:tr>
      <w:tr w:rsidR="00F13693" w:rsidRPr="00E65655" w14:paraId="3EE9C229" w14:textId="77777777" w:rsidTr="00081E29">
        <w:trPr>
          <w:trHeight w:val="300"/>
          <w:jc w:val="center"/>
        </w:trPr>
        <w:tc>
          <w:tcPr>
            <w:tcW w:w="2265" w:type="dxa"/>
            <w:tcBorders>
              <w:top w:val="nil"/>
              <w:left w:val="single" w:sz="12" w:space="0" w:color="auto"/>
              <w:bottom w:val="single" w:sz="12" w:space="0" w:color="auto"/>
              <w:right w:val="nil"/>
            </w:tcBorders>
            <w:noWrap/>
            <w:vAlign w:val="center"/>
            <w:hideMark/>
          </w:tcPr>
          <w:p w14:paraId="164F07B2"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Accumulated Return</w:t>
            </w:r>
          </w:p>
        </w:tc>
        <w:tc>
          <w:tcPr>
            <w:tcW w:w="1080" w:type="dxa"/>
            <w:tcBorders>
              <w:top w:val="nil"/>
              <w:left w:val="nil"/>
              <w:bottom w:val="single" w:sz="12" w:space="0" w:color="auto"/>
              <w:right w:val="nil"/>
            </w:tcBorders>
            <w:noWrap/>
            <w:vAlign w:val="center"/>
            <w:hideMark/>
          </w:tcPr>
          <w:p w14:paraId="70E6ECC9" w14:textId="77777777" w:rsidR="00F13693" w:rsidRPr="00E65655" w:rsidRDefault="00F13693" w:rsidP="00081E29">
            <w:pPr>
              <w:jc w:val="center"/>
              <w:rPr>
                <w:rFonts w:cs="Arial"/>
                <w:color w:val="000000"/>
                <w:szCs w:val="20"/>
                <w:lang w:val="en-US"/>
              </w:rPr>
            </w:pPr>
          </w:p>
        </w:tc>
        <w:tc>
          <w:tcPr>
            <w:tcW w:w="1080" w:type="dxa"/>
            <w:tcBorders>
              <w:top w:val="nil"/>
              <w:left w:val="nil"/>
              <w:bottom w:val="single" w:sz="12" w:space="0" w:color="auto"/>
              <w:right w:val="nil"/>
            </w:tcBorders>
            <w:noWrap/>
            <w:vAlign w:val="center"/>
            <w:hideMark/>
          </w:tcPr>
          <w:p w14:paraId="6616D2E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10.00%</w:t>
            </w:r>
          </w:p>
        </w:tc>
        <w:tc>
          <w:tcPr>
            <w:tcW w:w="1080" w:type="dxa"/>
            <w:tcBorders>
              <w:top w:val="nil"/>
              <w:left w:val="nil"/>
              <w:bottom w:val="single" w:sz="12" w:space="0" w:color="auto"/>
              <w:right w:val="nil"/>
            </w:tcBorders>
            <w:noWrap/>
            <w:vAlign w:val="center"/>
            <w:hideMark/>
          </w:tcPr>
          <w:p w14:paraId="14A5D9B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21.00%</w:t>
            </w:r>
          </w:p>
        </w:tc>
        <w:tc>
          <w:tcPr>
            <w:tcW w:w="1170" w:type="dxa"/>
            <w:tcBorders>
              <w:top w:val="nil"/>
              <w:left w:val="nil"/>
              <w:bottom w:val="single" w:sz="12" w:space="0" w:color="auto"/>
              <w:right w:val="nil"/>
            </w:tcBorders>
            <w:noWrap/>
            <w:vAlign w:val="center"/>
            <w:hideMark/>
          </w:tcPr>
          <w:p w14:paraId="399ED7C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33.10%</w:t>
            </w:r>
          </w:p>
        </w:tc>
        <w:tc>
          <w:tcPr>
            <w:tcW w:w="1170" w:type="dxa"/>
            <w:tcBorders>
              <w:top w:val="nil"/>
              <w:left w:val="nil"/>
              <w:bottom w:val="single" w:sz="12" w:space="0" w:color="auto"/>
              <w:right w:val="nil"/>
            </w:tcBorders>
            <w:noWrap/>
            <w:vAlign w:val="center"/>
            <w:hideMark/>
          </w:tcPr>
          <w:p w14:paraId="1DC8453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46.41%</w:t>
            </w:r>
          </w:p>
        </w:tc>
        <w:tc>
          <w:tcPr>
            <w:tcW w:w="1170" w:type="dxa"/>
            <w:tcBorders>
              <w:top w:val="nil"/>
              <w:left w:val="nil"/>
              <w:bottom w:val="single" w:sz="12" w:space="0" w:color="auto"/>
              <w:right w:val="single" w:sz="12" w:space="0" w:color="auto"/>
            </w:tcBorders>
            <w:noWrap/>
            <w:vAlign w:val="center"/>
            <w:hideMark/>
          </w:tcPr>
          <w:p w14:paraId="2713D54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61.05%</w:t>
            </w:r>
          </w:p>
        </w:tc>
      </w:tr>
    </w:tbl>
    <w:p w14:paraId="28CA6FAB" w14:textId="77777777" w:rsidR="00F13693" w:rsidRPr="00E65655" w:rsidRDefault="00F13693" w:rsidP="00F13693">
      <w:pPr>
        <w:keepNext/>
        <w:autoSpaceDE w:val="0"/>
        <w:autoSpaceDN w:val="0"/>
        <w:adjustRightInd w:val="0"/>
        <w:spacing w:after="140" w:line="288" w:lineRule="auto"/>
        <w:jc w:val="center"/>
        <w:rPr>
          <w:rFonts w:cs="Arial"/>
          <w:noProof/>
          <w:szCs w:val="20"/>
        </w:rPr>
      </w:pPr>
    </w:p>
    <w:p w14:paraId="792AC59D" w14:textId="77777777" w:rsidR="00F13693" w:rsidRPr="00E65655" w:rsidRDefault="00F13693" w:rsidP="00F13693">
      <w:pPr>
        <w:keepNext/>
        <w:autoSpaceDE w:val="0"/>
        <w:autoSpaceDN w:val="0"/>
        <w:adjustRightInd w:val="0"/>
        <w:spacing w:after="140" w:line="288" w:lineRule="auto"/>
        <w:jc w:val="center"/>
        <w:rPr>
          <w:rFonts w:cs="Arial"/>
          <w:i/>
          <w:color w:val="000000"/>
          <w:szCs w:val="20"/>
          <w:u w:val="single"/>
        </w:rPr>
      </w:pPr>
      <w:r w:rsidRPr="00E65655">
        <w:rPr>
          <w:rFonts w:cs="Arial"/>
          <w:i/>
          <w:color w:val="000000"/>
          <w:szCs w:val="20"/>
          <w:u w:val="single"/>
        </w:rPr>
        <w:t>Scenario 3 – Volatile Market</w:t>
      </w:r>
    </w:p>
    <w:tbl>
      <w:tblPr>
        <w:tblW w:w="9015"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2265"/>
        <w:gridCol w:w="1080"/>
        <w:gridCol w:w="1080"/>
        <w:gridCol w:w="1080"/>
        <w:gridCol w:w="1170"/>
        <w:gridCol w:w="1170"/>
        <w:gridCol w:w="1170"/>
      </w:tblGrid>
      <w:tr w:rsidR="00F13693" w:rsidRPr="00E65655" w14:paraId="14568EBE" w14:textId="77777777" w:rsidTr="00081E29">
        <w:trPr>
          <w:trHeight w:val="300"/>
          <w:jc w:val="center"/>
        </w:trPr>
        <w:tc>
          <w:tcPr>
            <w:tcW w:w="9015" w:type="dxa"/>
            <w:gridSpan w:val="7"/>
            <w:tcBorders>
              <w:top w:val="single" w:sz="12" w:space="0" w:color="auto"/>
              <w:left w:val="single" w:sz="12" w:space="0" w:color="auto"/>
              <w:bottom w:val="nil"/>
              <w:right w:val="single" w:sz="12" w:space="0" w:color="auto"/>
            </w:tcBorders>
            <w:shd w:val="clear" w:color="auto" w:fill="FFFFFF"/>
            <w:noWrap/>
            <w:vAlign w:val="center"/>
            <w:hideMark/>
          </w:tcPr>
          <w:p w14:paraId="78EC17B6" w14:textId="77777777" w:rsidR="00F13693" w:rsidRPr="00E65655" w:rsidRDefault="00F13693" w:rsidP="00081E29">
            <w:pPr>
              <w:jc w:val="center"/>
              <w:rPr>
                <w:rFonts w:cs="Arial"/>
                <w:color w:val="000000"/>
                <w:szCs w:val="20"/>
                <w:lang w:val="en-US"/>
              </w:rPr>
            </w:pPr>
            <w:r w:rsidRPr="00E65655">
              <w:rPr>
                <w:rFonts w:cs="Arial"/>
                <w:b/>
                <w:color w:val="000000"/>
                <w:szCs w:val="20"/>
                <w:lang w:val="en-US"/>
              </w:rPr>
              <w:t>Underlying Stock</w:t>
            </w:r>
          </w:p>
        </w:tc>
      </w:tr>
      <w:tr w:rsidR="00F13693" w:rsidRPr="00E65655" w14:paraId="0536780F" w14:textId="77777777" w:rsidTr="00081E29">
        <w:trPr>
          <w:trHeight w:val="300"/>
          <w:jc w:val="center"/>
        </w:trPr>
        <w:tc>
          <w:tcPr>
            <w:tcW w:w="2265" w:type="dxa"/>
            <w:tcBorders>
              <w:top w:val="nil"/>
              <w:left w:val="single" w:sz="12" w:space="0" w:color="auto"/>
              <w:bottom w:val="nil"/>
              <w:right w:val="nil"/>
            </w:tcBorders>
            <w:shd w:val="clear" w:color="auto" w:fill="D9D9D9"/>
            <w:noWrap/>
            <w:vAlign w:val="center"/>
            <w:hideMark/>
          </w:tcPr>
          <w:p w14:paraId="57AEB89C"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shd w:val="clear" w:color="auto" w:fill="D9D9D9"/>
            <w:noWrap/>
            <w:vAlign w:val="center"/>
            <w:hideMark/>
          </w:tcPr>
          <w:p w14:paraId="64ED0B3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0</w:t>
            </w:r>
          </w:p>
        </w:tc>
        <w:tc>
          <w:tcPr>
            <w:tcW w:w="1080" w:type="dxa"/>
            <w:tcBorders>
              <w:top w:val="nil"/>
              <w:left w:val="nil"/>
              <w:bottom w:val="nil"/>
              <w:right w:val="nil"/>
            </w:tcBorders>
            <w:shd w:val="clear" w:color="auto" w:fill="D9D9D9"/>
            <w:noWrap/>
            <w:vAlign w:val="center"/>
            <w:hideMark/>
          </w:tcPr>
          <w:p w14:paraId="74D529C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1</w:t>
            </w:r>
          </w:p>
        </w:tc>
        <w:tc>
          <w:tcPr>
            <w:tcW w:w="1080" w:type="dxa"/>
            <w:tcBorders>
              <w:top w:val="nil"/>
              <w:left w:val="nil"/>
              <w:bottom w:val="nil"/>
              <w:right w:val="nil"/>
            </w:tcBorders>
            <w:shd w:val="clear" w:color="auto" w:fill="D9D9D9"/>
            <w:noWrap/>
            <w:vAlign w:val="center"/>
            <w:hideMark/>
          </w:tcPr>
          <w:p w14:paraId="30B1AD5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2</w:t>
            </w:r>
          </w:p>
        </w:tc>
        <w:tc>
          <w:tcPr>
            <w:tcW w:w="1170" w:type="dxa"/>
            <w:tcBorders>
              <w:top w:val="nil"/>
              <w:left w:val="nil"/>
              <w:bottom w:val="nil"/>
              <w:right w:val="nil"/>
            </w:tcBorders>
            <w:shd w:val="clear" w:color="auto" w:fill="D9D9D9"/>
            <w:noWrap/>
            <w:vAlign w:val="center"/>
            <w:hideMark/>
          </w:tcPr>
          <w:p w14:paraId="2B538C7E"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3</w:t>
            </w:r>
          </w:p>
        </w:tc>
        <w:tc>
          <w:tcPr>
            <w:tcW w:w="1170" w:type="dxa"/>
            <w:tcBorders>
              <w:top w:val="nil"/>
              <w:left w:val="nil"/>
              <w:bottom w:val="nil"/>
              <w:right w:val="nil"/>
            </w:tcBorders>
            <w:shd w:val="clear" w:color="auto" w:fill="D9D9D9"/>
            <w:noWrap/>
            <w:vAlign w:val="center"/>
            <w:hideMark/>
          </w:tcPr>
          <w:p w14:paraId="3F4185D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4</w:t>
            </w:r>
          </w:p>
        </w:tc>
        <w:tc>
          <w:tcPr>
            <w:tcW w:w="1170" w:type="dxa"/>
            <w:tcBorders>
              <w:top w:val="nil"/>
              <w:left w:val="nil"/>
              <w:bottom w:val="nil"/>
              <w:right w:val="single" w:sz="12" w:space="0" w:color="auto"/>
            </w:tcBorders>
            <w:shd w:val="clear" w:color="auto" w:fill="D9D9D9"/>
            <w:noWrap/>
            <w:vAlign w:val="center"/>
            <w:hideMark/>
          </w:tcPr>
          <w:p w14:paraId="4FB8F25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5</w:t>
            </w:r>
          </w:p>
        </w:tc>
      </w:tr>
      <w:tr w:rsidR="00F13693" w:rsidRPr="00E65655" w14:paraId="65FCC015" w14:textId="77777777" w:rsidTr="00081E29">
        <w:trPr>
          <w:trHeight w:val="300"/>
          <w:jc w:val="center"/>
        </w:trPr>
        <w:tc>
          <w:tcPr>
            <w:tcW w:w="2265" w:type="dxa"/>
            <w:tcBorders>
              <w:top w:val="nil"/>
              <w:left w:val="single" w:sz="12" w:space="0" w:color="auto"/>
              <w:bottom w:val="nil"/>
              <w:right w:val="nil"/>
            </w:tcBorders>
            <w:noWrap/>
            <w:vAlign w:val="center"/>
            <w:hideMark/>
          </w:tcPr>
          <w:p w14:paraId="15A8999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Daily return</w:t>
            </w:r>
          </w:p>
        </w:tc>
        <w:tc>
          <w:tcPr>
            <w:tcW w:w="1080" w:type="dxa"/>
            <w:tcBorders>
              <w:top w:val="nil"/>
              <w:left w:val="nil"/>
              <w:bottom w:val="nil"/>
              <w:right w:val="nil"/>
            </w:tcBorders>
            <w:noWrap/>
            <w:vAlign w:val="center"/>
            <w:hideMark/>
          </w:tcPr>
          <w:p w14:paraId="0019DE6D"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noWrap/>
            <w:vAlign w:val="center"/>
            <w:hideMark/>
          </w:tcPr>
          <w:p w14:paraId="7B76AC86"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080" w:type="dxa"/>
            <w:tcBorders>
              <w:top w:val="nil"/>
              <w:left w:val="nil"/>
              <w:bottom w:val="nil"/>
              <w:right w:val="nil"/>
            </w:tcBorders>
            <w:noWrap/>
            <w:vAlign w:val="center"/>
            <w:hideMark/>
          </w:tcPr>
          <w:p w14:paraId="12C581FA"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nil"/>
            </w:tcBorders>
            <w:noWrap/>
            <w:vAlign w:val="center"/>
            <w:hideMark/>
          </w:tcPr>
          <w:p w14:paraId="3E18074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nil"/>
            </w:tcBorders>
            <w:noWrap/>
            <w:vAlign w:val="center"/>
            <w:hideMark/>
          </w:tcPr>
          <w:p w14:paraId="3ADCC04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c>
          <w:tcPr>
            <w:tcW w:w="1170" w:type="dxa"/>
            <w:tcBorders>
              <w:top w:val="nil"/>
              <w:left w:val="nil"/>
              <w:bottom w:val="nil"/>
              <w:right w:val="single" w:sz="12" w:space="0" w:color="auto"/>
            </w:tcBorders>
            <w:noWrap/>
            <w:vAlign w:val="center"/>
            <w:hideMark/>
          </w:tcPr>
          <w:p w14:paraId="41C9638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w:t>
            </w:r>
          </w:p>
        </w:tc>
      </w:tr>
      <w:tr w:rsidR="00F13693" w:rsidRPr="00E65655" w14:paraId="1BE78527" w14:textId="77777777" w:rsidTr="00081E29">
        <w:trPr>
          <w:trHeight w:val="300"/>
          <w:jc w:val="center"/>
        </w:trPr>
        <w:tc>
          <w:tcPr>
            <w:tcW w:w="2265" w:type="dxa"/>
            <w:tcBorders>
              <w:top w:val="nil"/>
              <w:left w:val="single" w:sz="12" w:space="0" w:color="auto"/>
              <w:bottom w:val="nil"/>
              <w:right w:val="nil"/>
            </w:tcBorders>
            <w:noWrap/>
            <w:vAlign w:val="center"/>
            <w:hideMark/>
          </w:tcPr>
          <w:p w14:paraId="2C61D7BF"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Value at end of day</w:t>
            </w:r>
          </w:p>
        </w:tc>
        <w:tc>
          <w:tcPr>
            <w:tcW w:w="1080" w:type="dxa"/>
            <w:tcBorders>
              <w:top w:val="nil"/>
              <w:left w:val="nil"/>
              <w:bottom w:val="nil"/>
              <w:right w:val="nil"/>
            </w:tcBorders>
            <w:noWrap/>
            <w:vAlign w:val="center"/>
            <w:hideMark/>
          </w:tcPr>
          <w:p w14:paraId="409E865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10,000.0</w:t>
            </w:r>
          </w:p>
        </w:tc>
        <w:tc>
          <w:tcPr>
            <w:tcW w:w="1080" w:type="dxa"/>
            <w:tcBorders>
              <w:top w:val="nil"/>
              <w:left w:val="nil"/>
              <w:bottom w:val="nil"/>
              <w:right w:val="nil"/>
            </w:tcBorders>
            <w:noWrap/>
            <w:vAlign w:val="center"/>
            <w:hideMark/>
          </w:tcPr>
          <w:p w14:paraId="1C957EA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10,200.0</w:t>
            </w:r>
          </w:p>
        </w:tc>
        <w:tc>
          <w:tcPr>
            <w:tcW w:w="1080" w:type="dxa"/>
            <w:tcBorders>
              <w:top w:val="nil"/>
              <w:left w:val="nil"/>
              <w:bottom w:val="nil"/>
              <w:right w:val="nil"/>
            </w:tcBorders>
            <w:noWrap/>
            <w:vAlign w:val="center"/>
            <w:hideMark/>
          </w:tcPr>
          <w:p w14:paraId="2E293AA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9,996.0</w:t>
            </w:r>
          </w:p>
        </w:tc>
        <w:tc>
          <w:tcPr>
            <w:tcW w:w="1170" w:type="dxa"/>
            <w:tcBorders>
              <w:top w:val="nil"/>
              <w:left w:val="nil"/>
              <w:bottom w:val="nil"/>
              <w:right w:val="nil"/>
            </w:tcBorders>
            <w:noWrap/>
            <w:vAlign w:val="center"/>
            <w:hideMark/>
          </w:tcPr>
          <w:p w14:paraId="7EBB7B3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10,195.9</w:t>
            </w:r>
          </w:p>
        </w:tc>
        <w:tc>
          <w:tcPr>
            <w:tcW w:w="1170" w:type="dxa"/>
            <w:tcBorders>
              <w:top w:val="nil"/>
              <w:left w:val="nil"/>
              <w:bottom w:val="nil"/>
              <w:right w:val="nil"/>
            </w:tcBorders>
            <w:noWrap/>
            <w:vAlign w:val="center"/>
            <w:hideMark/>
          </w:tcPr>
          <w:p w14:paraId="797304C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9,992.0</w:t>
            </w:r>
          </w:p>
        </w:tc>
        <w:tc>
          <w:tcPr>
            <w:tcW w:w="1170" w:type="dxa"/>
            <w:tcBorders>
              <w:top w:val="nil"/>
              <w:left w:val="nil"/>
              <w:bottom w:val="nil"/>
              <w:right w:val="single" w:sz="12" w:space="0" w:color="auto"/>
            </w:tcBorders>
            <w:noWrap/>
            <w:vAlign w:val="center"/>
            <w:hideMark/>
          </w:tcPr>
          <w:p w14:paraId="4C8B6D2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10,191.8</w:t>
            </w:r>
          </w:p>
        </w:tc>
      </w:tr>
      <w:tr w:rsidR="00F13693" w:rsidRPr="00E65655" w14:paraId="50618F9D" w14:textId="77777777" w:rsidTr="00081E29">
        <w:trPr>
          <w:trHeight w:val="300"/>
          <w:jc w:val="center"/>
        </w:trPr>
        <w:tc>
          <w:tcPr>
            <w:tcW w:w="2265" w:type="dxa"/>
            <w:tcBorders>
              <w:top w:val="nil"/>
              <w:left w:val="single" w:sz="12" w:space="0" w:color="auto"/>
              <w:bottom w:val="single" w:sz="12" w:space="0" w:color="auto"/>
              <w:right w:val="nil"/>
            </w:tcBorders>
            <w:noWrap/>
            <w:vAlign w:val="center"/>
            <w:hideMark/>
          </w:tcPr>
          <w:p w14:paraId="1BEBF90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Accumulated Return</w:t>
            </w:r>
          </w:p>
        </w:tc>
        <w:tc>
          <w:tcPr>
            <w:tcW w:w="1080" w:type="dxa"/>
            <w:tcBorders>
              <w:top w:val="nil"/>
              <w:left w:val="nil"/>
              <w:bottom w:val="single" w:sz="12" w:space="0" w:color="auto"/>
              <w:right w:val="nil"/>
            </w:tcBorders>
            <w:noWrap/>
            <w:vAlign w:val="center"/>
            <w:hideMark/>
          </w:tcPr>
          <w:p w14:paraId="46BDE699" w14:textId="77777777" w:rsidR="00F13693" w:rsidRPr="00E65655" w:rsidRDefault="00F13693" w:rsidP="00081E29">
            <w:pPr>
              <w:rPr>
                <w:rFonts w:cs="Arial"/>
                <w:color w:val="000000"/>
                <w:szCs w:val="20"/>
                <w:lang w:val="en-US"/>
              </w:rPr>
            </w:pPr>
          </w:p>
        </w:tc>
        <w:tc>
          <w:tcPr>
            <w:tcW w:w="1080" w:type="dxa"/>
            <w:tcBorders>
              <w:top w:val="nil"/>
              <w:left w:val="nil"/>
              <w:bottom w:val="single" w:sz="12" w:space="0" w:color="auto"/>
              <w:right w:val="nil"/>
            </w:tcBorders>
            <w:noWrap/>
            <w:vAlign w:val="center"/>
            <w:hideMark/>
          </w:tcPr>
          <w:p w14:paraId="7E445FF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2.00%</w:t>
            </w:r>
          </w:p>
        </w:tc>
        <w:tc>
          <w:tcPr>
            <w:tcW w:w="1080" w:type="dxa"/>
            <w:tcBorders>
              <w:top w:val="nil"/>
              <w:left w:val="nil"/>
              <w:bottom w:val="single" w:sz="12" w:space="0" w:color="auto"/>
              <w:right w:val="nil"/>
            </w:tcBorders>
            <w:noWrap/>
            <w:vAlign w:val="center"/>
            <w:hideMark/>
          </w:tcPr>
          <w:p w14:paraId="20232FA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-0.04%</w:t>
            </w:r>
          </w:p>
        </w:tc>
        <w:tc>
          <w:tcPr>
            <w:tcW w:w="1170" w:type="dxa"/>
            <w:tcBorders>
              <w:top w:val="nil"/>
              <w:left w:val="nil"/>
              <w:bottom w:val="single" w:sz="12" w:space="0" w:color="auto"/>
              <w:right w:val="nil"/>
            </w:tcBorders>
            <w:noWrap/>
            <w:vAlign w:val="center"/>
            <w:hideMark/>
          </w:tcPr>
          <w:p w14:paraId="00E8AD5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1.96%</w:t>
            </w:r>
          </w:p>
        </w:tc>
        <w:tc>
          <w:tcPr>
            <w:tcW w:w="1170" w:type="dxa"/>
            <w:tcBorders>
              <w:top w:val="nil"/>
              <w:left w:val="nil"/>
              <w:bottom w:val="single" w:sz="12" w:space="0" w:color="auto"/>
              <w:right w:val="nil"/>
            </w:tcBorders>
            <w:noWrap/>
            <w:vAlign w:val="center"/>
            <w:hideMark/>
          </w:tcPr>
          <w:p w14:paraId="794E532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-0.08%</w:t>
            </w:r>
          </w:p>
        </w:tc>
        <w:tc>
          <w:tcPr>
            <w:tcW w:w="1170" w:type="dxa"/>
            <w:tcBorders>
              <w:top w:val="nil"/>
              <w:left w:val="nil"/>
              <w:bottom w:val="single" w:sz="12" w:space="0" w:color="auto"/>
              <w:right w:val="single" w:sz="12" w:space="0" w:color="auto"/>
            </w:tcBorders>
            <w:noWrap/>
            <w:vAlign w:val="center"/>
            <w:hideMark/>
          </w:tcPr>
          <w:p w14:paraId="4CD988CA"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1.92%</w:t>
            </w:r>
          </w:p>
        </w:tc>
      </w:tr>
    </w:tbl>
    <w:p w14:paraId="49CF58E5" w14:textId="77777777" w:rsidR="00F13693" w:rsidRPr="00E65655" w:rsidRDefault="00F13693" w:rsidP="00F13693">
      <w:pPr>
        <w:keepNext/>
        <w:autoSpaceDE w:val="0"/>
        <w:autoSpaceDN w:val="0"/>
        <w:adjustRightInd w:val="0"/>
        <w:spacing w:after="140" w:line="288" w:lineRule="auto"/>
        <w:jc w:val="center"/>
        <w:rPr>
          <w:rFonts w:cs="Arial"/>
          <w:b/>
          <w:i/>
          <w:color w:val="000000"/>
          <w:szCs w:val="20"/>
        </w:rPr>
      </w:pPr>
    </w:p>
    <w:tbl>
      <w:tblPr>
        <w:tblW w:w="9015" w:type="dxa"/>
        <w:jc w:val="center"/>
        <w:tblBorders>
          <w:top w:val="single" w:sz="12" w:space="0" w:color="auto"/>
          <w:left w:val="single" w:sz="12" w:space="0" w:color="auto"/>
          <w:bottom w:val="single" w:sz="12" w:space="0" w:color="auto"/>
          <w:right w:val="single" w:sz="12" w:space="0" w:color="auto"/>
        </w:tblBorders>
        <w:tblCellMar>
          <w:left w:w="115" w:type="dxa"/>
          <w:right w:w="115" w:type="dxa"/>
        </w:tblCellMar>
        <w:tblLook w:val="04A0" w:firstRow="1" w:lastRow="0" w:firstColumn="1" w:lastColumn="0" w:noHBand="0" w:noVBand="1"/>
      </w:tblPr>
      <w:tblGrid>
        <w:gridCol w:w="2265"/>
        <w:gridCol w:w="1080"/>
        <w:gridCol w:w="1080"/>
        <w:gridCol w:w="1080"/>
        <w:gridCol w:w="1170"/>
        <w:gridCol w:w="1170"/>
        <w:gridCol w:w="1170"/>
      </w:tblGrid>
      <w:tr w:rsidR="00F13693" w:rsidRPr="00E65655" w14:paraId="2B177E6D" w14:textId="77777777" w:rsidTr="00081E29">
        <w:trPr>
          <w:trHeight w:val="300"/>
          <w:jc w:val="center"/>
        </w:trPr>
        <w:tc>
          <w:tcPr>
            <w:tcW w:w="9015" w:type="dxa"/>
            <w:gridSpan w:val="7"/>
            <w:tcBorders>
              <w:top w:val="single" w:sz="12" w:space="0" w:color="auto"/>
              <w:left w:val="single" w:sz="12" w:space="0" w:color="auto"/>
              <w:bottom w:val="nil"/>
              <w:right w:val="single" w:sz="12" w:space="0" w:color="auto"/>
            </w:tcBorders>
            <w:shd w:val="clear" w:color="auto" w:fill="FFFFFF"/>
            <w:noWrap/>
            <w:vAlign w:val="center"/>
            <w:hideMark/>
          </w:tcPr>
          <w:p w14:paraId="32922162" w14:textId="77777777" w:rsidR="00F13693" w:rsidRPr="00E65655" w:rsidRDefault="00F13693" w:rsidP="00081E29">
            <w:pPr>
              <w:jc w:val="center"/>
              <w:rPr>
                <w:rFonts w:cs="Arial"/>
                <w:color w:val="000000"/>
                <w:szCs w:val="20"/>
                <w:lang w:val="en-US"/>
              </w:rPr>
            </w:pPr>
            <w:r w:rsidRPr="00E65655">
              <w:rPr>
                <w:rFonts w:cs="Arial"/>
                <w:b/>
                <w:color w:val="000000"/>
                <w:szCs w:val="20"/>
                <w:lang w:val="fr-FR"/>
              </w:rPr>
              <w:t>Value of the Certificates</w:t>
            </w:r>
          </w:p>
        </w:tc>
      </w:tr>
      <w:tr w:rsidR="00F13693" w:rsidRPr="00E65655" w14:paraId="255B747E" w14:textId="77777777" w:rsidTr="00081E29">
        <w:trPr>
          <w:trHeight w:val="300"/>
          <w:jc w:val="center"/>
        </w:trPr>
        <w:tc>
          <w:tcPr>
            <w:tcW w:w="2265" w:type="dxa"/>
            <w:tcBorders>
              <w:top w:val="nil"/>
              <w:left w:val="single" w:sz="12" w:space="0" w:color="auto"/>
              <w:bottom w:val="nil"/>
              <w:right w:val="nil"/>
            </w:tcBorders>
            <w:shd w:val="clear" w:color="auto" w:fill="D9D9D9"/>
            <w:noWrap/>
            <w:vAlign w:val="center"/>
            <w:hideMark/>
          </w:tcPr>
          <w:p w14:paraId="3F59DC90" w14:textId="77777777" w:rsidR="00F13693" w:rsidRPr="00E65655" w:rsidRDefault="00F13693" w:rsidP="00081E29">
            <w:pPr>
              <w:rPr>
                <w:rFonts w:cs="Arial"/>
                <w:color w:val="000000"/>
                <w:szCs w:val="20"/>
                <w:lang w:val="en-US"/>
              </w:rPr>
            </w:pPr>
          </w:p>
        </w:tc>
        <w:tc>
          <w:tcPr>
            <w:tcW w:w="1080" w:type="dxa"/>
            <w:tcBorders>
              <w:top w:val="nil"/>
              <w:left w:val="nil"/>
              <w:bottom w:val="nil"/>
              <w:right w:val="nil"/>
            </w:tcBorders>
            <w:shd w:val="clear" w:color="auto" w:fill="D9D9D9"/>
            <w:noWrap/>
            <w:vAlign w:val="center"/>
            <w:hideMark/>
          </w:tcPr>
          <w:p w14:paraId="756F464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0</w:t>
            </w:r>
          </w:p>
        </w:tc>
        <w:tc>
          <w:tcPr>
            <w:tcW w:w="1080" w:type="dxa"/>
            <w:tcBorders>
              <w:top w:val="nil"/>
              <w:left w:val="nil"/>
              <w:bottom w:val="nil"/>
              <w:right w:val="nil"/>
            </w:tcBorders>
            <w:shd w:val="clear" w:color="auto" w:fill="D9D9D9"/>
            <w:noWrap/>
            <w:vAlign w:val="center"/>
            <w:hideMark/>
          </w:tcPr>
          <w:p w14:paraId="48E89E1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1</w:t>
            </w:r>
          </w:p>
        </w:tc>
        <w:tc>
          <w:tcPr>
            <w:tcW w:w="1080" w:type="dxa"/>
            <w:tcBorders>
              <w:top w:val="nil"/>
              <w:left w:val="nil"/>
              <w:bottom w:val="nil"/>
              <w:right w:val="nil"/>
            </w:tcBorders>
            <w:shd w:val="clear" w:color="auto" w:fill="D9D9D9"/>
            <w:noWrap/>
            <w:vAlign w:val="center"/>
            <w:hideMark/>
          </w:tcPr>
          <w:p w14:paraId="1F06838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2</w:t>
            </w:r>
          </w:p>
        </w:tc>
        <w:tc>
          <w:tcPr>
            <w:tcW w:w="1170" w:type="dxa"/>
            <w:tcBorders>
              <w:top w:val="nil"/>
              <w:left w:val="nil"/>
              <w:bottom w:val="nil"/>
              <w:right w:val="nil"/>
            </w:tcBorders>
            <w:shd w:val="clear" w:color="auto" w:fill="D9D9D9"/>
            <w:noWrap/>
            <w:vAlign w:val="center"/>
            <w:hideMark/>
          </w:tcPr>
          <w:p w14:paraId="57F1508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3</w:t>
            </w:r>
          </w:p>
        </w:tc>
        <w:tc>
          <w:tcPr>
            <w:tcW w:w="1170" w:type="dxa"/>
            <w:tcBorders>
              <w:top w:val="nil"/>
              <w:left w:val="nil"/>
              <w:bottom w:val="nil"/>
              <w:right w:val="nil"/>
            </w:tcBorders>
            <w:shd w:val="clear" w:color="auto" w:fill="D9D9D9"/>
            <w:noWrap/>
            <w:vAlign w:val="center"/>
            <w:hideMark/>
          </w:tcPr>
          <w:p w14:paraId="5FAA12A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4</w:t>
            </w:r>
          </w:p>
        </w:tc>
        <w:tc>
          <w:tcPr>
            <w:tcW w:w="1170" w:type="dxa"/>
            <w:tcBorders>
              <w:top w:val="nil"/>
              <w:left w:val="nil"/>
              <w:bottom w:val="nil"/>
              <w:right w:val="single" w:sz="12" w:space="0" w:color="auto"/>
            </w:tcBorders>
            <w:shd w:val="clear" w:color="auto" w:fill="D9D9D9"/>
            <w:noWrap/>
            <w:vAlign w:val="center"/>
            <w:hideMark/>
          </w:tcPr>
          <w:p w14:paraId="1A9A1D1C"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Day 5</w:t>
            </w:r>
          </w:p>
        </w:tc>
      </w:tr>
      <w:tr w:rsidR="00F13693" w:rsidRPr="00E65655" w14:paraId="1337D643" w14:textId="77777777" w:rsidTr="00081E29">
        <w:trPr>
          <w:trHeight w:val="300"/>
          <w:jc w:val="center"/>
        </w:trPr>
        <w:tc>
          <w:tcPr>
            <w:tcW w:w="2265" w:type="dxa"/>
            <w:tcBorders>
              <w:top w:val="nil"/>
              <w:left w:val="single" w:sz="12" w:space="0" w:color="auto"/>
              <w:bottom w:val="nil"/>
              <w:right w:val="nil"/>
            </w:tcBorders>
            <w:noWrap/>
            <w:vAlign w:val="center"/>
            <w:hideMark/>
          </w:tcPr>
          <w:p w14:paraId="4090DDE4"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Daily return</w:t>
            </w:r>
          </w:p>
        </w:tc>
        <w:tc>
          <w:tcPr>
            <w:tcW w:w="1080" w:type="dxa"/>
            <w:tcBorders>
              <w:top w:val="nil"/>
              <w:left w:val="nil"/>
              <w:bottom w:val="nil"/>
              <w:right w:val="nil"/>
            </w:tcBorders>
            <w:noWrap/>
            <w:vAlign w:val="center"/>
            <w:hideMark/>
          </w:tcPr>
          <w:p w14:paraId="109D3EAF" w14:textId="77777777" w:rsidR="00F13693" w:rsidRPr="00E65655" w:rsidRDefault="00F13693" w:rsidP="00081E29">
            <w:pPr>
              <w:jc w:val="center"/>
              <w:rPr>
                <w:rFonts w:cs="Arial"/>
                <w:color w:val="000000"/>
                <w:szCs w:val="20"/>
                <w:lang w:val="en-US"/>
              </w:rPr>
            </w:pPr>
          </w:p>
        </w:tc>
        <w:tc>
          <w:tcPr>
            <w:tcW w:w="1080" w:type="dxa"/>
            <w:tcBorders>
              <w:top w:val="nil"/>
              <w:left w:val="nil"/>
              <w:bottom w:val="nil"/>
              <w:right w:val="nil"/>
            </w:tcBorders>
            <w:noWrap/>
            <w:vAlign w:val="center"/>
            <w:hideMark/>
          </w:tcPr>
          <w:p w14:paraId="7B7A84A8"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080" w:type="dxa"/>
            <w:tcBorders>
              <w:top w:val="nil"/>
              <w:left w:val="nil"/>
              <w:bottom w:val="nil"/>
              <w:right w:val="nil"/>
            </w:tcBorders>
            <w:noWrap/>
            <w:vAlign w:val="center"/>
            <w:hideMark/>
          </w:tcPr>
          <w:p w14:paraId="26400D01"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nil"/>
            </w:tcBorders>
            <w:noWrap/>
            <w:vAlign w:val="center"/>
            <w:hideMark/>
          </w:tcPr>
          <w:p w14:paraId="023FAF77"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nil"/>
            </w:tcBorders>
            <w:noWrap/>
            <w:vAlign w:val="center"/>
            <w:hideMark/>
          </w:tcPr>
          <w:p w14:paraId="603B2260"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nil"/>
              <w:right w:val="single" w:sz="12" w:space="0" w:color="auto"/>
            </w:tcBorders>
            <w:noWrap/>
            <w:vAlign w:val="center"/>
            <w:hideMark/>
          </w:tcPr>
          <w:p w14:paraId="57A294E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r>
      <w:tr w:rsidR="00651F2A" w:rsidRPr="00E65655" w14:paraId="1EE7FCB5" w14:textId="77777777" w:rsidTr="00651F2A">
        <w:trPr>
          <w:trHeight w:val="300"/>
          <w:jc w:val="center"/>
        </w:trPr>
        <w:tc>
          <w:tcPr>
            <w:tcW w:w="2265" w:type="dxa"/>
            <w:tcBorders>
              <w:top w:val="nil"/>
              <w:left w:val="single" w:sz="12" w:space="0" w:color="auto"/>
              <w:bottom w:val="nil"/>
              <w:right w:val="nil"/>
            </w:tcBorders>
            <w:noWrap/>
            <w:vAlign w:val="center"/>
            <w:hideMark/>
          </w:tcPr>
          <w:p w14:paraId="6023887A" w14:textId="77777777" w:rsidR="00651F2A" w:rsidRPr="00E65655" w:rsidRDefault="00651F2A" w:rsidP="00651F2A">
            <w:pPr>
              <w:jc w:val="center"/>
              <w:rPr>
                <w:rFonts w:cs="Arial"/>
                <w:color w:val="000000"/>
                <w:szCs w:val="20"/>
                <w:lang w:val="en-US"/>
              </w:rPr>
            </w:pPr>
            <w:r w:rsidRPr="00E65655">
              <w:rPr>
                <w:rFonts w:cs="Arial"/>
                <w:color w:val="000000"/>
                <w:szCs w:val="20"/>
                <w:lang w:val="en-US"/>
              </w:rPr>
              <w:t>Price at end of day</w:t>
            </w:r>
          </w:p>
        </w:tc>
        <w:tc>
          <w:tcPr>
            <w:tcW w:w="1080" w:type="dxa"/>
            <w:tcBorders>
              <w:top w:val="nil"/>
              <w:left w:val="nil"/>
              <w:bottom w:val="nil"/>
              <w:right w:val="nil"/>
            </w:tcBorders>
            <w:noWrap/>
            <w:vAlign w:val="center"/>
            <w:hideMark/>
          </w:tcPr>
          <w:p w14:paraId="4E379CBE" w14:textId="1BC5D5E5" w:rsidR="00651F2A" w:rsidRPr="00E65655" w:rsidRDefault="00651F2A" w:rsidP="00651F2A">
            <w:pPr>
              <w:jc w:val="center"/>
              <w:rPr>
                <w:rFonts w:cs="Arial"/>
                <w:color w:val="000000"/>
                <w:szCs w:val="20"/>
                <w:lang w:val="en-US" w:eastAsia="zh-CN"/>
              </w:rPr>
            </w:pPr>
            <w:r w:rsidRPr="0090584D">
              <w:t>0.8</w:t>
            </w:r>
            <w:r>
              <w:rPr>
                <w:rFonts w:hint="eastAsia"/>
                <w:lang w:eastAsia="zh-CN"/>
              </w:rPr>
              <w:t>0</w:t>
            </w:r>
          </w:p>
        </w:tc>
        <w:tc>
          <w:tcPr>
            <w:tcW w:w="1080" w:type="dxa"/>
            <w:tcBorders>
              <w:top w:val="nil"/>
              <w:left w:val="nil"/>
              <w:bottom w:val="nil"/>
              <w:right w:val="nil"/>
            </w:tcBorders>
            <w:noWrap/>
            <w:vAlign w:val="center"/>
            <w:hideMark/>
          </w:tcPr>
          <w:p w14:paraId="4684F87E" w14:textId="0F66CF3A" w:rsidR="00651F2A" w:rsidRPr="00E65655" w:rsidRDefault="00651F2A" w:rsidP="00651F2A">
            <w:pPr>
              <w:jc w:val="center"/>
              <w:rPr>
                <w:rFonts w:cs="Arial"/>
                <w:szCs w:val="20"/>
              </w:rPr>
            </w:pPr>
            <w:r w:rsidRPr="0090584D">
              <w:t>0.72</w:t>
            </w:r>
          </w:p>
        </w:tc>
        <w:tc>
          <w:tcPr>
            <w:tcW w:w="1080" w:type="dxa"/>
            <w:tcBorders>
              <w:top w:val="nil"/>
              <w:left w:val="nil"/>
              <w:bottom w:val="nil"/>
              <w:right w:val="nil"/>
            </w:tcBorders>
            <w:noWrap/>
            <w:vAlign w:val="center"/>
            <w:hideMark/>
          </w:tcPr>
          <w:p w14:paraId="763DE0F2" w14:textId="0F393CCD" w:rsidR="00651F2A" w:rsidRPr="00E65655" w:rsidRDefault="00651F2A" w:rsidP="00651F2A">
            <w:pPr>
              <w:jc w:val="center"/>
              <w:rPr>
                <w:rFonts w:cs="Arial"/>
                <w:szCs w:val="20"/>
              </w:rPr>
            </w:pPr>
            <w:r w:rsidRPr="0090584D">
              <w:t>0.79</w:t>
            </w:r>
          </w:p>
        </w:tc>
        <w:tc>
          <w:tcPr>
            <w:tcW w:w="1170" w:type="dxa"/>
            <w:tcBorders>
              <w:top w:val="nil"/>
              <w:left w:val="nil"/>
              <w:bottom w:val="nil"/>
              <w:right w:val="nil"/>
            </w:tcBorders>
            <w:noWrap/>
            <w:vAlign w:val="center"/>
            <w:hideMark/>
          </w:tcPr>
          <w:p w14:paraId="3EEBA8B0" w14:textId="65827208" w:rsidR="00651F2A" w:rsidRPr="00E65655" w:rsidRDefault="00651F2A" w:rsidP="00651F2A">
            <w:pPr>
              <w:jc w:val="center"/>
              <w:rPr>
                <w:rFonts w:cs="Arial"/>
                <w:szCs w:val="20"/>
              </w:rPr>
            </w:pPr>
            <w:r w:rsidRPr="0090584D">
              <w:t>0.71</w:t>
            </w:r>
          </w:p>
        </w:tc>
        <w:tc>
          <w:tcPr>
            <w:tcW w:w="1170" w:type="dxa"/>
            <w:tcBorders>
              <w:top w:val="nil"/>
              <w:left w:val="nil"/>
              <w:bottom w:val="nil"/>
              <w:right w:val="nil"/>
            </w:tcBorders>
            <w:noWrap/>
            <w:vAlign w:val="center"/>
            <w:hideMark/>
          </w:tcPr>
          <w:p w14:paraId="71B33CAE" w14:textId="19D7130E" w:rsidR="00651F2A" w:rsidRPr="00E65655" w:rsidRDefault="00651F2A" w:rsidP="00651F2A">
            <w:pPr>
              <w:jc w:val="center"/>
              <w:rPr>
                <w:rFonts w:cs="Arial"/>
                <w:szCs w:val="20"/>
              </w:rPr>
            </w:pPr>
            <w:r w:rsidRPr="0090584D">
              <w:t>0.78</w:t>
            </w:r>
          </w:p>
        </w:tc>
        <w:tc>
          <w:tcPr>
            <w:tcW w:w="1170" w:type="dxa"/>
            <w:tcBorders>
              <w:top w:val="nil"/>
              <w:left w:val="nil"/>
              <w:bottom w:val="nil"/>
              <w:right w:val="single" w:sz="12" w:space="0" w:color="auto"/>
            </w:tcBorders>
            <w:noWrap/>
            <w:vAlign w:val="center"/>
            <w:hideMark/>
          </w:tcPr>
          <w:p w14:paraId="042BC9C3" w14:textId="6284236A" w:rsidR="00651F2A" w:rsidRPr="00E65655" w:rsidRDefault="00651F2A" w:rsidP="00651F2A">
            <w:pPr>
              <w:jc w:val="center"/>
              <w:rPr>
                <w:rFonts w:cs="Arial"/>
                <w:szCs w:val="20"/>
              </w:rPr>
            </w:pPr>
            <w:r w:rsidRPr="0090584D">
              <w:t>0.71</w:t>
            </w:r>
          </w:p>
        </w:tc>
      </w:tr>
      <w:tr w:rsidR="00F13693" w:rsidRPr="00E65655" w14:paraId="3CD751A3" w14:textId="77777777" w:rsidTr="00081E29">
        <w:trPr>
          <w:trHeight w:val="300"/>
          <w:jc w:val="center"/>
        </w:trPr>
        <w:tc>
          <w:tcPr>
            <w:tcW w:w="2265" w:type="dxa"/>
            <w:tcBorders>
              <w:top w:val="nil"/>
              <w:left w:val="single" w:sz="12" w:space="0" w:color="auto"/>
              <w:bottom w:val="single" w:sz="12" w:space="0" w:color="auto"/>
              <w:right w:val="nil"/>
            </w:tcBorders>
            <w:noWrap/>
            <w:vAlign w:val="center"/>
            <w:hideMark/>
          </w:tcPr>
          <w:p w14:paraId="44D66E71"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Accumulated Return</w:t>
            </w:r>
          </w:p>
        </w:tc>
        <w:tc>
          <w:tcPr>
            <w:tcW w:w="1080" w:type="dxa"/>
            <w:tcBorders>
              <w:top w:val="nil"/>
              <w:left w:val="nil"/>
              <w:bottom w:val="single" w:sz="12" w:space="0" w:color="auto"/>
              <w:right w:val="nil"/>
            </w:tcBorders>
            <w:noWrap/>
            <w:vAlign w:val="center"/>
            <w:hideMark/>
          </w:tcPr>
          <w:p w14:paraId="7157B1D9" w14:textId="77777777" w:rsidR="00F13693" w:rsidRPr="00E65655" w:rsidRDefault="00F13693" w:rsidP="00081E29">
            <w:pPr>
              <w:jc w:val="center"/>
              <w:rPr>
                <w:rFonts w:cs="Arial"/>
                <w:color w:val="000000"/>
                <w:szCs w:val="20"/>
                <w:lang w:val="en-US"/>
              </w:rPr>
            </w:pPr>
          </w:p>
        </w:tc>
        <w:tc>
          <w:tcPr>
            <w:tcW w:w="1080" w:type="dxa"/>
            <w:tcBorders>
              <w:top w:val="nil"/>
              <w:left w:val="nil"/>
              <w:bottom w:val="single" w:sz="12" w:space="0" w:color="auto"/>
              <w:right w:val="nil"/>
            </w:tcBorders>
            <w:noWrap/>
            <w:vAlign w:val="center"/>
            <w:hideMark/>
          </w:tcPr>
          <w:p w14:paraId="4C4ED901"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-10.00%</w:t>
            </w:r>
          </w:p>
        </w:tc>
        <w:tc>
          <w:tcPr>
            <w:tcW w:w="1080" w:type="dxa"/>
            <w:tcBorders>
              <w:top w:val="nil"/>
              <w:left w:val="nil"/>
              <w:bottom w:val="single" w:sz="12" w:space="0" w:color="auto"/>
              <w:right w:val="nil"/>
            </w:tcBorders>
            <w:noWrap/>
            <w:vAlign w:val="center"/>
            <w:hideMark/>
          </w:tcPr>
          <w:p w14:paraId="07E7C8EB"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-1.00%</w:t>
            </w:r>
          </w:p>
        </w:tc>
        <w:tc>
          <w:tcPr>
            <w:tcW w:w="1170" w:type="dxa"/>
            <w:tcBorders>
              <w:top w:val="nil"/>
              <w:left w:val="nil"/>
              <w:bottom w:val="single" w:sz="12" w:space="0" w:color="auto"/>
              <w:right w:val="nil"/>
            </w:tcBorders>
            <w:noWrap/>
            <w:vAlign w:val="center"/>
            <w:hideMark/>
          </w:tcPr>
          <w:p w14:paraId="621392C5"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-10.90%</w:t>
            </w:r>
          </w:p>
        </w:tc>
        <w:tc>
          <w:tcPr>
            <w:tcW w:w="1170" w:type="dxa"/>
            <w:tcBorders>
              <w:top w:val="nil"/>
              <w:left w:val="nil"/>
              <w:bottom w:val="single" w:sz="12" w:space="0" w:color="auto"/>
              <w:right w:val="nil"/>
            </w:tcBorders>
            <w:noWrap/>
            <w:vAlign w:val="center"/>
            <w:hideMark/>
          </w:tcPr>
          <w:p w14:paraId="23F280A3"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-1.99%</w:t>
            </w:r>
          </w:p>
        </w:tc>
        <w:tc>
          <w:tcPr>
            <w:tcW w:w="1170" w:type="dxa"/>
            <w:tcBorders>
              <w:top w:val="nil"/>
              <w:left w:val="nil"/>
              <w:bottom w:val="single" w:sz="12" w:space="0" w:color="auto"/>
              <w:right w:val="single" w:sz="12" w:space="0" w:color="auto"/>
            </w:tcBorders>
            <w:noWrap/>
            <w:vAlign w:val="center"/>
            <w:hideMark/>
          </w:tcPr>
          <w:p w14:paraId="293DA45D" w14:textId="77777777" w:rsidR="00F13693" w:rsidRPr="00E65655" w:rsidRDefault="00F13693" w:rsidP="00081E29">
            <w:pPr>
              <w:jc w:val="center"/>
              <w:rPr>
                <w:rFonts w:cs="Arial"/>
                <w:color w:val="000000"/>
                <w:szCs w:val="20"/>
                <w:lang w:val="en-US"/>
              </w:rPr>
            </w:pPr>
            <w:r w:rsidRPr="00E65655">
              <w:rPr>
                <w:rFonts w:cs="Arial"/>
                <w:color w:val="000000"/>
                <w:szCs w:val="20"/>
                <w:lang w:val="en-US"/>
              </w:rPr>
              <w:t>-11.79%</w:t>
            </w:r>
          </w:p>
        </w:tc>
      </w:tr>
    </w:tbl>
    <w:p w14:paraId="2F88B57B" w14:textId="77777777" w:rsidR="00926E1C" w:rsidRPr="00E65655" w:rsidRDefault="00926E1C" w:rsidP="00926E1C">
      <w:pPr>
        <w:rPr>
          <w:rFonts w:ascii="Times New Roman" w:hAnsi="Times New Roman"/>
          <w:b/>
          <w:szCs w:val="20"/>
          <w:lang w:val="en-CA"/>
        </w:rPr>
      </w:pPr>
    </w:p>
    <w:p w14:paraId="31E55F7D" w14:textId="77777777" w:rsidR="00B65450" w:rsidRPr="00E65655" w:rsidRDefault="00945679" w:rsidP="00AC34C3">
      <w:pPr>
        <w:keepNext/>
        <w:pageBreakBefore/>
        <w:autoSpaceDE w:val="0"/>
        <w:autoSpaceDN w:val="0"/>
        <w:adjustRightInd w:val="0"/>
        <w:spacing w:after="140" w:line="290" w:lineRule="auto"/>
        <w:rPr>
          <w:rFonts w:cs="Arial"/>
          <w:b/>
          <w:szCs w:val="20"/>
          <w:lang w:val="en-US" w:eastAsia="zh-CN"/>
        </w:rPr>
      </w:pPr>
      <w:r w:rsidRPr="00E65655">
        <w:rPr>
          <w:rFonts w:cs="Arial"/>
          <w:b/>
          <w:szCs w:val="20"/>
          <w:lang w:val="en-US" w:eastAsia="zh-CN"/>
        </w:rPr>
        <w:lastRenderedPageBreak/>
        <w:t>Description of Air Bag Mechanism</w:t>
      </w:r>
    </w:p>
    <w:p w14:paraId="45A3D812" w14:textId="77777777" w:rsidR="008D7AB1" w:rsidRPr="00E65655" w:rsidRDefault="008D7AB1" w:rsidP="008D7AB1">
      <w:pPr>
        <w:spacing w:after="140" w:line="290" w:lineRule="auto"/>
        <w:jc w:val="both"/>
        <w:rPr>
          <w:rFonts w:cs="Arial"/>
          <w:lang w:eastAsia="zh-CN"/>
        </w:rPr>
      </w:pPr>
      <w:r w:rsidRPr="00E65655">
        <w:rPr>
          <w:rFonts w:cs="Arial"/>
          <w:lang w:eastAsia="zh-CN"/>
        </w:rPr>
        <w:t>The Certificates integrate an “Air Bag Mechanism” which is designed to reduce exposure to the Underlying Stock during extreme market conditions.</w:t>
      </w:r>
    </w:p>
    <w:p w14:paraId="39A507E7" w14:textId="77777777" w:rsidR="008D7AB1" w:rsidRPr="00E65655" w:rsidRDefault="008D7AB1" w:rsidP="008D7AB1">
      <w:pPr>
        <w:spacing w:after="140" w:line="290" w:lineRule="auto"/>
        <w:jc w:val="both"/>
        <w:rPr>
          <w:rFonts w:cs="Arial"/>
          <w:lang w:eastAsia="zh-CN"/>
        </w:rPr>
      </w:pPr>
      <w:r w:rsidRPr="00E65655">
        <w:rPr>
          <w:rFonts w:cs="Arial"/>
          <w:lang w:eastAsia="zh-CN"/>
        </w:rPr>
        <w:t>When the Air Bag triggers, this is followed by a period which is divided into two sub-periods:</w:t>
      </w:r>
    </w:p>
    <w:p w14:paraId="0B2CE8D6" w14:textId="77777777" w:rsidR="008D7AB1" w:rsidRPr="00E65655" w:rsidRDefault="008D7AB1" w:rsidP="008D7AB1">
      <w:pPr>
        <w:keepNext/>
        <w:keepLines/>
        <w:numPr>
          <w:ilvl w:val="0"/>
          <w:numId w:val="16"/>
        </w:numPr>
        <w:spacing w:after="140" w:line="290" w:lineRule="auto"/>
        <w:jc w:val="both"/>
        <w:rPr>
          <w:rFonts w:cs="Arial"/>
          <w:lang w:eastAsia="zh-CN"/>
        </w:rPr>
      </w:pPr>
      <w:r w:rsidRPr="00E65655">
        <w:rPr>
          <w:rFonts w:cs="Arial"/>
          <w:u w:val="single"/>
          <w:lang w:eastAsia="zh-CN"/>
        </w:rPr>
        <w:t>Observation Period</w:t>
      </w:r>
      <w:r w:rsidRPr="00E65655">
        <w:rPr>
          <w:rFonts w:cs="Arial"/>
          <w:lang w:eastAsia="zh-CN"/>
        </w:rPr>
        <w:t xml:space="preserve">: the price of the Underlying Stock is </w:t>
      </w:r>
      <w:proofErr w:type="gramStart"/>
      <w:r w:rsidRPr="00E65655">
        <w:rPr>
          <w:rFonts w:cs="Arial"/>
          <w:lang w:eastAsia="zh-CN"/>
        </w:rPr>
        <w:t>observed</w:t>
      </w:r>
      <w:proofErr w:type="gramEnd"/>
      <w:r w:rsidRPr="00E65655">
        <w:rPr>
          <w:rFonts w:cs="Arial"/>
          <w:lang w:eastAsia="zh-CN"/>
        </w:rPr>
        <w:t xml:space="preserve"> and its maximum price is recorded (i) during 15 minutes of continuous trading after the Air Bag is triggered, or (ii) until Market Close if there is less than 15 minutes of continuous trading until Market Close when the Air Bag Mechanism is triggered; and</w:t>
      </w:r>
    </w:p>
    <w:p w14:paraId="54ED0AE5" w14:textId="77777777" w:rsidR="008D7AB1" w:rsidRPr="00E65655" w:rsidRDefault="008D7AB1" w:rsidP="008D7AB1">
      <w:pPr>
        <w:numPr>
          <w:ilvl w:val="0"/>
          <w:numId w:val="16"/>
        </w:numPr>
        <w:spacing w:after="140" w:line="290" w:lineRule="auto"/>
        <w:jc w:val="both"/>
        <w:rPr>
          <w:rFonts w:cs="Arial"/>
          <w:lang w:eastAsia="zh-CN"/>
        </w:rPr>
      </w:pPr>
      <w:r w:rsidRPr="00E65655">
        <w:rPr>
          <w:rFonts w:cs="Arial"/>
          <w:u w:val="single"/>
          <w:lang w:eastAsia="zh-CN"/>
        </w:rPr>
        <w:t>Reset Period</w:t>
      </w:r>
      <w:r w:rsidRPr="00E65655">
        <w:rPr>
          <w:rFonts w:cs="Arial"/>
          <w:lang w:eastAsia="zh-CN"/>
        </w:rPr>
        <w:t xml:space="preserve">: </w:t>
      </w:r>
      <w:proofErr w:type="gramStart"/>
      <w:r w:rsidRPr="00E65655">
        <w:rPr>
          <w:rFonts w:cs="Arial"/>
          <w:lang w:eastAsia="zh-CN"/>
        </w:rPr>
        <w:t>the</w:t>
      </w:r>
      <w:proofErr w:type="gramEnd"/>
      <w:r w:rsidRPr="00E65655">
        <w:rPr>
          <w:rFonts w:cs="Arial"/>
          <w:lang w:eastAsia="zh-CN"/>
        </w:rPr>
        <w:t xml:space="preserve"> Leverage Inverse Strategy is then reset using the maximum price of the Underlying Stock during the Observation Period as the New Observed Price. The New Observed Price replaces the last closing price of the Underlying Stock </w:t>
      </w:r>
      <w:proofErr w:type="gramStart"/>
      <w:r w:rsidRPr="00E65655">
        <w:rPr>
          <w:rFonts w:cs="Arial"/>
          <w:lang w:eastAsia="zh-CN"/>
        </w:rPr>
        <w:t>in order to</w:t>
      </w:r>
      <w:proofErr w:type="gramEnd"/>
      <w:r w:rsidRPr="00E65655">
        <w:rPr>
          <w:rFonts w:cs="Arial"/>
          <w:lang w:eastAsia="zh-CN"/>
        </w:rPr>
        <w:t xml:space="preserve"> compute the performance of the Leverage Inverse Strategy.</w:t>
      </w:r>
    </w:p>
    <w:p w14:paraId="24C7D307" w14:textId="77777777" w:rsidR="008D7AB1" w:rsidRPr="00E65655" w:rsidRDefault="008D7AB1" w:rsidP="008D7AB1">
      <w:pPr>
        <w:autoSpaceDE w:val="0"/>
        <w:autoSpaceDN w:val="0"/>
        <w:adjustRightInd w:val="0"/>
        <w:spacing w:after="140" w:line="290" w:lineRule="auto"/>
        <w:jc w:val="both"/>
        <w:rPr>
          <w:rFonts w:cs="Arial"/>
          <w:lang w:eastAsia="zh-CN"/>
        </w:rPr>
      </w:pPr>
      <w:r w:rsidRPr="00E65655">
        <w:rPr>
          <w:rFonts w:cs="Arial"/>
          <w:lang w:eastAsia="zh-CN"/>
        </w:rPr>
        <w:t>During the Observation Period and Reset Period, trading of Certificates is suspended for a period of at least 30 minutes of continuous trading after the Air Bag is triggered,</w:t>
      </w:r>
      <w:r w:rsidRPr="00E65655">
        <w:t xml:space="preserve"> </w:t>
      </w:r>
      <w:r w:rsidRPr="00E65655">
        <w:rPr>
          <w:rFonts w:cs="Arial"/>
          <w:lang w:eastAsia="zh-CN"/>
        </w:rPr>
        <w:t xml:space="preserve">and such suspension will be based on instructions provided by the Issuer to the SGX-ST for suspension of trading. Investors cannot sell or purchase any Certificates during this period. </w:t>
      </w:r>
    </w:p>
    <w:p w14:paraId="20F7733C" w14:textId="77777777" w:rsidR="008D7AB1" w:rsidRPr="00E65655" w:rsidRDefault="008D7AB1" w:rsidP="008D7AB1">
      <w:pPr>
        <w:autoSpaceDE w:val="0"/>
        <w:autoSpaceDN w:val="0"/>
        <w:adjustRightInd w:val="0"/>
        <w:spacing w:after="140" w:line="290" w:lineRule="auto"/>
        <w:jc w:val="both"/>
        <w:rPr>
          <w:rFonts w:cs="Arial"/>
          <w:lang w:eastAsia="zh-CN"/>
        </w:rPr>
      </w:pPr>
      <w:r w:rsidRPr="00E65655">
        <w:rPr>
          <w:rFonts w:cs="Arial"/>
          <w:lang w:eastAsia="zh-CN"/>
        </w:rPr>
        <w:t>The performance of the Leverage Inverse Strategy will be the inverse of the Underlying Stock.</w:t>
      </w:r>
    </w:p>
    <w:p w14:paraId="500C8768" w14:textId="77777777" w:rsidR="008D7AB1" w:rsidRPr="00E65655" w:rsidRDefault="008D7AB1" w:rsidP="008D7AB1">
      <w:pPr>
        <w:autoSpaceDE w:val="0"/>
        <w:autoSpaceDN w:val="0"/>
        <w:adjustRightInd w:val="0"/>
        <w:spacing w:after="140" w:line="290" w:lineRule="auto"/>
        <w:jc w:val="both"/>
        <w:rPr>
          <w:rFonts w:cs="Arial"/>
          <w:color w:val="000000"/>
        </w:rPr>
      </w:pPr>
      <w:r w:rsidRPr="00E65655">
        <w:rPr>
          <w:rFonts w:cs="Arial"/>
          <w:color w:val="000000"/>
        </w:rPr>
        <w:t>For the avoidance of doubt, if the Air Bag Mechanism was triggered more than 60 minutes of continuous trading before Market Close, trading of Certificates will resume the same trading day after the Reset Period has elapsed, subject to the SGX-ST’s approval to resume trading. If the Air Bag Mechanism was triggered between 45 minutes and 60 minutes of continuous trading before Market Close, trading of Certificates may or may not resume the same trading day after the Reset Period has elapsed. If the Air Bag Mechanism was triggered with only 45 minutes or less of continuous trading before Market Close, trading of Certificates resumes on the next trading day.</w:t>
      </w:r>
    </w:p>
    <w:p w14:paraId="0BB38CFB" w14:textId="77777777" w:rsidR="008D7AB1" w:rsidRPr="00E65655" w:rsidRDefault="008D7AB1" w:rsidP="008D7AB1">
      <w:pPr>
        <w:autoSpaceDE w:val="0"/>
        <w:autoSpaceDN w:val="0"/>
        <w:adjustRightInd w:val="0"/>
        <w:spacing w:after="140" w:line="290" w:lineRule="auto"/>
        <w:jc w:val="both"/>
        <w:rPr>
          <w:rFonts w:cs="Arial"/>
          <w:color w:val="000000"/>
        </w:rPr>
      </w:pPr>
      <w:r w:rsidRPr="00E65655">
        <w:rPr>
          <w:rFonts w:cs="Arial"/>
          <w:color w:val="000000"/>
        </w:rPr>
        <w:t>The resumption of trading is subject to the SGX-ST’s requirements of at least 15 minutes after the SGX-ST approves the request from the Issuer to resume trading on the Certificates, rounded to the next quarter of an hour. The Issuer will provide at least 15 minutes’ notice of the resumption of trading by making an SGXNET announcement.</w:t>
      </w:r>
    </w:p>
    <w:p w14:paraId="023437C1" w14:textId="77777777" w:rsidR="008D7AB1" w:rsidRPr="00E65655" w:rsidRDefault="008D7AB1" w:rsidP="008D7AB1">
      <w:pPr>
        <w:autoSpaceDE w:val="0"/>
        <w:autoSpaceDN w:val="0"/>
        <w:adjustRightInd w:val="0"/>
        <w:spacing w:after="140" w:line="290" w:lineRule="auto"/>
        <w:jc w:val="both"/>
        <w:rPr>
          <w:rFonts w:cs="Arial"/>
          <w:color w:val="000000"/>
        </w:rPr>
      </w:pPr>
    </w:p>
    <w:p w14:paraId="284B8DEE" w14:textId="77777777" w:rsidR="008D7AB1" w:rsidRPr="00E65655" w:rsidRDefault="008D7AB1" w:rsidP="008D7AB1">
      <w:pPr>
        <w:autoSpaceDE w:val="0"/>
        <w:autoSpaceDN w:val="0"/>
        <w:adjustRightInd w:val="0"/>
        <w:spacing w:after="140" w:line="290" w:lineRule="auto"/>
        <w:jc w:val="both"/>
        <w:rPr>
          <w:rFonts w:cs="Arial"/>
          <w:color w:val="000000"/>
        </w:rPr>
      </w:pPr>
      <w:r w:rsidRPr="00E65655">
        <w:rPr>
          <w:rFonts w:cs="Arial"/>
          <w:color w:val="000000"/>
        </w:rPr>
        <w:t xml:space="preserve">With </w:t>
      </w:r>
      <w:r w:rsidRPr="00E65655">
        <w:rPr>
          <w:rFonts w:cs="Arial"/>
          <w:b/>
          <w:color w:val="000000"/>
        </w:rPr>
        <w:t>Market Close</w:t>
      </w:r>
      <w:r w:rsidRPr="00E65655">
        <w:rPr>
          <w:rFonts w:cs="Arial"/>
          <w:color w:val="000000"/>
        </w:rPr>
        <w:t xml:space="preserve"> defined as:</w:t>
      </w:r>
    </w:p>
    <w:p w14:paraId="75909A62" w14:textId="77777777" w:rsidR="008D7AB1" w:rsidRPr="00E65655" w:rsidRDefault="008D7AB1" w:rsidP="008D7AB1">
      <w:pPr>
        <w:widowControl w:val="0"/>
        <w:numPr>
          <w:ilvl w:val="0"/>
          <w:numId w:val="19"/>
        </w:numPr>
        <w:spacing w:line="290" w:lineRule="auto"/>
        <w:jc w:val="both"/>
        <w:rPr>
          <w:rFonts w:cs="Arial"/>
          <w:color w:val="000000"/>
        </w:rPr>
      </w:pPr>
      <w:r w:rsidRPr="00E65655">
        <w:rPr>
          <w:rFonts w:cs="Arial"/>
          <w:color w:val="000000"/>
        </w:rPr>
        <w:t>the Underlying Stock closing time, including the closing auction session, with respect to the Observation Period; and</w:t>
      </w:r>
    </w:p>
    <w:p w14:paraId="477F97EA" w14:textId="77777777" w:rsidR="008D7AB1" w:rsidRPr="00E65655" w:rsidRDefault="008D7AB1" w:rsidP="008D7AB1">
      <w:pPr>
        <w:widowControl w:val="0"/>
        <w:spacing w:line="290" w:lineRule="auto"/>
        <w:ind w:left="720"/>
        <w:jc w:val="both"/>
        <w:rPr>
          <w:rFonts w:cs="Arial"/>
          <w:color w:val="000000"/>
        </w:rPr>
      </w:pPr>
    </w:p>
    <w:p w14:paraId="1B8EC655" w14:textId="3FB79619" w:rsidR="0095256D" w:rsidRPr="00E65655" w:rsidRDefault="008D7AB1" w:rsidP="008D7AB1">
      <w:pPr>
        <w:widowControl w:val="0"/>
        <w:numPr>
          <w:ilvl w:val="0"/>
          <w:numId w:val="19"/>
        </w:numPr>
        <w:spacing w:line="290" w:lineRule="auto"/>
        <w:jc w:val="both"/>
        <w:rPr>
          <w:rFonts w:cs="Arial"/>
          <w:color w:val="000000"/>
          <w:szCs w:val="20"/>
        </w:rPr>
      </w:pPr>
      <w:r w:rsidRPr="00E65655">
        <w:rPr>
          <w:rFonts w:cs="Arial"/>
          <w:color w:val="000000"/>
        </w:rPr>
        <w:t>the sooner of (i) the Underlying Stock closing time for continuous trading and (ii) the SGX-ST closing time, with respect to the Resumption of Trading</w:t>
      </w:r>
      <w:r w:rsidR="0095256D" w:rsidRPr="00E65655">
        <w:rPr>
          <w:rFonts w:cs="Arial"/>
          <w:color w:val="000000"/>
          <w:szCs w:val="20"/>
        </w:rPr>
        <w:br w:type="page"/>
      </w:r>
    </w:p>
    <w:p w14:paraId="18326088" w14:textId="0D3A95BA" w:rsidR="001B08DE" w:rsidRPr="00E65655" w:rsidRDefault="001B08DE" w:rsidP="00BB7FE6">
      <w:pPr>
        <w:pStyle w:val="ListParagraph"/>
        <w:keepNext/>
        <w:autoSpaceDE w:val="0"/>
        <w:autoSpaceDN w:val="0"/>
        <w:adjustRightInd w:val="0"/>
        <w:spacing w:after="140" w:line="290" w:lineRule="auto"/>
        <w:ind w:hanging="720"/>
        <w:rPr>
          <w:rFonts w:cs="Arial"/>
          <w:color w:val="000000"/>
          <w:szCs w:val="20"/>
          <w:u w:val="single"/>
        </w:rPr>
      </w:pPr>
      <w:r w:rsidRPr="00E65655">
        <w:rPr>
          <w:rFonts w:cs="Arial"/>
          <w:color w:val="000000"/>
          <w:szCs w:val="20"/>
          <w:u w:val="single"/>
        </w:rPr>
        <w:lastRenderedPageBreak/>
        <w:t>Illustrative examples of the Air Bag Mechanism</w:t>
      </w:r>
      <w:r w:rsidR="00A20749" w:rsidRPr="00E65655">
        <w:rPr>
          <w:rStyle w:val="FootnoteReference"/>
          <w:rFonts w:cs="Arial"/>
          <w:color w:val="000000"/>
          <w:szCs w:val="20"/>
          <w:u w:val="single"/>
        </w:rPr>
        <w:footnoteReference w:id="9"/>
      </w:r>
    </w:p>
    <w:p w14:paraId="5FADFBC6" w14:textId="77777777" w:rsidR="00C0345E" w:rsidRPr="00E65655" w:rsidRDefault="00C0345E" w:rsidP="00C0345E">
      <w:pPr>
        <w:widowControl w:val="0"/>
        <w:spacing w:after="120"/>
        <w:jc w:val="center"/>
        <w:rPr>
          <w:rFonts w:cs="Arial"/>
          <w:i/>
          <w:szCs w:val="20"/>
          <w:u w:val="single"/>
        </w:rPr>
      </w:pPr>
      <w:r w:rsidRPr="00E65655">
        <w:rPr>
          <w:rFonts w:cs="Arial"/>
          <w:i/>
          <w:szCs w:val="20"/>
          <w:u w:val="single"/>
        </w:rPr>
        <w:t>Scenario 1 – Upward Trend after Air Bag trigger</w:t>
      </w:r>
    </w:p>
    <w:p w14:paraId="30A0C7E0" w14:textId="58CF2103" w:rsidR="00C0345E" w:rsidRPr="00E65655" w:rsidRDefault="000111D3" w:rsidP="00C0345E">
      <w:pPr>
        <w:widowControl w:val="0"/>
        <w:ind w:left="400"/>
        <w:jc w:val="center"/>
        <w:rPr>
          <w:rFonts w:ascii="Times New Roman" w:hAnsi="Times New Roman"/>
          <w:color w:val="FF0000"/>
          <w:szCs w:val="20"/>
        </w:rPr>
      </w:pPr>
      <w:r w:rsidRPr="00E65655">
        <w:rPr>
          <w:noProof/>
        </w:rPr>
        <w:drawing>
          <wp:inline distT="0" distB="0" distL="0" distR="0" wp14:anchorId="74222975" wp14:editId="3E9F581E">
            <wp:extent cx="5733415" cy="3153410"/>
            <wp:effectExtent l="0" t="0" r="0" b="8890"/>
            <wp:docPr id="1812866865" name="Picture 1" descr="A diagram of a perform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66865" name="Picture 1" descr="A diagram of a performance&#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3415" cy="3153410"/>
                    </a:xfrm>
                    <a:prstGeom prst="rect">
                      <a:avLst/>
                    </a:prstGeom>
                    <a:noFill/>
                    <a:ln>
                      <a:noFill/>
                    </a:ln>
                  </pic:spPr>
                </pic:pic>
              </a:graphicData>
            </a:graphic>
          </wp:inline>
        </w:drawing>
      </w:r>
    </w:p>
    <w:p w14:paraId="47B77B10" w14:textId="1D692665" w:rsidR="00F9456F" w:rsidRPr="00E65655" w:rsidRDefault="00F9456F" w:rsidP="00F9456F">
      <w:pPr>
        <w:widowControl w:val="0"/>
        <w:ind w:left="400"/>
        <w:jc w:val="both"/>
        <w:rPr>
          <w:rFonts w:cs="Arial"/>
          <w:color w:val="000000" w:themeColor="text1"/>
          <w:szCs w:val="20"/>
        </w:rPr>
      </w:pPr>
      <w:r w:rsidRPr="00E65655">
        <w:rPr>
          <w:rFonts w:cs="Arial"/>
          <w:color w:val="000000" w:themeColor="text1"/>
          <w:szCs w:val="20"/>
        </w:rPr>
        <w:t>^ The resumption of trading is subject to the SGX-ST’s requirements of at least 15 minutes after the SGX-ST approves the request from the Issuer to resume trading on the Certificates, rounded to the next quarter of an hour.</w:t>
      </w:r>
    </w:p>
    <w:p w14:paraId="2320BA43" w14:textId="77777777" w:rsidR="00C0345E" w:rsidRPr="00E65655" w:rsidRDefault="00C0345E" w:rsidP="00C0345E">
      <w:pPr>
        <w:widowControl w:val="0"/>
        <w:spacing w:after="120"/>
        <w:jc w:val="center"/>
        <w:rPr>
          <w:rFonts w:ascii="Times New Roman" w:hAnsi="Times New Roman"/>
          <w:szCs w:val="20"/>
          <w:u w:val="single"/>
        </w:rPr>
      </w:pPr>
    </w:p>
    <w:p w14:paraId="399666AB" w14:textId="77777777" w:rsidR="00C0345E" w:rsidRPr="00E65655" w:rsidRDefault="00C0345E" w:rsidP="00C0345E">
      <w:pPr>
        <w:widowControl w:val="0"/>
        <w:spacing w:after="120"/>
        <w:jc w:val="center"/>
        <w:rPr>
          <w:rFonts w:cs="Arial"/>
          <w:i/>
          <w:szCs w:val="20"/>
          <w:u w:val="single"/>
        </w:rPr>
      </w:pPr>
      <w:r w:rsidRPr="00E65655">
        <w:rPr>
          <w:rFonts w:cs="Arial"/>
          <w:i/>
          <w:szCs w:val="20"/>
          <w:u w:val="single"/>
        </w:rPr>
        <w:t>Scenario 2 – Downward Trend after Air Bag trigger</w:t>
      </w:r>
    </w:p>
    <w:p w14:paraId="59ED8F27" w14:textId="5A8DD946" w:rsidR="00C0345E" w:rsidRPr="00E65655" w:rsidRDefault="000111D3" w:rsidP="008574C8">
      <w:pPr>
        <w:widowControl w:val="0"/>
        <w:spacing w:after="120"/>
        <w:jc w:val="center"/>
        <w:rPr>
          <w:rFonts w:ascii="Times New Roman" w:hAnsi="Times New Roman"/>
          <w:szCs w:val="20"/>
        </w:rPr>
      </w:pPr>
      <w:r w:rsidRPr="00E65655">
        <w:rPr>
          <w:noProof/>
        </w:rPr>
        <w:drawing>
          <wp:inline distT="0" distB="0" distL="0" distR="0" wp14:anchorId="0ED52C46" wp14:editId="66E444F4">
            <wp:extent cx="5733415" cy="3300730"/>
            <wp:effectExtent l="0" t="0" r="635" b="0"/>
            <wp:docPr id="1542147653" name="Picture 2"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47653" name="Picture 2" descr="A diagram of a graph&#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33415" cy="3300730"/>
                    </a:xfrm>
                    <a:prstGeom prst="rect">
                      <a:avLst/>
                    </a:prstGeom>
                    <a:noFill/>
                    <a:ln>
                      <a:noFill/>
                    </a:ln>
                  </pic:spPr>
                </pic:pic>
              </a:graphicData>
            </a:graphic>
          </wp:inline>
        </w:drawing>
      </w:r>
    </w:p>
    <w:p w14:paraId="7EE08532" w14:textId="77777777" w:rsidR="00F9456F" w:rsidRPr="00E65655" w:rsidRDefault="00F9456F" w:rsidP="00F9456F">
      <w:pPr>
        <w:widowControl w:val="0"/>
        <w:ind w:left="400"/>
        <w:jc w:val="both"/>
        <w:rPr>
          <w:rFonts w:cs="Arial"/>
          <w:color w:val="000000" w:themeColor="text1"/>
          <w:szCs w:val="20"/>
        </w:rPr>
      </w:pPr>
      <w:r w:rsidRPr="00E65655">
        <w:rPr>
          <w:rFonts w:cs="Arial"/>
          <w:color w:val="000000" w:themeColor="text1"/>
          <w:szCs w:val="20"/>
        </w:rPr>
        <w:t>^ The resumption of trading is subject to the SGX-ST’s requirements of at least 15 minutes after the SGX-ST approves the request from the Issuer to resume trading on the Certificates, rounded to the next quarter of an hour.</w:t>
      </w:r>
    </w:p>
    <w:p w14:paraId="1121FAB3" w14:textId="77777777" w:rsidR="00F9456F" w:rsidRPr="00E65655" w:rsidRDefault="00F9456F" w:rsidP="008574C8">
      <w:pPr>
        <w:widowControl w:val="0"/>
        <w:spacing w:after="120"/>
        <w:jc w:val="center"/>
        <w:rPr>
          <w:rFonts w:ascii="Times New Roman" w:hAnsi="Times New Roman"/>
          <w:szCs w:val="20"/>
        </w:rPr>
      </w:pPr>
    </w:p>
    <w:p w14:paraId="67A6A086" w14:textId="77777777" w:rsidR="007D3C01" w:rsidRPr="00E65655" w:rsidRDefault="00191623" w:rsidP="007D3C01">
      <w:pPr>
        <w:spacing w:after="140" w:line="290" w:lineRule="auto"/>
        <w:rPr>
          <w:rFonts w:cs="Arial"/>
          <w:b/>
          <w:szCs w:val="20"/>
          <w:lang w:val="en-US" w:eastAsia="zh-CN"/>
        </w:rPr>
      </w:pPr>
      <w:r w:rsidRPr="00E65655">
        <w:rPr>
          <w:rFonts w:cs="Arial"/>
          <w:szCs w:val="20"/>
          <w:lang w:val="en-US" w:eastAsia="zh-CN"/>
        </w:rPr>
        <w:br w:type="page"/>
      </w:r>
      <w:r w:rsidR="007D3C01" w:rsidRPr="00E65655">
        <w:rPr>
          <w:rFonts w:cs="Arial"/>
          <w:b/>
          <w:szCs w:val="20"/>
          <w:lang w:val="en-US" w:eastAsia="zh-CN"/>
        </w:rPr>
        <w:lastRenderedPageBreak/>
        <w:t xml:space="preserve">Scenarios where the investor may lose </w:t>
      </w:r>
      <w:r w:rsidR="00C402B0" w:rsidRPr="00E65655">
        <w:rPr>
          <w:rFonts w:cs="Arial"/>
          <w:b/>
          <w:szCs w:val="20"/>
          <w:lang w:val="en-US" w:eastAsia="zh-CN"/>
        </w:rPr>
        <w:t>the</w:t>
      </w:r>
      <w:r w:rsidR="007D3C01" w:rsidRPr="00E65655">
        <w:rPr>
          <w:rFonts w:cs="Arial"/>
          <w:b/>
          <w:szCs w:val="20"/>
          <w:lang w:val="en-US" w:eastAsia="zh-CN"/>
        </w:rPr>
        <w:t xml:space="preserve"> entire</w:t>
      </w:r>
      <w:r w:rsidR="00C402B0" w:rsidRPr="00E65655">
        <w:rPr>
          <w:rFonts w:cs="Arial"/>
          <w:b/>
          <w:szCs w:val="20"/>
          <w:lang w:val="en-US" w:eastAsia="zh-CN"/>
        </w:rPr>
        <w:t xml:space="preserve"> value of </w:t>
      </w:r>
      <w:r w:rsidR="00A532A0" w:rsidRPr="00E65655">
        <w:rPr>
          <w:rFonts w:cs="Arial"/>
          <w:b/>
          <w:szCs w:val="20"/>
          <w:lang w:val="en-US" w:eastAsia="zh-CN"/>
        </w:rPr>
        <w:t>the</w:t>
      </w:r>
      <w:r w:rsidR="007D3C01" w:rsidRPr="00E65655">
        <w:rPr>
          <w:rFonts w:cs="Arial"/>
          <w:b/>
          <w:szCs w:val="20"/>
          <w:lang w:val="en-US" w:eastAsia="zh-CN"/>
        </w:rPr>
        <w:t xml:space="preserve"> investment</w:t>
      </w:r>
    </w:p>
    <w:p w14:paraId="7E6926DE" w14:textId="77777777" w:rsidR="007D3C01" w:rsidRPr="00E65655" w:rsidRDefault="007D3C01" w:rsidP="0073451A">
      <w:pPr>
        <w:keepNext/>
        <w:autoSpaceDE w:val="0"/>
        <w:autoSpaceDN w:val="0"/>
        <w:adjustRightInd w:val="0"/>
        <w:spacing w:after="140" w:line="290" w:lineRule="auto"/>
        <w:jc w:val="both"/>
        <w:rPr>
          <w:rFonts w:cs="Arial"/>
          <w:i/>
          <w:color w:val="000000"/>
          <w:szCs w:val="20"/>
        </w:rPr>
      </w:pPr>
      <w:r w:rsidRPr="00E65655">
        <w:rPr>
          <w:rFonts w:cs="Arial"/>
          <w:i/>
          <w:color w:val="000000"/>
          <w:szCs w:val="20"/>
        </w:rPr>
        <w:t xml:space="preserve">The </w:t>
      </w:r>
      <w:r w:rsidR="00C402B0" w:rsidRPr="00E65655">
        <w:rPr>
          <w:rFonts w:cs="Arial"/>
          <w:i/>
          <w:color w:val="000000"/>
          <w:szCs w:val="20"/>
        </w:rPr>
        <w:t>scenarios</w:t>
      </w:r>
      <w:r w:rsidRPr="00E65655">
        <w:rPr>
          <w:rFonts w:cs="Arial"/>
          <w:i/>
          <w:color w:val="000000"/>
          <w:szCs w:val="20"/>
        </w:rPr>
        <w:t xml:space="preserve"> </w:t>
      </w:r>
      <w:r w:rsidR="00C402B0" w:rsidRPr="00E65655">
        <w:rPr>
          <w:rFonts w:cs="Arial"/>
          <w:i/>
          <w:color w:val="000000"/>
          <w:szCs w:val="20"/>
        </w:rPr>
        <w:t xml:space="preserve">below </w:t>
      </w:r>
      <w:r w:rsidRPr="00E65655">
        <w:rPr>
          <w:rFonts w:cs="Arial"/>
          <w:i/>
          <w:color w:val="000000"/>
          <w:szCs w:val="20"/>
        </w:rPr>
        <w:t xml:space="preserve">are purely hypothetical and do not take fees and charges payable by investors into consideration. The </w:t>
      </w:r>
      <w:r w:rsidR="00C402B0" w:rsidRPr="00E65655">
        <w:rPr>
          <w:rFonts w:cs="Arial"/>
          <w:i/>
          <w:color w:val="000000"/>
          <w:szCs w:val="20"/>
        </w:rPr>
        <w:t>scenarios</w:t>
      </w:r>
      <w:r w:rsidRPr="00E65655">
        <w:rPr>
          <w:rFonts w:cs="Arial"/>
          <w:i/>
          <w:color w:val="000000"/>
          <w:szCs w:val="20"/>
        </w:rPr>
        <w:t xml:space="preserve"> highlight cases where the Certificates may lose 100% of their value</w:t>
      </w:r>
      <w:r w:rsidRPr="00E65655">
        <w:rPr>
          <w:color w:val="000000"/>
          <w:szCs w:val="20"/>
        </w:rPr>
        <w:t>.</w:t>
      </w:r>
    </w:p>
    <w:p w14:paraId="23050BF6" w14:textId="77777777" w:rsidR="007D3C01" w:rsidRPr="00E65655" w:rsidRDefault="009C4444" w:rsidP="0073451A">
      <w:pPr>
        <w:spacing w:after="140" w:line="290" w:lineRule="auto"/>
        <w:jc w:val="center"/>
        <w:rPr>
          <w:rFonts w:cs="Arial"/>
          <w:i/>
          <w:color w:val="000000"/>
          <w:szCs w:val="20"/>
          <w:u w:val="single"/>
          <w:lang w:eastAsia="zh-CN"/>
        </w:rPr>
      </w:pPr>
      <w:r w:rsidRPr="00E65655">
        <w:rPr>
          <w:rFonts w:cs="Arial"/>
          <w:i/>
          <w:color w:val="000000"/>
          <w:szCs w:val="20"/>
          <w:u w:val="single"/>
        </w:rPr>
        <w:t>Scenario 1 – Overnight rise</w:t>
      </w:r>
      <w:r w:rsidR="007D3C01" w:rsidRPr="00E65655">
        <w:rPr>
          <w:rFonts w:cs="Arial"/>
          <w:i/>
          <w:color w:val="000000"/>
          <w:szCs w:val="20"/>
          <w:u w:val="single"/>
        </w:rPr>
        <w:t xml:space="preserve"> of the </w:t>
      </w:r>
      <w:r w:rsidR="003F66C9" w:rsidRPr="00E65655">
        <w:rPr>
          <w:rFonts w:cs="Arial"/>
          <w:i/>
          <w:color w:val="000000"/>
          <w:szCs w:val="20"/>
          <w:u w:val="single"/>
        </w:rPr>
        <w:t>Underlying Stock</w:t>
      </w:r>
    </w:p>
    <w:p w14:paraId="13A892D8" w14:textId="7862BE35" w:rsidR="007D3C01" w:rsidRPr="00E65655" w:rsidRDefault="007D3C01" w:rsidP="0073451A">
      <w:pPr>
        <w:spacing w:after="140" w:line="290" w:lineRule="auto"/>
        <w:jc w:val="both"/>
        <w:rPr>
          <w:rFonts w:cs="Arial"/>
          <w:color w:val="000000"/>
          <w:szCs w:val="20"/>
        </w:rPr>
      </w:pPr>
      <w:r w:rsidRPr="00E65655">
        <w:rPr>
          <w:rFonts w:cs="Arial"/>
          <w:color w:val="000000"/>
          <w:szCs w:val="20"/>
        </w:rPr>
        <w:t xml:space="preserve">On any </w:t>
      </w:r>
      <w:r w:rsidR="00424DE2" w:rsidRPr="00E65655">
        <w:rPr>
          <w:rFonts w:cs="Arial"/>
          <w:color w:val="000000"/>
          <w:szCs w:val="20"/>
        </w:rPr>
        <w:t>Business Day</w:t>
      </w:r>
      <w:r w:rsidRPr="00E65655">
        <w:rPr>
          <w:rFonts w:cs="Arial"/>
          <w:color w:val="000000"/>
          <w:szCs w:val="20"/>
        </w:rPr>
        <w:t xml:space="preserve">, the opening </w:t>
      </w:r>
      <w:r w:rsidR="00E469B4" w:rsidRPr="00E65655">
        <w:rPr>
          <w:rFonts w:cs="Arial" w:hint="eastAsia"/>
          <w:color w:val="000000"/>
          <w:szCs w:val="20"/>
          <w:lang w:eastAsia="zh-CN"/>
        </w:rPr>
        <w:t>price</w:t>
      </w:r>
      <w:r w:rsidRPr="00E65655">
        <w:rPr>
          <w:rFonts w:cs="Arial"/>
          <w:color w:val="000000"/>
          <w:szCs w:val="20"/>
        </w:rPr>
        <w:t xml:space="preserve"> of the </w:t>
      </w:r>
      <w:r w:rsidR="003F66C9" w:rsidRPr="00E65655">
        <w:rPr>
          <w:rFonts w:cs="Arial"/>
          <w:color w:val="000000"/>
          <w:szCs w:val="20"/>
        </w:rPr>
        <w:t>Underlying Stock</w:t>
      </w:r>
      <w:r w:rsidRPr="00E65655">
        <w:rPr>
          <w:rFonts w:cs="Arial"/>
          <w:color w:val="000000"/>
          <w:szCs w:val="20"/>
        </w:rPr>
        <w:t xml:space="preserve"> may be higher or lower than </w:t>
      </w:r>
      <w:r w:rsidR="00C402B0" w:rsidRPr="00E65655">
        <w:rPr>
          <w:rFonts w:cs="Arial"/>
          <w:color w:val="000000"/>
          <w:szCs w:val="20"/>
        </w:rPr>
        <w:t>the</w:t>
      </w:r>
      <w:r w:rsidRPr="00E65655">
        <w:rPr>
          <w:rFonts w:cs="Arial"/>
          <w:color w:val="000000"/>
          <w:szCs w:val="20"/>
        </w:rPr>
        <w:t xml:space="preserve"> closing </w:t>
      </w:r>
      <w:r w:rsidR="00E469B4" w:rsidRPr="00E65655">
        <w:rPr>
          <w:rFonts w:cs="Arial" w:hint="eastAsia"/>
          <w:color w:val="000000"/>
          <w:szCs w:val="20"/>
          <w:lang w:eastAsia="zh-CN"/>
        </w:rPr>
        <w:t>price</w:t>
      </w:r>
      <w:r w:rsidR="00C402B0" w:rsidRPr="00E65655">
        <w:rPr>
          <w:rFonts w:cs="Arial"/>
          <w:color w:val="000000"/>
          <w:szCs w:val="20"/>
        </w:rPr>
        <w:t xml:space="preserve"> on</w:t>
      </w:r>
      <w:r w:rsidRPr="00E65655">
        <w:rPr>
          <w:rFonts w:cs="Arial"/>
          <w:color w:val="000000"/>
          <w:szCs w:val="20"/>
        </w:rPr>
        <w:t xml:space="preserve"> the previous </w:t>
      </w:r>
      <w:r w:rsidR="00424DE2" w:rsidRPr="00E65655">
        <w:rPr>
          <w:rFonts w:cs="Arial"/>
          <w:color w:val="000000"/>
          <w:szCs w:val="20"/>
        </w:rPr>
        <w:t xml:space="preserve">trading </w:t>
      </w:r>
      <w:r w:rsidRPr="00E65655">
        <w:rPr>
          <w:rFonts w:cs="Arial"/>
          <w:color w:val="000000"/>
          <w:szCs w:val="20"/>
        </w:rPr>
        <w:t xml:space="preserve">day. The difference between the previous closing </w:t>
      </w:r>
      <w:r w:rsidR="00E469B4" w:rsidRPr="00E65655">
        <w:rPr>
          <w:rFonts w:cs="Arial" w:hint="eastAsia"/>
          <w:color w:val="000000"/>
          <w:szCs w:val="20"/>
          <w:lang w:eastAsia="zh-CN"/>
        </w:rPr>
        <w:t>price</w:t>
      </w:r>
      <w:r w:rsidRPr="00E65655">
        <w:rPr>
          <w:rFonts w:cs="Arial"/>
          <w:color w:val="000000"/>
          <w:szCs w:val="20"/>
        </w:rPr>
        <w:t xml:space="preserve"> and the opening </w:t>
      </w:r>
      <w:r w:rsidR="00E469B4" w:rsidRPr="00E65655">
        <w:rPr>
          <w:rFonts w:cs="Arial" w:hint="eastAsia"/>
          <w:color w:val="000000"/>
          <w:szCs w:val="20"/>
          <w:lang w:eastAsia="zh-CN"/>
        </w:rPr>
        <w:t>price</w:t>
      </w:r>
      <w:r w:rsidRPr="00E65655">
        <w:rPr>
          <w:rFonts w:cs="Arial"/>
          <w:color w:val="000000"/>
          <w:szCs w:val="20"/>
        </w:rPr>
        <w:t xml:space="preserve"> of the </w:t>
      </w:r>
      <w:r w:rsidR="003F66C9" w:rsidRPr="00E65655">
        <w:rPr>
          <w:rFonts w:cs="Arial"/>
          <w:color w:val="000000"/>
          <w:szCs w:val="20"/>
        </w:rPr>
        <w:t>Underlying Stock</w:t>
      </w:r>
      <w:r w:rsidRPr="00E65655">
        <w:rPr>
          <w:rFonts w:cs="Arial"/>
          <w:color w:val="000000"/>
          <w:szCs w:val="20"/>
        </w:rPr>
        <w:t xml:space="preserve"> is </w:t>
      </w:r>
      <w:r w:rsidR="00C402B0" w:rsidRPr="00E65655">
        <w:rPr>
          <w:rFonts w:cs="Arial"/>
          <w:color w:val="000000"/>
          <w:szCs w:val="20"/>
        </w:rPr>
        <w:t>termed</w:t>
      </w:r>
      <w:r w:rsidR="00E469B4" w:rsidRPr="00E65655">
        <w:rPr>
          <w:rFonts w:cs="Arial"/>
          <w:color w:val="000000"/>
          <w:szCs w:val="20"/>
        </w:rPr>
        <w:t xml:space="preserve"> a “gap”. If the opening </w:t>
      </w:r>
      <w:r w:rsidR="00E469B4" w:rsidRPr="00E65655">
        <w:rPr>
          <w:rFonts w:cs="Arial" w:hint="eastAsia"/>
          <w:color w:val="000000"/>
          <w:szCs w:val="20"/>
          <w:lang w:eastAsia="zh-CN"/>
        </w:rPr>
        <w:t xml:space="preserve">price </w:t>
      </w:r>
      <w:r w:rsidRPr="00E65655">
        <w:rPr>
          <w:rFonts w:cs="Arial"/>
          <w:color w:val="000000"/>
          <w:szCs w:val="20"/>
        </w:rPr>
        <w:t xml:space="preserve">of the </w:t>
      </w:r>
      <w:r w:rsidR="003F66C9" w:rsidRPr="00E65655">
        <w:rPr>
          <w:rFonts w:cs="Arial"/>
          <w:color w:val="000000"/>
          <w:szCs w:val="20"/>
        </w:rPr>
        <w:t>Underlying Stock</w:t>
      </w:r>
      <w:r w:rsidRPr="00E65655">
        <w:rPr>
          <w:rFonts w:cs="Arial"/>
          <w:color w:val="000000"/>
          <w:szCs w:val="20"/>
        </w:rPr>
        <w:t xml:space="preserve"> is 20% or more </w:t>
      </w:r>
      <w:r w:rsidR="009C4444" w:rsidRPr="00E65655">
        <w:rPr>
          <w:rFonts w:cs="Arial"/>
          <w:color w:val="000000"/>
          <w:szCs w:val="20"/>
        </w:rPr>
        <w:t>above</w:t>
      </w:r>
      <w:r w:rsidRPr="00E65655">
        <w:rPr>
          <w:rFonts w:cs="Arial"/>
          <w:color w:val="000000"/>
          <w:szCs w:val="20"/>
        </w:rPr>
        <w:t xml:space="preserve"> </w:t>
      </w:r>
      <w:r w:rsidR="00C402B0" w:rsidRPr="00E65655">
        <w:rPr>
          <w:rFonts w:cs="Arial"/>
          <w:color w:val="000000"/>
          <w:szCs w:val="20"/>
        </w:rPr>
        <w:t>the</w:t>
      </w:r>
      <w:r w:rsidRPr="00E65655">
        <w:rPr>
          <w:rFonts w:cs="Arial"/>
          <w:color w:val="000000"/>
          <w:szCs w:val="20"/>
        </w:rPr>
        <w:t xml:space="preserve"> previous </w:t>
      </w:r>
      <w:r w:rsidR="00424DE2" w:rsidRPr="00E65655">
        <w:rPr>
          <w:rFonts w:cs="Arial"/>
          <w:color w:val="000000"/>
          <w:szCs w:val="20"/>
        </w:rPr>
        <w:t xml:space="preserve">trading </w:t>
      </w:r>
      <w:r w:rsidR="00C402B0" w:rsidRPr="00E65655">
        <w:rPr>
          <w:rFonts w:cs="Arial"/>
          <w:color w:val="000000"/>
          <w:szCs w:val="20"/>
        </w:rPr>
        <w:t xml:space="preserve">day </w:t>
      </w:r>
      <w:r w:rsidRPr="00E65655">
        <w:rPr>
          <w:rFonts w:cs="Arial"/>
          <w:color w:val="000000"/>
          <w:szCs w:val="20"/>
        </w:rPr>
        <w:t xml:space="preserve">closing </w:t>
      </w:r>
      <w:r w:rsidR="00E469B4" w:rsidRPr="00E65655">
        <w:rPr>
          <w:rFonts w:cs="Arial" w:hint="eastAsia"/>
          <w:color w:val="000000"/>
          <w:szCs w:val="20"/>
          <w:lang w:eastAsia="zh-CN"/>
        </w:rPr>
        <w:t>price</w:t>
      </w:r>
      <w:r w:rsidRPr="00E65655">
        <w:rPr>
          <w:rFonts w:cs="Arial"/>
          <w:color w:val="000000"/>
          <w:szCs w:val="20"/>
        </w:rPr>
        <w:t xml:space="preserve">, the Air Bag Mechanism would only </w:t>
      </w:r>
      <w:r w:rsidR="00C402B0" w:rsidRPr="00E65655">
        <w:rPr>
          <w:rFonts w:cs="Arial"/>
          <w:color w:val="000000"/>
          <w:szCs w:val="20"/>
        </w:rPr>
        <w:t xml:space="preserve">be </w:t>
      </w:r>
      <w:r w:rsidRPr="00E65655">
        <w:rPr>
          <w:rFonts w:cs="Arial"/>
          <w:color w:val="000000"/>
          <w:szCs w:val="20"/>
        </w:rPr>
        <w:t>trigger</w:t>
      </w:r>
      <w:r w:rsidR="00C402B0" w:rsidRPr="00E65655">
        <w:rPr>
          <w:rFonts w:cs="Arial"/>
          <w:color w:val="000000"/>
          <w:szCs w:val="20"/>
        </w:rPr>
        <w:t>ed</w:t>
      </w:r>
      <w:r w:rsidRPr="00E65655">
        <w:rPr>
          <w:rFonts w:cs="Arial"/>
          <w:color w:val="000000"/>
          <w:szCs w:val="20"/>
        </w:rPr>
        <w:t xml:space="preserve"> when</w:t>
      </w:r>
      <w:r w:rsidR="00C402B0" w:rsidRPr="00E65655">
        <w:rPr>
          <w:rFonts w:cs="Arial"/>
          <w:color w:val="000000"/>
          <w:szCs w:val="20"/>
        </w:rPr>
        <w:t xml:space="preserve"> the</w:t>
      </w:r>
      <w:r w:rsidRPr="00E65655">
        <w:rPr>
          <w:rFonts w:cs="Arial"/>
          <w:color w:val="000000"/>
          <w:szCs w:val="20"/>
        </w:rPr>
        <w:t xml:space="preserve"> market opens</w:t>
      </w:r>
      <w:r w:rsidR="00C402B0" w:rsidRPr="00E65655">
        <w:rPr>
          <w:rFonts w:cs="Arial"/>
          <w:color w:val="000000"/>
          <w:szCs w:val="20"/>
        </w:rPr>
        <w:t xml:space="preserve"> </w:t>
      </w:r>
      <w:r w:rsidR="00766953" w:rsidRPr="00E65655">
        <w:rPr>
          <w:rFonts w:cs="Arial"/>
          <w:color w:val="000000"/>
          <w:szCs w:val="20"/>
        </w:rPr>
        <w:t>(including pre-opening session</w:t>
      </w:r>
      <w:r w:rsidR="007B6BDF" w:rsidRPr="00E65655">
        <w:rPr>
          <w:rFonts w:cs="Arial"/>
          <w:color w:val="000000"/>
          <w:szCs w:val="20"/>
        </w:rPr>
        <w:t xml:space="preserve"> or opening auction, as the case may be</w:t>
      </w:r>
      <w:r w:rsidR="00766953" w:rsidRPr="00E65655">
        <w:rPr>
          <w:rFonts w:cs="Arial"/>
          <w:color w:val="000000"/>
          <w:szCs w:val="20"/>
        </w:rPr>
        <w:t xml:space="preserve">) </w:t>
      </w:r>
      <w:r w:rsidR="00C402B0" w:rsidRPr="00E65655">
        <w:rPr>
          <w:rFonts w:cs="Arial"/>
          <w:color w:val="000000"/>
          <w:szCs w:val="20"/>
        </w:rPr>
        <w:t xml:space="preserve">the following </w:t>
      </w:r>
      <w:r w:rsidR="00424DE2" w:rsidRPr="00E65655">
        <w:rPr>
          <w:rFonts w:cs="Arial"/>
          <w:color w:val="000000"/>
          <w:szCs w:val="20"/>
        </w:rPr>
        <w:t xml:space="preserve">trading </w:t>
      </w:r>
      <w:r w:rsidR="00C402B0" w:rsidRPr="00E65655">
        <w:rPr>
          <w:rFonts w:cs="Arial"/>
          <w:color w:val="000000"/>
          <w:szCs w:val="20"/>
        </w:rPr>
        <w:t>day</w:t>
      </w:r>
      <w:r w:rsidRPr="00E65655">
        <w:rPr>
          <w:rFonts w:cs="Arial"/>
          <w:color w:val="000000"/>
          <w:szCs w:val="20"/>
        </w:rPr>
        <w:t xml:space="preserve">, and the </w:t>
      </w:r>
      <w:r w:rsidR="005F719B" w:rsidRPr="00E65655">
        <w:rPr>
          <w:rFonts w:cs="Arial"/>
          <w:color w:val="000000"/>
          <w:szCs w:val="20"/>
        </w:rPr>
        <w:t>C</w:t>
      </w:r>
      <w:r w:rsidRPr="00E65655">
        <w:rPr>
          <w:rFonts w:cs="Arial"/>
          <w:color w:val="000000"/>
          <w:szCs w:val="20"/>
        </w:rPr>
        <w:t xml:space="preserve">ertificates would </w:t>
      </w:r>
      <w:r w:rsidR="00120AAC" w:rsidRPr="00E65655">
        <w:rPr>
          <w:rFonts w:cs="Arial"/>
          <w:color w:val="000000"/>
          <w:szCs w:val="20"/>
        </w:rPr>
        <w:t>lose</w:t>
      </w:r>
      <w:r w:rsidR="00C402B0" w:rsidRPr="00E65655">
        <w:rPr>
          <w:rFonts w:cs="Arial"/>
          <w:color w:val="000000"/>
          <w:szCs w:val="20"/>
        </w:rPr>
        <w:t xml:space="preserve"> their entire value</w:t>
      </w:r>
      <w:r w:rsidR="00A532A0" w:rsidRPr="00E65655">
        <w:rPr>
          <w:rFonts w:cs="Arial"/>
          <w:color w:val="000000"/>
          <w:szCs w:val="20"/>
        </w:rPr>
        <w:t xml:space="preserve"> in such event</w:t>
      </w:r>
      <w:r w:rsidRPr="00E65655">
        <w:rPr>
          <w:rFonts w:cs="Arial"/>
          <w:color w:val="000000"/>
          <w:szCs w:val="20"/>
        </w:rPr>
        <w:t>.</w:t>
      </w:r>
    </w:p>
    <w:p w14:paraId="45161DF8" w14:textId="77777777" w:rsidR="007D3C01" w:rsidRPr="00E65655" w:rsidRDefault="00267BB2" w:rsidP="007D3C01">
      <w:pPr>
        <w:spacing w:after="120"/>
        <w:rPr>
          <w:rFonts w:cs="Arial"/>
          <w:i/>
          <w:color w:val="000000"/>
          <w:szCs w:val="20"/>
          <w:u w:val="single"/>
        </w:rPr>
      </w:pPr>
      <w:r w:rsidRPr="00E65655">
        <w:rPr>
          <w:noProof/>
          <w:lang w:val="en-US"/>
        </w:rPr>
        <w:t xml:space="preserve"> </w:t>
      </w:r>
      <w:r w:rsidR="00920146" w:rsidRPr="00E65655">
        <w:rPr>
          <w:noProof/>
          <w:lang w:eastAsia="zh-CN"/>
        </w:rPr>
        <w:drawing>
          <wp:inline distT="0" distB="0" distL="0" distR="0" wp14:anchorId="5ABEFFA8" wp14:editId="6C62A7FF">
            <wp:extent cx="5669280" cy="3309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280" cy="3309036"/>
                    </a:xfrm>
                    <a:prstGeom prst="rect">
                      <a:avLst/>
                    </a:prstGeom>
                    <a:noFill/>
                  </pic:spPr>
                </pic:pic>
              </a:graphicData>
            </a:graphic>
          </wp:inline>
        </w:drawing>
      </w:r>
    </w:p>
    <w:p w14:paraId="7C888117" w14:textId="77777777" w:rsidR="007D3C01" w:rsidRPr="00E65655" w:rsidRDefault="00176EC3" w:rsidP="00896164">
      <w:pPr>
        <w:spacing w:after="140" w:line="290" w:lineRule="auto"/>
        <w:jc w:val="center"/>
        <w:rPr>
          <w:b/>
        </w:rPr>
      </w:pPr>
      <w:r w:rsidRPr="00E65655">
        <w:rPr>
          <w:noProof/>
          <w:lang w:eastAsia="zh-CN"/>
        </w:rPr>
        <w:drawing>
          <wp:inline distT="0" distB="0" distL="0" distR="0" wp14:anchorId="1FD3C4EB" wp14:editId="1A3638C6">
            <wp:extent cx="5733415" cy="3245014"/>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733415" cy="3245014"/>
                    </a:xfrm>
                    <a:prstGeom prst="rect">
                      <a:avLst/>
                    </a:prstGeom>
                    <a:noFill/>
                    <a:ln w="9525">
                      <a:noFill/>
                      <a:miter lim="800000"/>
                      <a:headEnd/>
                      <a:tailEnd/>
                    </a:ln>
                  </pic:spPr>
                </pic:pic>
              </a:graphicData>
            </a:graphic>
          </wp:inline>
        </w:drawing>
      </w:r>
    </w:p>
    <w:p w14:paraId="1BCD52EF" w14:textId="77777777" w:rsidR="007D3C01" w:rsidRPr="00E65655" w:rsidRDefault="007D3C01" w:rsidP="0073451A">
      <w:pPr>
        <w:spacing w:after="140" w:line="290" w:lineRule="auto"/>
        <w:jc w:val="center"/>
        <w:rPr>
          <w:rFonts w:cs="Arial"/>
          <w:i/>
          <w:color w:val="000000"/>
          <w:szCs w:val="20"/>
          <w:u w:val="single"/>
          <w:lang w:eastAsia="zh-CN"/>
        </w:rPr>
      </w:pPr>
      <w:r w:rsidRPr="00E65655">
        <w:rPr>
          <w:b/>
        </w:rPr>
        <w:br w:type="page"/>
      </w:r>
      <w:r w:rsidR="009C4444" w:rsidRPr="00E65655">
        <w:rPr>
          <w:rFonts w:cs="Arial"/>
          <w:i/>
          <w:color w:val="000000"/>
          <w:szCs w:val="20"/>
          <w:u w:val="single"/>
        </w:rPr>
        <w:lastRenderedPageBreak/>
        <w:t>Scenario 2 – Sharp intraday rise</w:t>
      </w:r>
      <w:r w:rsidRPr="00E65655">
        <w:rPr>
          <w:rFonts w:cs="Arial"/>
          <w:i/>
          <w:color w:val="000000"/>
          <w:szCs w:val="20"/>
          <w:u w:val="single"/>
        </w:rPr>
        <w:t xml:space="preserve"> of the </w:t>
      </w:r>
      <w:r w:rsidR="003F66C9" w:rsidRPr="00E65655">
        <w:rPr>
          <w:rFonts w:cs="Arial"/>
          <w:i/>
          <w:color w:val="000000"/>
          <w:szCs w:val="20"/>
          <w:u w:val="single"/>
        </w:rPr>
        <w:t>Underlying Stock</w:t>
      </w:r>
    </w:p>
    <w:p w14:paraId="62C8535E" w14:textId="77777777" w:rsidR="00BA2020" w:rsidRPr="00E65655" w:rsidRDefault="00BA2020" w:rsidP="00BA2020">
      <w:pPr>
        <w:spacing w:after="140" w:line="290" w:lineRule="auto"/>
        <w:jc w:val="both"/>
        <w:rPr>
          <w:rFonts w:cs="Arial"/>
          <w:color w:val="000000"/>
          <w:szCs w:val="20"/>
        </w:rPr>
      </w:pPr>
      <w:r w:rsidRPr="00E65655">
        <w:rPr>
          <w:rFonts w:cs="Arial"/>
          <w:color w:val="000000"/>
          <w:szCs w:val="20"/>
        </w:rPr>
        <w:t xml:space="preserve">Although the Air Bag Mechanism is designed to reduce the exposure to the Underlying Stock during extreme market conditions, the Certificate can lose 100% of its value in the event the </w:t>
      </w:r>
      <w:r w:rsidRPr="00E65655">
        <w:rPr>
          <w:rFonts w:cs="Arial" w:hint="eastAsia"/>
          <w:color w:val="000000"/>
          <w:szCs w:val="20"/>
          <w:lang w:eastAsia="zh-CN"/>
        </w:rPr>
        <w:t>price</w:t>
      </w:r>
      <w:r w:rsidRPr="00E65655">
        <w:rPr>
          <w:rFonts w:cs="Arial"/>
          <w:color w:val="000000"/>
          <w:szCs w:val="20"/>
        </w:rPr>
        <w:t xml:space="preserve"> of the Underlying Stock rises by 20% or more</w:t>
      </w:r>
      <w:r w:rsidRPr="00E65655">
        <w:t xml:space="preserve"> within the 15 minutes Observation Period compared to the reference price, being: (i) if air bag has not been previously triggered on the same day, the previous closing price of the Underlying Stock, or (ii) if one or more air bag have been previously triggered on the same day, the latest New Observed Price</w:t>
      </w:r>
      <w:r w:rsidRPr="00E65655">
        <w:rPr>
          <w:rFonts w:cs="Arial"/>
          <w:color w:val="000000"/>
          <w:szCs w:val="20"/>
        </w:rPr>
        <w:t>. The Certificates would lose their entire value in such event.</w:t>
      </w:r>
    </w:p>
    <w:p w14:paraId="46D6343B" w14:textId="77777777" w:rsidR="00A541F1" w:rsidRPr="00E65655" w:rsidRDefault="00A541F1" w:rsidP="007D3C01">
      <w:pPr>
        <w:spacing w:after="120"/>
        <w:jc w:val="center"/>
        <w:rPr>
          <w:rFonts w:cs="Arial"/>
          <w:color w:val="000000"/>
          <w:szCs w:val="20"/>
          <w:u w:val="single"/>
        </w:rPr>
      </w:pPr>
    </w:p>
    <w:p w14:paraId="229E9A85" w14:textId="50EE49A8" w:rsidR="00B4039B" w:rsidRPr="00E65655" w:rsidRDefault="000111D3" w:rsidP="00B4039B">
      <w:pPr>
        <w:spacing w:after="140" w:line="290" w:lineRule="auto"/>
        <w:rPr>
          <w:rFonts w:cs="Arial"/>
          <w:b/>
          <w:szCs w:val="20"/>
        </w:rPr>
      </w:pPr>
      <w:r w:rsidRPr="00E65655">
        <w:rPr>
          <w:noProof/>
        </w:rPr>
        <w:drawing>
          <wp:inline distT="0" distB="0" distL="0" distR="0" wp14:anchorId="608C9B25" wp14:editId="0834A681">
            <wp:extent cx="5733415" cy="3300730"/>
            <wp:effectExtent l="0" t="0" r="635" b="0"/>
            <wp:docPr id="831062957" name="Picture 3" descr="A diagram of a business strateg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62957" name="Picture 3" descr="A diagram of a business strategy&#10;&#10;Description automatically generated with medium confidence"/>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733415" cy="3300730"/>
                    </a:xfrm>
                    <a:prstGeom prst="rect">
                      <a:avLst/>
                    </a:prstGeom>
                    <a:noFill/>
                    <a:ln>
                      <a:noFill/>
                    </a:ln>
                  </pic:spPr>
                </pic:pic>
              </a:graphicData>
            </a:graphic>
          </wp:inline>
        </w:drawing>
      </w:r>
      <w:r w:rsidR="000250FC" w:rsidRPr="00E65655">
        <w:t xml:space="preserve"> </w:t>
      </w:r>
      <w:r w:rsidR="007D3C01" w:rsidRPr="00E65655">
        <w:br w:type="page"/>
      </w:r>
      <w:r w:rsidR="00751FCD" w:rsidRPr="00E65655">
        <w:rPr>
          <w:rFonts w:cs="Arial"/>
          <w:b/>
          <w:szCs w:val="20"/>
        </w:rPr>
        <w:lastRenderedPageBreak/>
        <w:t>E</w:t>
      </w:r>
      <w:r w:rsidR="00396D87" w:rsidRPr="00E65655">
        <w:rPr>
          <w:rFonts w:cs="Arial"/>
          <w:b/>
          <w:szCs w:val="20"/>
        </w:rPr>
        <w:t xml:space="preserve">xamples </w:t>
      </w:r>
      <w:r w:rsidR="00751FCD" w:rsidRPr="00E65655">
        <w:rPr>
          <w:rFonts w:cs="Arial"/>
          <w:b/>
          <w:szCs w:val="20"/>
        </w:rPr>
        <w:t xml:space="preserve">and illustrations </w:t>
      </w:r>
      <w:r w:rsidR="00396D87" w:rsidRPr="00E65655">
        <w:rPr>
          <w:rFonts w:cs="Arial"/>
          <w:b/>
          <w:szCs w:val="20"/>
        </w:rPr>
        <w:t>of adjustment</w:t>
      </w:r>
      <w:r w:rsidR="00751FCD" w:rsidRPr="00E65655">
        <w:rPr>
          <w:rFonts w:cs="Arial"/>
          <w:b/>
          <w:szCs w:val="20"/>
        </w:rPr>
        <w:t>s</w:t>
      </w:r>
      <w:r w:rsidR="00396D87" w:rsidRPr="00E65655">
        <w:rPr>
          <w:rFonts w:cs="Arial"/>
          <w:b/>
          <w:szCs w:val="20"/>
        </w:rPr>
        <w:t xml:space="preserve"> due to</w:t>
      </w:r>
      <w:r w:rsidR="00B4039B" w:rsidRPr="00E65655">
        <w:rPr>
          <w:rFonts w:cs="Arial"/>
          <w:b/>
          <w:szCs w:val="20"/>
        </w:rPr>
        <w:t xml:space="preserve"> </w:t>
      </w:r>
      <w:r w:rsidR="00396D87" w:rsidRPr="00E65655">
        <w:rPr>
          <w:rFonts w:cs="Arial"/>
          <w:b/>
          <w:szCs w:val="20"/>
        </w:rPr>
        <w:t xml:space="preserve">certain </w:t>
      </w:r>
      <w:r w:rsidR="00B4039B" w:rsidRPr="00E65655">
        <w:rPr>
          <w:rFonts w:cs="Arial"/>
          <w:b/>
          <w:szCs w:val="20"/>
        </w:rPr>
        <w:t>corporate actions</w:t>
      </w:r>
    </w:p>
    <w:p w14:paraId="399AA70D" w14:textId="77777777" w:rsidR="00920146" w:rsidRPr="00E65655" w:rsidRDefault="00920146" w:rsidP="00920146">
      <w:pPr>
        <w:spacing w:after="140" w:line="290" w:lineRule="auto"/>
        <w:jc w:val="both"/>
        <w:rPr>
          <w:color w:val="000000"/>
          <w:szCs w:val="20"/>
        </w:rPr>
      </w:pPr>
      <w:r w:rsidRPr="00E65655">
        <w:rPr>
          <w:rFonts w:cs="Arial"/>
          <w:i/>
          <w:color w:val="000000"/>
          <w:szCs w:val="20"/>
        </w:rPr>
        <w:t xml:space="preserve">The examples are purely hypothetical and do not take fees and charges payable by investors into consideration. The examples highlight the effect of corporate actions on the value of the Certificates and do not </w:t>
      </w:r>
      <w:proofErr w:type="gramStart"/>
      <w:r w:rsidRPr="00E65655">
        <w:rPr>
          <w:rFonts w:cs="Arial"/>
          <w:i/>
          <w:color w:val="000000"/>
          <w:szCs w:val="20"/>
        </w:rPr>
        <w:t>take into account</w:t>
      </w:r>
      <w:proofErr w:type="gramEnd"/>
      <w:r w:rsidRPr="00E65655">
        <w:rPr>
          <w:rFonts w:cs="Arial"/>
          <w:i/>
          <w:color w:val="000000"/>
          <w:szCs w:val="20"/>
        </w:rPr>
        <w:t xml:space="preserve"> the possible influence of fees, exchange rates, or any other market parameters</w:t>
      </w:r>
      <w:r w:rsidRPr="00E65655">
        <w:rPr>
          <w:color w:val="000000"/>
          <w:szCs w:val="20"/>
        </w:rPr>
        <w:t>.</w:t>
      </w:r>
    </w:p>
    <w:p w14:paraId="1F74C42A" w14:textId="77777777" w:rsidR="00920146" w:rsidRPr="00E65655" w:rsidRDefault="00920146" w:rsidP="00920146">
      <w:pPr>
        <w:spacing w:after="140" w:line="290" w:lineRule="auto"/>
        <w:jc w:val="both"/>
        <w:rPr>
          <w:rFonts w:cs="Arial"/>
          <w:szCs w:val="20"/>
        </w:rPr>
      </w:pPr>
      <w:r w:rsidRPr="00E65655">
        <w:rPr>
          <w:rFonts w:cs="Arial"/>
          <w:szCs w:val="20"/>
        </w:rPr>
        <w:t>In the case of any corporate action on the Underlying Stock, the Calculation Agent will, as soon as reasonably practical after it becomes aware of such event, determine whether such corporate action has a dilutive or concentrative effect on the theoretical value of the Underlying Stock, and if so, will (a) calculate the corresponding adjustment, if any, to be made to the elements relating to the Underlying Stock which are used to determine any settlement or payment terms under the Certificates and/or adjust at its discretion any other terms of the Certificates as it determines appropriate to preserve the economic equivalent of the obligations of the Issuer under the Certificates and (b) determine the effective date of such adjustment.</w:t>
      </w:r>
    </w:p>
    <w:p w14:paraId="5D963AD3" w14:textId="77777777" w:rsidR="00920146" w:rsidRPr="00E65655" w:rsidRDefault="00920146" w:rsidP="00920146">
      <w:pPr>
        <w:spacing w:after="140" w:line="290" w:lineRule="auto"/>
        <w:jc w:val="both"/>
        <w:rPr>
          <w:rFonts w:eastAsiaTheme="minorEastAsia" w:cs="Arial"/>
          <w:bCs/>
          <w:szCs w:val="20"/>
          <w:lang w:eastAsia="it-IT"/>
        </w:rPr>
      </w:pPr>
      <w:r w:rsidRPr="00E65655">
        <w:rPr>
          <w:rFonts w:cs="Arial"/>
          <w:bCs/>
          <w:szCs w:val="20"/>
          <w:lang w:eastAsia="it-IT"/>
        </w:rPr>
        <w:t xml:space="preserve">Notwithstanding the foregoing, in the event Observation Date (t) is an ex-date with respect to a corporate action related to the Underlying Stock, the Calculation Agent may, in its sole and absolute discretion, replace the </w:t>
      </w:r>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w:r w:rsidRPr="00E65655">
        <w:rPr>
          <w:rFonts w:eastAsiaTheme="minorEastAsia" w:cs="Arial"/>
          <w:bCs/>
          <w:szCs w:val="20"/>
          <w:lang w:eastAsia="it-IT"/>
        </w:rPr>
        <w:t xml:space="preserve"> with respect to such Observation Date (t) by an amount computed according to the following generic formula :</w:t>
      </w:r>
    </w:p>
    <w:p w14:paraId="675B9A00" w14:textId="77777777" w:rsidR="00920146" w:rsidRPr="00E65655" w:rsidRDefault="00187794" w:rsidP="00920146">
      <w:pPr>
        <w:pStyle w:val="ListParagraph"/>
        <w:spacing w:after="140" w:line="290" w:lineRule="auto"/>
        <w:ind w:left="43"/>
        <w:rPr>
          <w:rFonts w:cs="Arial"/>
          <w:bCs/>
          <w:szCs w:val="20"/>
          <w:lang w:eastAsia="it-IT"/>
        </w:rPr>
      </w:pPr>
      <m:oMathPara>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r>
            <w:rPr>
              <w:rFonts w:ascii="Cambria Math" w:hAnsi="Cambria Math" w:cs="Arial"/>
              <w:szCs w:val="20"/>
              <w:lang w:eastAsia="it-IT"/>
            </w:rPr>
            <m:t>=</m:t>
          </m:r>
          <m:d>
            <m:dPr>
              <m:begChr m:val="["/>
              <m:endChr m:val="]"/>
              <m:ctrlPr>
                <w:rPr>
                  <w:rFonts w:ascii="Cambria Math" w:hAnsi="Cambria Math" w:cs="Arial"/>
                  <w:bCs/>
                  <w:i/>
                  <w:szCs w:val="20"/>
                  <w:lang w:eastAsia="it-IT"/>
                </w:rPr>
              </m:ctrlPr>
            </m:dPr>
            <m:e>
              <m:r>
                <w:rPr>
                  <w:rFonts w:ascii="Cambria Math" w:hAnsi="Cambria Math" w:cs="Arial"/>
                  <w:szCs w:val="20"/>
                  <w:lang w:eastAsia="it-IT"/>
                </w:rPr>
                <m:t>1-</m:t>
              </m:r>
              <m:f>
                <m:fPr>
                  <m:ctrlPr>
                    <w:rPr>
                      <w:rFonts w:ascii="Cambria Math" w:hAnsi="Cambria Math" w:cs="Arial"/>
                      <w:bCs/>
                      <w:i/>
                      <w:szCs w:val="20"/>
                      <w:lang w:eastAsia="it-IT"/>
                    </w:rPr>
                  </m:ctrlPr>
                </m:fPr>
                <m:num>
                  <m:sSub>
                    <m:sSubPr>
                      <m:ctrlPr>
                        <w:rPr>
                          <w:rFonts w:ascii="Cambria Math" w:hAnsi="Cambria Math" w:cs="Arial"/>
                          <w:bCs/>
                          <w:i/>
                          <w:szCs w:val="20"/>
                          <w:lang w:eastAsia="it-IT"/>
                        </w:rPr>
                      </m:ctrlPr>
                    </m:sSubPr>
                    <m:e>
                      <m:r>
                        <w:rPr>
                          <w:rFonts w:ascii="Cambria Math" w:hAnsi="Cambria Math" w:cs="Arial"/>
                          <w:szCs w:val="20"/>
                          <w:lang w:eastAsia="it-IT"/>
                        </w:rPr>
                        <m:t>Div</m:t>
                      </m:r>
                    </m:e>
                    <m:sub>
                      <m:r>
                        <w:rPr>
                          <w:rFonts w:ascii="Cambria Math" w:hAnsi="Cambria Math" w:cs="Arial"/>
                          <w:szCs w:val="20"/>
                          <w:lang w:eastAsia="it-IT"/>
                        </w:rPr>
                        <m:t>t</m:t>
                      </m:r>
                    </m:sub>
                  </m:sSub>
                  <m:r>
                    <w:rPr>
                      <w:rFonts w:ascii="Cambria Math" w:hAnsi="Cambria Math" w:cs="Arial"/>
                      <w:szCs w:val="20"/>
                      <w:lang w:eastAsia="it-IT"/>
                    </w:rPr>
                    <m:t>+</m:t>
                  </m:r>
                  <m:sSub>
                    <m:sSubPr>
                      <m:ctrlPr>
                        <w:rPr>
                          <w:rFonts w:ascii="Cambria Math" w:hAnsi="Cambria Math" w:cs="Arial"/>
                          <w:bCs/>
                          <w:i/>
                          <w:szCs w:val="20"/>
                          <w:lang w:eastAsia="it-IT"/>
                        </w:rPr>
                      </m:ctrlPr>
                    </m:sSubPr>
                    <m:e>
                      <m:r>
                        <w:rPr>
                          <w:rFonts w:ascii="Cambria Math" w:hAnsi="Cambria Math" w:cs="Arial"/>
                          <w:szCs w:val="20"/>
                          <w:lang w:eastAsia="it-IT"/>
                        </w:rPr>
                        <m:t>DivExc</m:t>
                      </m:r>
                    </m:e>
                    <m:sub>
                      <m:r>
                        <w:rPr>
                          <w:rFonts w:ascii="Cambria Math" w:hAnsi="Cambria Math" w:cs="Arial"/>
                          <w:szCs w:val="20"/>
                          <w:lang w:eastAsia="it-IT"/>
                        </w:rPr>
                        <m:t>t</m:t>
                      </m:r>
                    </m:sub>
                  </m:sSub>
                  <m:r>
                    <w:rPr>
                      <w:rFonts w:ascii="Cambria Math" w:hAnsi="Cambria Math" w:cs="Arial"/>
                      <w:szCs w:val="20"/>
                      <w:lang w:eastAsia="it-IT"/>
                    </w:rPr>
                    <m:t>-</m:t>
                  </m:r>
                  <m:r>
                    <w:rPr>
                      <w:rFonts w:ascii="Cambria Math" w:hAnsi="Cambria Math" w:cs="Arial"/>
                      <w:szCs w:val="20"/>
                      <w:lang w:eastAsia="it-IT"/>
                    </w:rPr>
                    <m:t>M</m:t>
                  </m:r>
                  <m:r>
                    <w:rPr>
                      <w:rFonts w:ascii="Cambria Math" w:hAnsi="Cambria Math" w:cs="Arial"/>
                      <w:szCs w:val="20"/>
                      <w:lang w:eastAsia="it-IT"/>
                    </w:rPr>
                    <m:t>×</m:t>
                  </m:r>
                  <m:r>
                    <w:rPr>
                      <w:rFonts w:ascii="Cambria Math" w:hAnsi="Cambria Math" w:cs="Arial"/>
                      <w:szCs w:val="20"/>
                      <w:lang w:eastAsia="it-IT"/>
                    </w:rPr>
                    <m:t>R</m:t>
                  </m:r>
                </m:num>
                <m:den>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den>
              </m:f>
            </m:e>
          </m:d>
          <m:r>
            <w:rPr>
              <w:rFonts w:ascii="Cambria Math" w:hAnsi="Cambria Math" w:cs="Arial"/>
              <w:szCs w:val="20"/>
              <w:lang w:eastAsia="it-IT"/>
            </w:rPr>
            <m:t>×</m:t>
          </m:r>
          <m:f>
            <m:fPr>
              <m:ctrlPr>
                <w:rPr>
                  <w:rFonts w:ascii="Cambria Math" w:hAnsi="Cambria Math" w:cs="Arial"/>
                  <w:bCs/>
                  <w:i/>
                  <w:szCs w:val="20"/>
                  <w:lang w:eastAsia="it-IT"/>
                </w:rPr>
              </m:ctrlPr>
            </m:fPr>
            <m:num>
              <m:r>
                <w:rPr>
                  <w:rFonts w:ascii="Cambria Math" w:hAnsi="Cambria Math" w:cs="Arial"/>
                  <w:szCs w:val="20"/>
                  <w:lang w:eastAsia="it-IT"/>
                </w:rPr>
                <m:t>1</m:t>
              </m:r>
            </m:num>
            <m:den>
              <m:r>
                <w:rPr>
                  <w:rFonts w:ascii="Cambria Math" w:hAnsi="Cambria Math" w:cs="Arial"/>
                  <w:szCs w:val="20"/>
                  <w:lang w:eastAsia="it-IT"/>
                </w:rPr>
                <m:t>1+</m:t>
              </m:r>
              <m:r>
                <w:rPr>
                  <w:rFonts w:ascii="Cambria Math" w:hAnsi="Cambria Math" w:cs="Arial"/>
                  <w:szCs w:val="20"/>
                  <w:lang w:eastAsia="it-IT"/>
                </w:rPr>
                <m:t>M</m:t>
              </m:r>
            </m:den>
          </m:f>
        </m:oMath>
      </m:oMathPara>
    </w:p>
    <w:p w14:paraId="402FDAAD" w14:textId="77777777" w:rsidR="00920146" w:rsidRPr="00E65655" w:rsidRDefault="00920146" w:rsidP="00920146">
      <w:pPr>
        <w:pStyle w:val="ListParagraph"/>
        <w:spacing w:after="140" w:line="290" w:lineRule="auto"/>
        <w:ind w:left="48" w:hanging="4"/>
        <w:jc w:val="both"/>
        <w:rPr>
          <w:rFonts w:cs="Arial"/>
          <w:bCs/>
          <w:i/>
          <w:szCs w:val="20"/>
          <w:lang w:eastAsia="it-IT"/>
        </w:rPr>
      </w:pPr>
      <w:r w:rsidRPr="00E65655">
        <w:rPr>
          <w:rFonts w:cs="Arial"/>
          <w:bCs/>
          <w:szCs w:val="20"/>
          <w:lang w:eastAsia="it-IT"/>
        </w:rPr>
        <w:t xml:space="preserve">This formula is provided for indicative </w:t>
      </w:r>
      <w:proofErr w:type="gramStart"/>
      <w:r w:rsidRPr="00E65655">
        <w:rPr>
          <w:rFonts w:cs="Arial"/>
          <w:bCs/>
          <w:szCs w:val="20"/>
          <w:lang w:eastAsia="it-IT"/>
        </w:rPr>
        <w:t>purposes</w:t>
      </w:r>
      <w:proofErr w:type="gramEnd"/>
      <w:r w:rsidRPr="00E65655">
        <w:rPr>
          <w:rFonts w:cs="Arial"/>
          <w:bCs/>
          <w:szCs w:val="20"/>
          <w:lang w:eastAsia="it-IT"/>
        </w:rPr>
        <w:t xml:space="preserve"> and the Calculation Agent may determine that this formula is not appropriate for certain corporate actions and may apply a different formula instead. </w:t>
      </w:r>
    </w:p>
    <w:p w14:paraId="06E4EF2D" w14:textId="05BD8D37" w:rsidR="00920146" w:rsidRPr="00E65655" w:rsidRDefault="00920146" w:rsidP="00920146">
      <w:pPr>
        <w:spacing w:after="140" w:line="290" w:lineRule="auto"/>
        <w:jc w:val="both"/>
        <w:rPr>
          <w:rFonts w:cs="Arial"/>
          <w:szCs w:val="20"/>
        </w:rPr>
      </w:pPr>
      <w:r w:rsidRPr="00E65655">
        <w:rPr>
          <w:rFonts w:cs="Arial"/>
          <w:szCs w:val="20"/>
        </w:rPr>
        <w:t xml:space="preserve">Such adjustment of </w:t>
      </w:r>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w:r w:rsidRPr="00E65655">
        <w:rPr>
          <w:rFonts w:eastAsiaTheme="minorEastAsia" w:cs="Arial"/>
          <w:bCs/>
          <w:szCs w:val="20"/>
          <w:lang w:eastAsia="it-IT"/>
        </w:rPr>
        <w:t xml:space="preserve"> </w:t>
      </w:r>
      <w:r w:rsidRPr="00E65655">
        <w:rPr>
          <w:rFonts w:cs="Arial"/>
          <w:szCs w:val="20"/>
        </w:rPr>
        <w:t xml:space="preserve">would affect the Leveraged Return, the Rebalancing Cost, and the Underlying Reference Price used to determine the Intraday Restrike Event. The Air Bag </w:t>
      </w:r>
      <w:r w:rsidR="00424DE2" w:rsidRPr="00E65655">
        <w:rPr>
          <w:rFonts w:cs="Arial"/>
          <w:szCs w:val="20"/>
        </w:rPr>
        <w:t>M</w:t>
      </w:r>
      <w:r w:rsidRPr="00E65655">
        <w:rPr>
          <w:rFonts w:cs="Arial"/>
          <w:szCs w:val="20"/>
        </w:rPr>
        <w:t>echanism would not be triggered if the stock price rises by 15% exclusively because of the dilutive effect of a corporate action.</w:t>
      </w:r>
    </w:p>
    <w:p w14:paraId="17B83A09" w14:textId="77777777" w:rsidR="00920146" w:rsidRPr="00E65655" w:rsidRDefault="00920146" w:rsidP="00920146">
      <w:pPr>
        <w:spacing w:after="140" w:line="290" w:lineRule="auto"/>
        <w:rPr>
          <w:rFonts w:cs="Arial"/>
          <w:bCs/>
          <w:szCs w:val="20"/>
          <w:lang w:eastAsia="it-IT"/>
        </w:rPr>
      </w:pPr>
      <w:r w:rsidRPr="00E65655">
        <w:rPr>
          <w:rFonts w:cs="Arial"/>
          <w:bCs/>
          <w:szCs w:val="20"/>
          <w:lang w:eastAsia="it-IT"/>
        </w:rPr>
        <w:t>Where:</w:t>
      </w:r>
    </w:p>
    <w:p w14:paraId="119736F3" w14:textId="77777777" w:rsidR="00920146" w:rsidRPr="00E65655" w:rsidRDefault="00187794" w:rsidP="00920146">
      <w:pPr>
        <w:pStyle w:val="ListParagraph"/>
        <w:spacing w:after="140" w:line="290" w:lineRule="auto"/>
        <w:ind w:left="0"/>
        <w:jc w:val="both"/>
        <w:rPr>
          <w:rFonts w:cs="Arial"/>
          <w:bCs/>
          <w:szCs w:val="20"/>
          <w:lang w:eastAsia="it-IT"/>
        </w:rPr>
      </w:pPr>
      <m:oMath>
        <m:sSub>
          <m:sSubPr>
            <m:ctrlPr>
              <w:rPr>
                <w:rFonts w:ascii="Cambria Math" w:hAnsi="Cambria Math" w:cs="Arial"/>
                <w:bCs/>
                <w:szCs w:val="20"/>
                <w:lang w:eastAsia="it-IT"/>
              </w:rPr>
            </m:ctrlPr>
          </m:sSubPr>
          <m:e>
            <m:r>
              <m:rPr>
                <m:sty m:val="p"/>
              </m:rPr>
              <w:rPr>
                <w:rFonts w:ascii="Cambria Math" w:hAnsi="Cambria Math" w:cs="Arial"/>
                <w:szCs w:val="20"/>
                <w:lang w:eastAsia="it-IT"/>
              </w:rPr>
              <m:t>DivExc</m:t>
            </m:r>
          </m:e>
          <m:sub>
            <m:r>
              <m:rPr>
                <m:sty m:val="p"/>
              </m:rPr>
              <w:rPr>
                <w:rFonts w:ascii="Cambria Math" w:hAnsi="Cambria Math" w:cs="Arial"/>
                <w:szCs w:val="20"/>
                <w:lang w:eastAsia="it-IT"/>
              </w:rPr>
              <m:t>t</m:t>
            </m:r>
          </m:sub>
        </m:sSub>
        <m:r>
          <m:rPr>
            <m:sty m:val="p"/>
          </m:rPr>
          <w:rPr>
            <w:rFonts w:ascii="Cambria Math" w:hAnsi="Cambria Math" w:cs="Arial"/>
            <w:szCs w:val="20"/>
            <w:lang w:eastAsia="it-IT"/>
          </w:rPr>
          <m:t xml:space="preserve"> </m:t>
        </m:r>
      </m:oMath>
      <w:r w:rsidR="00920146" w:rsidRPr="00E65655">
        <w:rPr>
          <w:rFonts w:cs="Arial"/>
          <w:bCs/>
          <w:szCs w:val="20"/>
          <w:lang w:eastAsia="it-IT"/>
        </w:rPr>
        <w:t>is the amount received as an Extraordinary Dividend by a holder of existing Shares for each Share held prior to the Extraordinary Dividend, net of any applicable withholding taxes.</w:t>
      </w:r>
    </w:p>
    <w:p w14:paraId="7123CD49" w14:textId="77777777" w:rsidR="00920146" w:rsidRPr="00E65655" w:rsidRDefault="00920146" w:rsidP="00920146">
      <w:pPr>
        <w:spacing w:after="140" w:line="290" w:lineRule="auto"/>
        <w:jc w:val="both"/>
        <w:rPr>
          <w:rFonts w:cs="Arial"/>
          <w:bCs/>
          <w:szCs w:val="20"/>
          <w:lang w:eastAsia="it-IT"/>
        </w:rPr>
      </w:pPr>
      <w:r w:rsidRPr="00E65655">
        <w:rPr>
          <w:rFonts w:cs="Arial"/>
          <w:b/>
          <w:bCs/>
          <w:szCs w:val="20"/>
          <w:lang w:eastAsia="it-IT"/>
        </w:rPr>
        <w:t>M</w:t>
      </w:r>
      <w:r w:rsidRPr="00E65655">
        <w:rPr>
          <w:rFonts w:cs="Arial"/>
          <w:bCs/>
          <w:szCs w:val="20"/>
          <w:lang w:eastAsia="it-IT"/>
        </w:rPr>
        <w:t xml:space="preserve"> is the number of new Share(s) (whether a whole or a fraction) per existing Share each holder thereof is entitled to subscribe or to receive (positive amount) or the number of existing Shares redeemed or canceled per existing Share (negative amount), as the case may be, resulting from the corporate action.</w:t>
      </w:r>
    </w:p>
    <w:p w14:paraId="05874E87" w14:textId="77777777" w:rsidR="00920146" w:rsidRPr="00E65655" w:rsidRDefault="00920146" w:rsidP="00920146">
      <w:pPr>
        <w:spacing w:after="140" w:line="290" w:lineRule="auto"/>
        <w:jc w:val="both"/>
        <w:rPr>
          <w:rFonts w:cs="Arial"/>
          <w:bCs/>
          <w:szCs w:val="20"/>
          <w:lang w:eastAsia="it-IT"/>
        </w:rPr>
      </w:pPr>
      <w:r w:rsidRPr="00E65655">
        <w:rPr>
          <w:rFonts w:cs="Arial"/>
          <w:b/>
          <w:bCs/>
          <w:szCs w:val="20"/>
          <w:lang w:eastAsia="it-IT"/>
        </w:rPr>
        <w:t>R</w:t>
      </w:r>
      <w:r w:rsidRPr="00E65655">
        <w:rPr>
          <w:rFonts w:cs="Arial"/>
          <w:bCs/>
          <w:szCs w:val="20"/>
          <w:lang w:eastAsia="it-IT"/>
        </w:rPr>
        <w:t xml:space="preserve"> is the subscription price per Share (positive amount) or the redemption price per Share (negative amount) including any dividends or other benefits forgone to be subscribe to or to receive (as applicable), or to redeem a Share.</w:t>
      </w:r>
    </w:p>
    <w:p w14:paraId="32DC3ED3" w14:textId="77777777" w:rsidR="00920146" w:rsidRPr="00E65655" w:rsidRDefault="00920146" w:rsidP="00920146">
      <w:pPr>
        <w:spacing w:after="140" w:line="290" w:lineRule="auto"/>
        <w:jc w:val="both"/>
        <w:rPr>
          <w:rFonts w:cs="Arial"/>
          <w:szCs w:val="20"/>
        </w:rPr>
      </w:pPr>
      <w:r w:rsidRPr="00E65655">
        <w:rPr>
          <w:rFonts w:cs="Arial"/>
          <w:szCs w:val="20"/>
        </w:rPr>
        <w:t xml:space="preserve">1. </w:t>
      </w:r>
      <w:r w:rsidRPr="00E65655">
        <w:rPr>
          <w:rFonts w:cs="Arial"/>
          <w:szCs w:val="20"/>
          <w:u w:val="single"/>
        </w:rPr>
        <w:t>Stock split</w:t>
      </w:r>
    </w:p>
    <w:p w14:paraId="4662FDD1" w14:textId="77777777" w:rsidR="00920146" w:rsidRPr="00E65655" w:rsidRDefault="00920146" w:rsidP="00920146">
      <w:pPr>
        <w:spacing w:after="140" w:line="290" w:lineRule="auto"/>
        <w:jc w:val="both"/>
        <w:rPr>
          <w:rFonts w:cs="Arial"/>
          <w:szCs w:val="20"/>
        </w:rPr>
      </w:pPr>
      <w:r w:rsidRPr="00E65655">
        <w:rPr>
          <w:rFonts w:cs="Arial"/>
          <w:szCs w:val="20"/>
        </w:rPr>
        <w:t>Assuming the Underlying Stock is subject to a 1 to 2 stock split (i.e. 1 new Share for every 1 existing share):</w:t>
      </w:r>
    </w:p>
    <w:p w14:paraId="5EB01A9C" w14:textId="77777777" w:rsidR="00920146" w:rsidRPr="00E65655" w:rsidRDefault="00187794" w:rsidP="00920146">
      <w:pPr>
        <w:spacing w:after="140" w:line="290" w:lineRule="auto"/>
        <w:jc w:val="both"/>
        <w:rPr>
          <w:rFonts w:eastAsiaTheme="minorEastAsia" w:cs="Arial"/>
          <w:bCs/>
          <w:szCs w:val="20"/>
          <w:lang w:eastAsia="it-IT"/>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w:r w:rsidR="00920146" w:rsidRPr="00E65655">
        <w:rPr>
          <w:rFonts w:eastAsiaTheme="minorEastAsia" w:cs="Arial"/>
          <w:bCs/>
          <w:szCs w:val="20"/>
          <w:lang w:eastAsia="it-IT"/>
        </w:rPr>
        <w:t xml:space="preserve"> = $100</w:t>
      </w:r>
    </w:p>
    <w:p w14:paraId="24F9AACA" w14:textId="77777777" w:rsidR="00920146" w:rsidRPr="00E65655" w:rsidRDefault="00187794" w:rsidP="00920146">
      <w:pPr>
        <w:spacing w:after="140" w:line="290" w:lineRule="auto"/>
        <w:jc w:val="both"/>
        <w:rPr>
          <w:rFonts w:cs="Arial"/>
          <w:szCs w:val="20"/>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w:r w:rsidR="00920146" w:rsidRPr="00E65655">
        <w:rPr>
          <w:rFonts w:cs="Arial"/>
          <w:szCs w:val="20"/>
        </w:rPr>
        <w:t xml:space="preserve"> = $51</w:t>
      </w:r>
    </w:p>
    <w:p w14:paraId="1919D23D"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Div</m:t>
              </m:r>
            </m:e>
            <m:sub>
              <m:r>
                <m:rPr>
                  <m:sty m:val="p"/>
                </m:rPr>
                <w:rPr>
                  <w:rFonts w:ascii="Cambria Math" w:eastAsia="Calibri" w:hAnsi="Cambria Math" w:cs="Arial"/>
                  <w:szCs w:val="20"/>
                  <w:lang w:eastAsia="it-IT"/>
                </w:rPr>
                <m:t>t</m:t>
              </m:r>
            </m:sub>
          </m:sSub>
          <m:r>
            <m:rPr>
              <m:sty m:val="p"/>
            </m:rPr>
            <w:rPr>
              <w:rFonts w:ascii="Cambria Math" w:eastAsia="Calibri" w:hAnsi="Cambria Math" w:cs="Arial"/>
              <w:szCs w:val="20"/>
              <w:lang w:eastAsia="it-IT"/>
            </w:rPr>
            <m:t>=$0</m:t>
          </m:r>
        </m:oMath>
      </m:oMathPara>
    </w:p>
    <w:p w14:paraId="0EA3333F"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hAnsi="Cambria Math" w:cs="Arial"/>
                  <w:bCs/>
                  <w:szCs w:val="20"/>
                  <w:lang w:eastAsia="it-IT"/>
                </w:rPr>
              </m:ctrlPr>
            </m:sSubPr>
            <m:e>
              <m:r>
                <m:rPr>
                  <m:sty m:val="p"/>
                </m:rPr>
                <w:rPr>
                  <w:rFonts w:ascii="Cambria Math" w:hAnsi="Cambria Math" w:cs="Arial"/>
                  <w:szCs w:val="20"/>
                  <w:lang w:eastAsia="it-IT"/>
                </w:rPr>
                <m:t>DivExc</m:t>
              </m:r>
            </m:e>
            <m:sub>
              <m:r>
                <m:rPr>
                  <m:sty m:val="p"/>
                </m:rPr>
                <w:rPr>
                  <w:rFonts w:ascii="Cambria Math" w:hAnsi="Cambria Math" w:cs="Arial"/>
                  <w:szCs w:val="20"/>
                  <w:lang w:eastAsia="it-IT"/>
                </w:rPr>
                <m:t>t</m:t>
              </m:r>
            </m:sub>
          </m:sSub>
          <m:r>
            <w:rPr>
              <w:rFonts w:ascii="Cambria Math" w:hAnsi="Cambria Math" w:cs="Arial"/>
              <w:szCs w:val="20"/>
              <w:lang w:eastAsia="it-IT"/>
            </w:rPr>
            <m:t>=$0</m:t>
          </m:r>
        </m:oMath>
      </m:oMathPara>
    </w:p>
    <w:p w14:paraId="25F1BD7F" w14:textId="77777777" w:rsidR="00920146" w:rsidRPr="00E65655" w:rsidRDefault="00920146" w:rsidP="00920146">
      <w:pPr>
        <w:spacing w:after="140" w:line="290" w:lineRule="auto"/>
        <w:jc w:val="both"/>
        <w:rPr>
          <w:rFonts w:cs="Arial"/>
          <w:szCs w:val="20"/>
        </w:rPr>
      </w:pPr>
      <w:r w:rsidRPr="00E65655">
        <w:rPr>
          <w:rFonts w:cs="Arial"/>
          <w:szCs w:val="20"/>
        </w:rPr>
        <w:lastRenderedPageBreak/>
        <w:t>M = 1 (i.e. 1 new Shares for 1 existing Share)</w:t>
      </w:r>
    </w:p>
    <w:p w14:paraId="45FF8129" w14:textId="77777777" w:rsidR="00920146" w:rsidRPr="00E65655" w:rsidRDefault="00920146" w:rsidP="00920146">
      <w:pPr>
        <w:spacing w:after="140" w:line="290" w:lineRule="auto"/>
        <w:jc w:val="both"/>
        <w:rPr>
          <w:rFonts w:cs="Arial"/>
          <w:szCs w:val="20"/>
        </w:rPr>
      </w:pPr>
      <w:r w:rsidRPr="00E65655">
        <w:rPr>
          <w:rFonts w:cs="Arial"/>
          <w:szCs w:val="20"/>
        </w:rPr>
        <w:t>R = $0 (no subscription price / redemption price)</w:t>
      </w:r>
    </w:p>
    <w:p w14:paraId="760ADB6E" w14:textId="77777777" w:rsidR="00920146" w:rsidRPr="00E65655" w:rsidRDefault="00920146" w:rsidP="00920146">
      <w:pPr>
        <w:spacing w:after="140" w:line="290" w:lineRule="auto"/>
        <w:jc w:val="both"/>
        <w:rPr>
          <w:rFonts w:cs="Arial"/>
          <w:szCs w:val="20"/>
        </w:rPr>
      </w:pPr>
    </w:p>
    <w:p w14:paraId="19910D7D" w14:textId="77777777" w:rsidR="00920146" w:rsidRPr="00E65655" w:rsidRDefault="00187794" w:rsidP="00920146">
      <w:pPr>
        <w:spacing w:after="140" w:line="290" w:lineRule="auto"/>
        <w:jc w:val="both"/>
        <w:rPr>
          <w:rFonts w:cs="Arial"/>
          <w:szCs w:val="20"/>
        </w:rPr>
      </w:pPr>
      <m:oMathPara>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r>
            <w:rPr>
              <w:rFonts w:ascii="Cambria Math" w:hAnsi="Cambria Math" w:cs="Arial"/>
              <w:szCs w:val="20"/>
              <w:lang w:eastAsia="it-IT"/>
            </w:rPr>
            <m:t>=</m:t>
          </m:r>
          <m:d>
            <m:dPr>
              <m:begChr m:val="["/>
              <m:endChr m:val="]"/>
              <m:ctrlPr>
                <w:rPr>
                  <w:rFonts w:ascii="Cambria Math" w:hAnsi="Cambria Math" w:cs="Arial"/>
                  <w:bCs/>
                  <w:i/>
                  <w:szCs w:val="20"/>
                  <w:lang w:eastAsia="it-IT"/>
                </w:rPr>
              </m:ctrlPr>
            </m:dPr>
            <m:e>
              <m:r>
                <w:rPr>
                  <w:rFonts w:ascii="Cambria Math" w:hAnsi="Cambria Math" w:cs="Arial"/>
                  <w:szCs w:val="20"/>
                  <w:lang w:eastAsia="it-IT"/>
                </w:rPr>
                <m:t>1-</m:t>
              </m:r>
              <m:f>
                <m:fPr>
                  <m:ctrlPr>
                    <w:rPr>
                      <w:rFonts w:ascii="Cambria Math" w:hAnsi="Cambria Math" w:cs="Arial"/>
                      <w:bCs/>
                      <w:i/>
                      <w:szCs w:val="20"/>
                      <w:lang w:eastAsia="it-IT"/>
                    </w:rPr>
                  </m:ctrlPr>
                </m:fPr>
                <m:num>
                  <m:r>
                    <w:rPr>
                      <w:rFonts w:ascii="Cambria Math" w:hAnsi="Cambria Math" w:cs="Arial"/>
                      <w:szCs w:val="20"/>
                      <w:lang w:eastAsia="it-IT"/>
                    </w:rPr>
                    <m:t>0+0-2×0)</m:t>
                  </m:r>
                </m:num>
                <m:den>
                  <m:r>
                    <m:rPr>
                      <m:sty m:val="p"/>
                    </m:rPr>
                    <w:rPr>
                      <w:rFonts w:ascii="Cambria Math" w:eastAsia="Calibri" w:hAnsi="Cambria Math" w:cs="Arial"/>
                      <w:szCs w:val="20"/>
                      <w:lang w:eastAsia="it-IT"/>
                    </w:rPr>
                    <m:t>100</m:t>
                  </m:r>
                </m:den>
              </m:f>
            </m:e>
          </m:d>
          <m:r>
            <w:rPr>
              <w:rFonts w:ascii="Cambria Math" w:hAnsi="Cambria Math" w:cs="Arial"/>
              <w:szCs w:val="20"/>
              <w:lang w:eastAsia="it-IT"/>
            </w:rPr>
            <m:t>×</m:t>
          </m:r>
          <m:f>
            <m:fPr>
              <m:ctrlPr>
                <w:rPr>
                  <w:rFonts w:ascii="Cambria Math" w:hAnsi="Cambria Math" w:cs="Arial"/>
                  <w:bCs/>
                  <w:i/>
                  <w:szCs w:val="20"/>
                  <w:lang w:eastAsia="it-IT"/>
                </w:rPr>
              </m:ctrlPr>
            </m:fPr>
            <m:num>
              <m:r>
                <w:rPr>
                  <w:rFonts w:ascii="Cambria Math" w:hAnsi="Cambria Math" w:cs="Arial"/>
                  <w:szCs w:val="20"/>
                  <w:lang w:eastAsia="it-IT"/>
                </w:rPr>
                <m:t>1</m:t>
              </m:r>
            </m:num>
            <m:den>
              <m:r>
                <w:rPr>
                  <w:rFonts w:ascii="Cambria Math" w:hAnsi="Cambria Math" w:cs="Arial"/>
                  <w:szCs w:val="20"/>
                  <w:lang w:eastAsia="it-IT"/>
                </w:rPr>
                <m:t>1+1</m:t>
              </m:r>
            </m:den>
          </m:f>
          <m:r>
            <w:rPr>
              <w:rFonts w:ascii="Cambria Math" w:hAnsi="Cambria Math" w:cs="Arial"/>
              <w:szCs w:val="20"/>
              <w:lang w:eastAsia="it-IT"/>
            </w:rPr>
            <m:t>=50%</m:t>
          </m:r>
        </m:oMath>
      </m:oMathPara>
    </w:p>
    <w:p w14:paraId="6CBF3811" w14:textId="77777777" w:rsidR="00920146" w:rsidRPr="00E65655" w:rsidRDefault="00920146" w:rsidP="00920146">
      <w:pPr>
        <w:spacing w:after="140" w:line="290" w:lineRule="auto"/>
        <w:jc w:val="both"/>
        <w:rPr>
          <w:rFonts w:cs="Arial"/>
          <w:szCs w:val="20"/>
        </w:rPr>
      </w:pPr>
      <w:proofErr w:type="gramStart"/>
      <w:r w:rsidRPr="00E65655">
        <w:rPr>
          <w:rFonts w:cs="Arial"/>
          <w:szCs w:val="20"/>
        </w:rPr>
        <w:t>As a consequence</w:t>
      </w:r>
      <w:proofErr w:type="gramEnd"/>
      <w:r w:rsidRPr="00E65655">
        <w:rPr>
          <w:rFonts w:cs="Arial"/>
          <w:szCs w:val="20"/>
        </w:rPr>
        <w:t>:</w:t>
      </w:r>
    </w:p>
    <w:p w14:paraId="7ED6E533" w14:textId="77777777" w:rsidR="00920146" w:rsidRPr="00E65655" w:rsidRDefault="00187794" w:rsidP="00920146">
      <w:pPr>
        <w:spacing w:after="140" w:line="290" w:lineRule="auto"/>
        <w:jc w:val="both"/>
        <w:rPr>
          <w:rFonts w:cs="Arial"/>
          <w:bCs/>
          <w:szCs w:val="20"/>
          <w:lang w:eastAsia="it-IT"/>
        </w:rPr>
      </w:pPr>
      <m:oMath>
        <m:sSub>
          <m:sSubPr>
            <m:ctrlPr>
              <w:rPr>
                <w:rFonts w:ascii="Cambria Math" w:eastAsia="Calibri" w:hAnsi="Cambria Math" w:cs="Arial"/>
                <w:szCs w:val="20"/>
                <w:lang w:eastAsia="it-IT"/>
              </w:rPr>
            </m:ctrlPr>
          </m:sSubPr>
          <m:e>
            <m:r>
              <m:rPr>
                <m:sty m:val="p"/>
              </m:rPr>
              <w:rPr>
                <w:rFonts w:ascii="Cambria Math" w:eastAsia="Calibri" w:hAnsi="Cambria Math" w:cs="Arial"/>
                <w:szCs w:val="20"/>
                <w:lang w:eastAsia="it-IT"/>
              </w:rPr>
              <m:t>LR</m:t>
            </m:r>
          </m:e>
          <m:sub>
            <m:r>
              <m:rPr>
                <m:sty m:val="p"/>
              </m:rPr>
              <w:rPr>
                <w:rFonts w:ascii="Cambria Math" w:eastAsia="Calibri" w:hAnsi="Cambria Math" w:cs="Arial"/>
                <w:szCs w:val="20"/>
                <w:lang w:eastAsia="it-IT"/>
              </w:rPr>
              <m:t>t-1,t</m:t>
            </m:r>
          </m:sub>
        </m:sSub>
        <m:r>
          <m:rPr>
            <m:sty m:val="p"/>
          </m:rPr>
          <w:rPr>
            <w:rFonts w:ascii="Cambria Math" w:eastAsia="Calibri" w:hAnsi="Cambria Math" w:cs="Arial"/>
            <w:szCs w:val="20"/>
            <w:lang w:eastAsia="it-IT"/>
          </w:rPr>
          <m:t xml:space="preserve">=Leverage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num>
              <m:den>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w:rPr>
            <w:rFonts w:ascii="Cambria Math" w:eastAsiaTheme="minorEastAsia" w:hAnsi="Cambria Math" w:cs="Arial"/>
            <w:szCs w:val="20"/>
            <w:lang w:eastAsia="it-IT"/>
          </w:rPr>
          <m:t>= -</m:t>
        </m:r>
        <m:r>
          <m:rPr>
            <m:sty m:val="p"/>
          </m:rPr>
          <w:rPr>
            <w:rFonts w:ascii="Cambria Math" w:eastAsia="Calibri" w:hAnsi="Cambria Math" w:cs="Arial"/>
            <w:szCs w:val="20"/>
            <w:lang w:eastAsia="it-IT"/>
          </w:rPr>
          <m:t xml:space="preserve">5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r>
                  <m:rPr>
                    <m:sty m:val="p"/>
                  </m:rPr>
                  <w:rPr>
                    <w:rFonts w:ascii="Cambria Math" w:eastAsia="Calibri" w:hAnsi="Cambria Math" w:cs="Arial"/>
                    <w:szCs w:val="20"/>
                    <w:lang w:eastAsia="it-IT"/>
                  </w:rPr>
                  <m:t>51</m:t>
                </m:r>
              </m:num>
              <m:den>
                <m:r>
                  <m:rPr>
                    <m:sty m:val="p"/>
                  </m:rPr>
                  <w:rPr>
                    <w:rFonts w:ascii="Cambria Math" w:eastAsia="Calibri" w:hAnsi="Cambria Math" w:cs="Arial"/>
                    <w:szCs w:val="20"/>
                    <w:lang w:eastAsia="it-IT"/>
                  </w:rPr>
                  <m:t xml:space="preserve">100×50%  </m:t>
                </m:r>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m:rPr>
            <m:sty m:val="p"/>
          </m:rPr>
          <w:rPr>
            <w:rFonts w:ascii="Cambria Math" w:eastAsia="Calibri" w:hAnsi="Cambria Math" w:cs="Arial"/>
            <w:szCs w:val="20"/>
            <w:lang w:eastAsia="it-IT"/>
          </w:rPr>
          <m:t xml:space="preserve">=-10% </m:t>
        </m:r>
      </m:oMath>
      <w:r w:rsidR="00920146" w:rsidRPr="00E65655">
        <w:rPr>
          <w:rFonts w:cs="Arial"/>
          <w:bCs/>
          <w:szCs w:val="20"/>
          <w:lang w:eastAsia="it-IT"/>
        </w:rPr>
        <w:t xml:space="preserve">  </w:t>
      </w:r>
    </w:p>
    <w:p w14:paraId="1523CDA4"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2242"/>
        <w:gridCol w:w="2267"/>
        <w:gridCol w:w="2236"/>
        <w:gridCol w:w="2274"/>
      </w:tblGrid>
      <w:tr w:rsidR="00920146" w:rsidRPr="00E65655" w14:paraId="7C17A477" w14:textId="77777777" w:rsidTr="003B11EA">
        <w:tc>
          <w:tcPr>
            <w:tcW w:w="2311" w:type="dxa"/>
          </w:tcPr>
          <w:p w14:paraId="1994C6A6"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m:oMathPara>
          </w:p>
        </w:tc>
        <w:tc>
          <w:tcPr>
            <w:tcW w:w="2311" w:type="dxa"/>
          </w:tcPr>
          <w:p w14:paraId="7B959F60"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m:oMathPara>
          </w:p>
        </w:tc>
        <w:tc>
          <w:tcPr>
            <w:tcW w:w="2311" w:type="dxa"/>
          </w:tcPr>
          <w:p w14:paraId="3610143F"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m:oMathPara>
          </w:p>
        </w:tc>
        <w:tc>
          <w:tcPr>
            <w:tcW w:w="2312" w:type="dxa"/>
          </w:tcPr>
          <w:p w14:paraId="21E57DCB" w14:textId="77777777" w:rsidR="00920146" w:rsidRPr="00E65655" w:rsidRDefault="00920146" w:rsidP="003B11EA">
            <w:pPr>
              <w:spacing w:after="140" w:line="290" w:lineRule="auto"/>
              <w:jc w:val="both"/>
              <w:rPr>
                <w:rFonts w:cs="Arial"/>
                <w:szCs w:val="20"/>
              </w:rPr>
            </w:pPr>
            <w:r w:rsidRPr="00E65655">
              <w:rPr>
                <w:rFonts w:cs="Arial"/>
                <w:szCs w:val="20"/>
              </w:rPr>
              <w:t>Adjusted Underlying Stock Performance</w:t>
            </w:r>
          </w:p>
        </w:tc>
      </w:tr>
      <w:tr w:rsidR="00920146" w:rsidRPr="00E65655" w14:paraId="38D1C5C8" w14:textId="77777777" w:rsidTr="003B11EA">
        <w:tc>
          <w:tcPr>
            <w:tcW w:w="2311" w:type="dxa"/>
          </w:tcPr>
          <w:p w14:paraId="320D73A0" w14:textId="77777777" w:rsidR="00920146" w:rsidRPr="00E65655" w:rsidRDefault="00920146" w:rsidP="003B11EA">
            <w:pPr>
              <w:spacing w:after="140" w:line="290" w:lineRule="auto"/>
              <w:jc w:val="both"/>
              <w:rPr>
                <w:rFonts w:cs="Arial"/>
                <w:szCs w:val="20"/>
              </w:rPr>
            </w:pPr>
            <w:r w:rsidRPr="00E65655">
              <w:rPr>
                <w:rFonts w:cs="Arial"/>
                <w:szCs w:val="20"/>
              </w:rPr>
              <w:t>100</w:t>
            </w:r>
          </w:p>
        </w:tc>
        <w:tc>
          <w:tcPr>
            <w:tcW w:w="2311" w:type="dxa"/>
          </w:tcPr>
          <w:p w14:paraId="4919877C" w14:textId="77777777" w:rsidR="00920146" w:rsidRPr="00E65655" w:rsidRDefault="00920146" w:rsidP="003B11EA">
            <w:pPr>
              <w:spacing w:after="140" w:line="290" w:lineRule="auto"/>
              <w:jc w:val="both"/>
              <w:rPr>
                <w:rFonts w:cs="Arial"/>
                <w:szCs w:val="20"/>
              </w:rPr>
            </w:pPr>
            <w:r w:rsidRPr="00E65655">
              <w:rPr>
                <w:rFonts w:cs="Arial"/>
                <w:szCs w:val="20"/>
              </w:rPr>
              <w:t>50</w:t>
            </w:r>
          </w:p>
        </w:tc>
        <w:tc>
          <w:tcPr>
            <w:tcW w:w="2311" w:type="dxa"/>
          </w:tcPr>
          <w:p w14:paraId="736F6906" w14:textId="77777777" w:rsidR="00920146" w:rsidRPr="00E65655" w:rsidRDefault="00920146" w:rsidP="003B11EA">
            <w:pPr>
              <w:spacing w:after="140" w:line="290" w:lineRule="auto"/>
              <w:jc w:val="both"/>
              <w:rPr>
                <w:rFonts w:cs="Arial"/>
                <w:szCs w:val="20"/>
              </w:rPr>
            </w:pPr>
            <w:r w:rsidRPr="00E65655">
              <w:rPr>
                <w:rFonts w:cs="Arial"/>
                <w:szCs w:val="20"/>
              </w:rPr>
              <w:t>51</w:t>
            </w:r>
          </w:p>
        </w:tc>
        <w:tc>
          <w:tcPr>
            <w:tcW w:w="2312" w:type="dxa"/>
          </w:tcPr>
          <w:p w14:paraId="141D083D" w14:textId="77777777" w:rsidR="00920146" w:rsidRPr="00E65655" w:rsidRDefault="00920146" w:rsidP="003B11EA">
            <w:pPr>
              <w:spacing w:after="140" w:line="290" w:lineRule="auto"/>
              <w:jc w:val="both"/>
              <w:rPr>
                <w:rFonts w:cs="Arial"/>
                <w:szCs w:val="20"/>
              </w:rPr>
            </w:pPr>
            <w:r w:rsidRPr="00E65655">
              <w:rPr>
                <w:rFonts w:cs="Arial"/>
                <w:szCs w:val="20"/>
              </w:rPr>
              <w:t>2%</w:t>
            </w:r>
          </w:p>
        </w:tc>
      </w:tr>
    </w:tbl>
    <w:p w14:paraId="629D5748"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3002"/>
        <w:gridCol w:w="3004"/>
        <w:gridCol w:w="3013"/>
      </w:tblGrid>
      <w:tr w:rsidR="00920146" w:rsidRPr="00E65655" w14:paraId="54D1814F" w14:textId="77777777" w:rsidTr="00D155EB">
        <w:tc>
          <w:tcPr>
            <w:tcW w:w="3002" w:type="dxa"/>
          </w:tcPr>
          <w:p w14:paraId="492A45E3"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(t-1)</w:t>
            </w:r>
          </w:p>
        </w:tc>
        <w:tc>
          <w:tcPr>
            <w:tcW w:w="3004" w:type="dxa"/>
          </w:tcPr>
          <w:p w14:paraId="75C80268"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w:t>
            </w:r>
          </w:p>
        </w:tc>
        <w:tc>
          <w:tcPr>
            <w:tcW w:w="3013" w:type="dxa"/>
          </w:tcPr>
          <w:p w14:paraId="15115408" w14:textId="77777777" w:rsidR="00920146" w:rsidRPr="00E65655" w:rsidRDefault="00920146" w:rsidP="003B11EA">
            <w:pPr>
              <w:spacing w:after="140" w:line="290" w:lineRule="auto"/>
              <w:jc w:val="both"/>
              <w:rPr>
                <w:rFonts w:cs="Arial"/>
                <w:szCs w:val="20"/>
              </w:rPr>
            </w:pPr>
            <w:r w:rsidRPr="00E65655">
              <w:rPr>
                <w:rFonts w:cs="Arial"/>
                <w:szCs w:val="20"/>
              </w:rPr>
              <w:t>Certificates’ performance (excluding any cost and fees)</w:t>
            </w:r>
          </w:p>
        </w:tc>
      </w:tr>
      <w:tr w:rsidR="009D3734" w:rsidRPr="00E65655" w14:paraId="3A9B059E" w14:textId="77777777" w:rsidTr="00D155EB">
        <w:tc>
          <w:tcPr>
            <w:tcW w:w="3002" w:type="dxa"/>
          </w:tcPr>
          <w:p w14:paraId="045A9BB4" w14:textId="103C3ADE" w:rsidR="009D3734" w:rsidRPr="00E65655" w:rsidRDefault="0015064C" w:rsidP="009D3734">
            <w:pPr>
              <w:spacing w:after="140" w:line="290" w:lineRule="auto"/>
              <w:jc w:val="both"/>
              <w:rPr>
                <w:rFonts w:cs="Arial"/>
                <w:szCs w:val="20"/>
                <w:lang w:eastAsia="zh-CN"/>
              </w:rPr>
            </w:pPr>
            <w:r>
              <w:rPr>
                <w:rFonts w:cs="Arial" w:hint="eastAsia"/>
                <w:szCs w:val="20"/>
                <w:lang w:eastAsia="zh-CN"/>
              </w:rPr>
              <w:t>0.80</w:t>
            </w:r>
          </w:p>
        </w:tc>
        <w:tc>
          <w:tcPr>
            <w:tcW w:w="3004" w:type="dxa"/>
          </w:tcPr>
          <w:p w14:paraId="2314005D" w14:textId="705D3474" w:rsidR="009D3734" w:rsidRPr="00E65655" w:rsidRDefault="0016254F" w:rsidP="002D6EF7">
            <w:pPr>
              <w:jc w:val="both"/>
              <w:rPr>
                <w:rFonts w:cs="Arial"/>
                <w:color w:val="000000"/>
                <w:szCs w:val="20"/>
                <w:lang w:val="en-SG" w:eastAsia="zh-CN"/>
              </w:rPr>
            </w:pPr>
            <w:r>
              <w:rPr>
                <w:rFonts w:cs="Arial" w:hint="eastAsia"/>
                <w:color w:val="000000"/>
                <w:szCs w:val="20"/>
                <w:lang w:eastAsia="zh-CN"/>
              </w:rPr>
              <w:t>0.</w:t>
            </w:r>
            <w:r w:rsidR="0015064C">
              <w:rPr>
                <w:rFonts w:cs="Arial" w:hint="eastAsia"/>
                <w:color w:val="000000"/>
                <w:szCs w:val="20"/>
                <w:lang w:eastAsia="zh-CN"/>
              </w:rPr>
              <w:t>72</w:t>
            </w:r>
          </w:p>
        </w:tc>
        <w:tc>
          <w:tcPr>
            <w:tcW w:w="3013" w:type="dxa"/>
          </w:tcPr>
          <w:p w14:paraId="515EBD8F" w14:textId="715AFF48" w:rsidR="009D3734" w:rsidRPr="00E65655" w:rsidRDefault="009D3734" w:rsidP="009D3734">
            <w:pPr>
              <w:spacing w:after="140" w:line="290" w:lineRule="auto"/>
              <w:jc w:val="both"/>
              <w:rPr>
                <w:rFonts w:cs="Arial"/>
                <w:szCs w:val="20"/>
              </w:rPr>
            </w:pPr>
            <w:r w:rsidRPr="00E65655">
              <w:rPr>
                <w:rFonts w:cs="Arial"/>
                <w:szCs w:val="20"/>
              </w:rPr>
              <w:t>-10%</w:t>
            </w:r>
          </w:p>
        </w:tc>
      </w:tr>
    </w:tbl>
    <w:p w14:paraId="6833631A" w14:textId="77777777" w:rsidR="00920146" w:rsidRPr="00E65655" w:rsidRDefault="00920146" w:rsidP="00920146">
      <w:pPr>
        <w:spacing w:after="140" w:line="290" w:lineRule="auto"/>
        <w:jc w:val="both"/>
        <w:rPr>
          <w:rFonts w:cs="Arial"/>
          <w:szCs w:val="20"/>
        </w:rPr>
      </w:pPr>
    </w:p>
    <w:p w14:paraId="166DBB15" w14:textId="77777777" w:rsidR="00920146" w:rsidRPr="00E65655" w:rsidRDefault="00920146" w:rsidP="00920146">
      <w:pPr>
        <w:spacing w:after="140" w:line="290" w:lineRule="auto"/>
        <w:jc w:val="both"/>
        <w:rPr>
          <w:rFonts w:cs="Arial"/>
          <w:szCs w:val="20"/>
        </w:rPr>
      </w:pPr>
      <w:r w:rsidRPr="00E65655">
        <w:rPr>
          <w:rFonts w:cs="Arial"/>
          <w:szCs w:val="20"/>
        </w:rPr>
        <w:t xml:space="preserve">In such case an Intraday Restrike Event would occur if the Underlying Stock price </w:t>
      </w:r>
      <w:proofErr w:type="gramStart"/>
      <w:r w:rsidR="00DF3013" w:rsidRPr="00E65655">
        <w:rPr>
          <w:rFonts w:cs="Arial"/>
          <w:szCs w:val="20"/>
        </w:rPr>
        <w:t>rise</w:t>
      </w:r>
      <w:r w:rsidRPr="00E65655">
        <w:rPr>
          <w:rFonts w:cs="Arial"/>
          <w:szCs w:val="20"/>
        </w:rPr>
        <w:t>s</w:t>
      </w:r>
      <w:proofErr w:type="gramEnd"/>
      <w:r w:rsidRPr="00E65655">
        <w:rPr>
          <w:rFonts w:cs="Arial"/>
          <w:szCs w:val="20"/>
        </w:rPr>
        <w:t xml:space="preserve"> to $</w:t>
      </w:r>
      <w:r w:rsidR="00DF3013" w:rsidRPr="00E65655">
        <w:rPr>
          <w:rFonts w:cs="Arial"/>
          <w:szCs w:val="20"/>
        </w:rPr>
        <w:t>57.5</w:t>
      </w:r>
      <w:r w:rsidRPr="00E65655">
        <w:rPr>
          <w:rFonts w:cs="Arial"/>
          <w:szCs w:val="20"/>
        </w:rPr>
        <w:t xml:space="preserve">, which is 15% </w:t>
      </w:r>
      <w:r w:rsidR="00DF3013" w:rsidRPr="00E65655">
        <w:rPr>
          <w:rFonts w:cs="Arial"/>
          <w:szCs w:val="20"/>
        </w:rPr>
        <w:t xml:space="preserve">above </w:t>
      </w:r>
      <w:r w:rsidRPr="00E65655">
        <w:rPr>
          <w:rFonts w:cs="Arial"/>
          <w:szCs w:val="20"/>
        </w:rPr>
        <w:t>$50, the Underlying Stock Reference Price.</w:t>
      </w:r>
    </w:p>
    <w:p w14:paraId="0AAED7EB" w14:textId="77777777" w:rsidR="00920146" w:rsidRPr="00E65655" w:rsidRDefault="00920146" w:rsidP="00920146">
      <w:pPr>
        <w:spacing w:after="140" w:line="290" w:lineRule="auto"/>
        <w:jc w:val="both"/>
        <w:rPr>
          <w:rFonts w:cs="Arial"/>
          <w:szCs w:val="20"/>
        </w:rPr>
      </w:pPr>
    </w:p>
    <w:p w14:paraId="709E0A31" w14:textId="77777777" w:rsidR="00920146" w:rsidRPr="00E65655" w:rsidRDefault="00920146" w:rsidP="00920146">
      <w:pPr>
        <w:spacing w:after="140" w:line="290" w:lineRule="auto"/>
        <w:jc w:val="both"/>
        <w:rPr>
          <w:rFonts w:cs="Arial"/>
          <w:szCs w:val="20"/>
        </w:rPr>
      </w:pPr>
      <w:r w:rsidRPr="00E65655">
        <w:rPr>
          <w:rFonts w:cs="Arial"/>
          <w:szCs w:val="20"/>
        </w:rPr>
        <w:t xml:space="preserve">2. </w:t>
      </w:r>
      <w:r w:rsidRPr="00E65655">
        <w:rPr>
          <w:rFonts w:cs="Arial"/>
          <w:szCs w:val="20"/>
          <w:u w:val="single"/>
        </w:rPr>
        <w:t>Share Consolidation</w:t>
      </w:r>
    </w:p>
    <w:p w14:paraId="79F9E000" w14:textId="77777777" w:rsidR="00920146" w:rsidRPr="00E65655" w:rsidRDefault="00920146" w:rsidP="00920146">
      <w:pPr>
        <w:spacing w:after="140" w:line="290" w:lineRule="auto"/>
        <w:jc w:val="both"/>
        <w:rPr>
          <w:rFonts w:cs="Arial"/>
          <w:szCs w:val="20"/>
        </w:rPr>
      </w:pPr>
      <w:r w:rsidRPr="00E65655">
        <w:rPr>
          <w:rFonts w:cs="Arial"/>
          <w:szCs w:val="20"/>
        </w:rPr>
        <w:t>Assuming the Underlying Stock is subject to a 2 to 1 share consolidation (i.e. 1 Share canceled for every 2 existing Shares):</w:t>
      </w:r>
    </w:p>
    <w:p w14:paraId="021356EA" w14:textId="77777777" w:rsidR="00920146" w:rsidRPr="00E65655" w:rsidRDefault="00187794" w:rsidP="00920146">
      <w:pPr>
        <w:spacing w:after="140" w:line="290" w:lineRule="auto"/>
        <w:jc w:val="both"/>
        <w:rPr>
          <w:rFonts w:eastAsiaTheme="minorEastAsia" w:cs="Arial"/>
          <w:bCs/>
          <w:szCs w:val="20"/>
          <w:lang w:eastAsia="it-IT"/>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w:r w:rsidR="00920146" w:rsidRPr="00E65655">
        <w:rPr>
          <w:rFonts w:eastAsiaTheme="minorEastAsia" w:cs="Arial"/>
          <w:bCs/>
          <w:szCs w:val="20"/>
          <w:lang w:eastAsia="it-IT"/>
        </w:rPr>
        <w:t xml:space="preserve"> = $100</w:t>
      </w:r>
    </w:p>
    <w:p w14:paraId="3AFA0CAD" w14:textId="77777777" w:rsidR="00920146" w:rsidRPr="00E65655" w:rsidRDefault="00187794" w:rsidP="00920146">
      <w:pPr>
        <w:spacing w:after="140" w:line="290" w:lineRule="auto"/>
        <w:jc w:val="both"/>
        <w:rPr>
          <w:rFonts w:cs="Arial"/>
          <w:szCs w:val="20"/>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w:r w:rsidR="00920146" w:rsidRPr="00E65655">
        <w:rPr>
          <w:rFonts w:cs="Arial"/>
          <w:szCs w:val="20"/>
        </w:rPr>
        <w:t xml:space="preserve"> = </w:t>
      </w:r>
      <w:r w:rsidR="00920146" w:rsidRPr="00E65655">
        <w:rPr>
          <w:rFonts w:eastAsiaTheme="minorEastAsia" w:cs="Arial"/>
          <w:bCs/>
          <w:szCs w:val="20"/>
          <w:lang w:eastAsia="it-IT"/>
        </w:rPr>
        <w:t>$</w:t>
      </w:r>
      <w:r w:rsidR="00920146" w:rsidRPr="00E65655">
        <w:rPr>
          <w:rFonts w:cs="Arial"/>
          <w:szCs w:val="20"/>
        </w:rPr>
        <w:t>202</w:t>
      </w:r>
    </w:p>
    <w:p w14:paraId="25C50F22"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Div</m:t>
              </m:r>
            </m:e>
            <m:sub>
              <m:r>
                <m:rPr>
                  <m:sty m:val="p"/>
                </m:rPr>
                <w:rPr>
                  <w:rFonts w:ascii="Cambria Math" w:eastAsia="Calibri" w:hAnsi="Cambria Math" w:cs="Arial"/>
                  <w:szCs w:val="20"/>
                  <w:lang w:eastAsia="it-IT"/>
                </w:rPr>
                <m:t>t</m:t>
              </m:r>
            </m:sub>
          </m:sSub>
          <m:r>
            <m:rPr>
              <m:sty m:val="p"/>
            </m:rPr>
            <w:rPr>
              <w:rFonts w:ascii="Cambria Math" w:eastAsia="Calibri" w:hAnsi="Cambria Math" w:cs="Arial"/>
              <w:szCs w:val="20"/>
              <w:lang w:eastAsia="it-IT"/>
            </w:rPr>
            <m:t>=$0</m:t>
          </m:r>
        </m:oMath>
      </m:oMathPara>
    </w:p>
    <w:p w14:paraId="13E2645F"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hAnsi="Cambria Math" w:cs="Arial"/>
                  <w:bCs/>
                  <w:szCs w:val="20"/>
                  <w:lang w:eastAsia="it-IT"/>
                </w:rPr>
              </m:ctrlPr>
            </m:sSubPr>
            <m:e>
              <m:r>
                <m:rPr>
                  <m:sty m:val="p"/>
                </m:rPr>
                <w:rPr>
                  <w:rFonts w:ascii="Cambria Math" w:hAnsi="Cambria Math" w:cs="Arial"/>
                  <w:szCs w:val="20"/>
                  <w:lang w:eastAsia="it-IT"/>
                </w:rPr>
                <m:t>DivExc</m:t>
              </m:r>
            </m:e>
            <m:sub>
              <m:r>
                <m:rPr>
                  <m:sty m:val="p"/>
                </m:rPr>
                <w:rPr>
                  <w:rFonts w:ascii="Cambria Math" w:hAnsi="Cambria Math" w:cs="Arial"/>
                  <w:szCs w:val="20"/>
                  <w:lang w:eastAsia="it-IT"/>
                </w:rPr>
                <m:t>t</m:t>
              </m:r>
            </m:sub>
          </m:sSub>
          <m:r>
            <m:rPr>
              <m:sty m:val="p"/>
            </m:rPr>
            <w:rPr>
              <w:rFonts w:ascii="Cambria Math" w:hAnsi="Cambria Math" w:cs="Arial"/>
              <w:szCs w:val="20"/>
              <w:lang w:eastAsia="it-IT"/>
            </w:rPr>
            <m:t>=$0</m:t>
          </m:r>
        </m:oMath>
      </m:oMathPara>
    </w:p>
    <w:p w14:paraId="6F313BE5" w14:textId="77777777" w:rsidR="00920146" w:rsidRPr="00E65655" w:rsidRDefault="00920146" w:rsidP="00920146">
      <w:pPr>
        <w:spacing w:after="140" w:line="290" w:lineRule="auto"/>
        <w:jc w:val="both"/>
        <w:rPr>
          <w:rFonts w:cs="Arial"/>
          <w:szCs w:val="20"/>
        </w:rPr>
      </w:pPr>
      <w:r w:rsidRPr="00E65655">
        <w:rPr>
          <w:rFonts w:cs="Arial"/>
          <w:szCs w:val="20"/>
        </w:rPr>
        <w:t>M = -0.5 (i.e. 0.5 Shares canceled for each 1 existing Share)</w:t>
      </w:r>
    </w:p>
    <w:p w14:paraId="4ED3A08C" w14:textId="77777777" w:rsidR="00920146" w:rsidRPr="00E65655" w:rsidRDefault="00920146" w:rsidP="00920146">
      <w:pPr>
        <w:spacing w:after="140" w:line="290" w:lineRule="auto"/>
        <w:jc w:val="both"/>
        <w:rPr>
          <w:rFonts w:cs="Arial"/>
          <w:szCs w:val="20"/>
        </w:rPr>
      </w:pPr>
      <w:r w:rsidRPr="00E65655">
        <w:rPr>
          <w:rFonts w:cs="Arial"/>
          <w:szCs w:val="20"/>
        </w:rPr>
        <w:t>R = $0 (no subscription price / redemption price)</w:t>
      </w:r>
    </w:p>
    <w:p w14:paraId="27C30B7A" w14:textId="77777777" w:rsidR="00920146" w:rsidRPr="00E65655" w:rsidRDefault="00187794" w:rsidP="00920146">
      <w:pPr>
        <w:spacing w:after="140" w:line="290" w:lineRule="auto"/>
        <w:jc w:val="both"/>
        <w:rPr>
          <w:rFonts w:cs="Arial"/>
          <w:szCs w:val="20"/>
        </w:rPr>
      </w:pPr>
      <m:oMathPara>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r>
            <w:rPr>
              <w:rFonts w:ascii="Cambria Math" w:hAnsi="Cambria Math" w:cs="Arial"/>
              <w:szCs w:val="20"/>
              <w:lang w:eastAsia="it-IT"/>
            </w:rPr>
            <m:t>=</m:t>
          </m:r>
          <m:d>
            <m:dPr>
              <m:begChr m:val="["/>
              <m:endChr m:val="]"/>
              <m:ctrlPr>
                <w:rPr>
                  <w:rFonts w:ascii="Cambria Math" w:hAnsi="Cambria Math" w:cs="Arial"/>
                  <w:bCs/>
                  <w:i/>
                  <w:szCs w:val="20"/>
                  <w:lang w:eastAsia="it-IT"/>
                </w:rPr>
              </m:ctrlPr>
            </m:dPr>
            <m:e>
              <m:r>
                <w:rPr>
                  <w:rFonts w:ascii="Cambria Math" w:hAnsi="Cambria Math" w:cs="Arial"/>
                  <w:szCs w:val="20"/>
                  <w:lang w:eastAsia="it-IT"/>
                </w:rPr>
                <m:t>1-</m:t>
              </m:r>
              <m:f>
                <m:fPr>
                  <m:ctrlPr>
                    <w:rPr>
                      <w:rFonts w:ascii="Cambria Math" w:hAnsi="Cambria Math" w:cs="Arial"/>
                      <w:bCs/>
                      <w:i/>
                      <w:szCs w:val="20"/>
                      <w:lang w:eastAsia="it-IT"/>
                    </w:rPr>
                  </m:ctrlPr>
                </m:fPr>
                <m:num>
                  <m:r>
                    <w:rPr>
                      <w:rFonts w:ascii="Cambria Math" w:hAnsi="Cambria Math" w:cs="Arial"/>
                      <w:szCs w:val="20"/>
                      <w:lang w:eastAsia="it-IT"/>
                    </w:rPr>
                    <m:t>0+0-(-0.5)×0)</m:t>
                  </m:r>
                </m:num>
                <m:den>
                  <m:r>
                    <m:rPr>
                      <m:sty m:val="p"/>
                    </m:rPr>
                    <w:rPr>
                      <w:rFonts w:ascii="Cambria Math" w:eastAsia="Calibri" w:hAnsi="Cambria Math" w:cs="Arial"/>
                      <w:szCs w:val="20"/>
                      <w:lang w:eastAsia="it-IT"/>
                    </w:rPr>
                    <m:t>100</m:t>
                  </m:r>
                </m:den>
              </m:f>
            </m:e>
          </m:d>
          <m:r>
            <w:rPr>
              <w:rFonts w:ascii="Cambria Math" w:hAnsi="Cambria Math" w:cs="Arial"/>
              <w:szCs w:val="20"/>
              <w:lang w:eastAsia="it-IT"/>
            </w:rPr>
            <m:t>×</m:t>
          </m:r>
          <m:f>
            <m:fPr>
              <m:ctrlPr>
                <w:rPr>
                  <w:rFonts w:ascii="Cambria Math" w:hAnsi="Cambria Math" w:cs="Arial"/>
                  <w:bCs/>
                  <w:i/>
                  <w:szCs w:val="20"/>
                  <w:lang w:eastAsia="it-IT"/>
                </w:rPr>
              </m:ctrlPr>
            </m:fPr>
            <m:num>
              <m:r>
                <w:rPr>
                  <w:rFonts w:ascii="Cambria Math" w:hAnsi="Cambria Math" w:cs="Arial"/>
                  <w:szCs w:val="20"/>
                  <w:lang w:eastAsia="it-IT"/>
                </w:rPr>
                <m:t>1</m:t>
              </m:r>
            </m:num>
            <m:den>
              <m:r>
                <w:rPr>
                  <w:rFonts w:ascii="Cambria Math" w:hAnsi="Cambria Math" w:cs="Arial"/>
                  <w:szCs w:val="20"/>
                  <w:lang w:eastAsia="it-IT"/>
                </w:rPr>
                <m:t>1+(-0.5)</m:t>
              </m:r>
            </m:den>
          </m:f>
          <m:r>
            <w:rPr>
              <w:rFonts w:ascii="Cambria Math" w:hAnsi="Cambria Math" w:cs="Arial"/>
              <w:szCs w:val="20"/>
              <w:lang w:eastAsia="it-IT"/>
            </w:rPr>
            <m:t>=200%</m:t>
          </m:r>
        </m:oMath>
      </m:oMathPara>
    </w:p>
    <w:p w14:paraId="009C2163" w14:textId="77777777" w:rsidR="00920146" w:rsidRPr="00E65655" w:rsidRDefault="00920146" w:rsidP="00920146">
      <w:pPr>
        <w:spacing w:after="140" w:line="290" w:lineRule="auto"/>
        <w:jc w:val="both"/>
        <w:rPr>
          <w:rFonts w:cs="Arial"/>
          <w:szCs w:val="20"/>
        </w:rPr>
      </w:pPr>
      <w:proofErr w:type="gramStart"/>
      <w:r w:rsidRPr="00E65655">
        <w:rPr>
          <w:rFonts w:cs="Arial"/>
          <w:szCs w:val="20"/>
        </w:rPr>
        <w:t>As a consequence</w:t>
      </w:r>
      <w:proofErr w:type="gramEnd"/>
      <w:r w:rsidRPr="00E65655">
        <w:rPr>
          <w:rFonts w:cs="Arial"/>
          <w:szCs w:val="20"/>
        </w:rPr>
        <w:t>:</w:t>
      </w:r>
    </w:p>
    <w:p w14:paraId="00B9932F" w14:textId="77777777" w:rsidR="00920146" w:rsidRPr="00E65655" w:rsidRDefault="00187794" w:rsidP="00920146">
      <w:pPr>
        <w:spacing w:after="140" w:line="290" w:lineRule="auto"/>
        <w:jc w:val="both"/>
        <w:rPr>
          <w:rFonts w:cs="Arial"/>
          <w:bCs/>
          <w:szCs w:val="20"/>
          <w:lang w:eastAsia="it-IT"/>
        </w:rPr>
      </w:pPr>
      <m:oMath>
        <m:sSub>
          <m:sSubPr>
            <m:ctrlPr>
              <w:rPr>
                <w:rFonts w:ascii="Cambria Math" w:eastAsia="Calibri" w:hAnsi="Cambria Math" w:cs="Arial"/>
                <w:szCs w:val="20"/>
                <w:lang w:eastAsia="it-IT"/>
              </w:rPr>
            </m:ctrlPr>
          </m:sSubPr>
          <m:e>
            <m:r>
              <m:rPr>
                <m:sty m:val="p"/>
              </m:rPr>
              <w:rPr>
                <w:rFonts w:ascii="Cambria Math" w:eastAsia="Calibri" w:hAnsi="Cambria Math" w:cs="Arial"/>
                <w:szCs w:val="20"/>
                <w:lang w:eastAsia="it-IT"/>
              </w:rPr>
              <m:t>LR</m:t>
            </m:r>
          </m:e>
          <m:sub>
            <m:r>
              <m:rPr>
                <m:sty m:val="p"/>
              </m:rPr>
              <w:rPr>
                <w:rFonts w:ascii="Cambria Math" w:eastAsia="Calibri" w:hAnsi="Cambria Math" w:cs="Arial"/>
                <w:szCs w:val="20"/>
                <w:lang w:eastAsia="it-IT"/>
              </w:rPr>
              <m:t>t-1,t</m:t>
            </m:r>
          </m:sub>
        </m:sSub>
        <m:r>
          <m:rPr>
            <m:sty m:val="p"/>
          </m:rPr>
          <w:rPr>
            <w:rFonts w:ascii="Cambria Math" w:eastAsia="Calibri" w:hAnsi="Cambria Math" w:cs="Arial"/>
            <w:szCs w:val="20"/>
            <w:lang w:eastAsia="it-IT"/>
          </w:rPr>
          <m:t xml:space="preserve">=Leverage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num>
              <m:den>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w:rPr>
            <w:rFonts w:ascii="Cambria Math" w:eastAsiaTheme="minorEastAsia" w:hAnsi="Cambria Math" w:cs="Arial"/>
            <w:szCs w:val="20"/>
            <w:lang w:eastAsia="it-IT"/>
          </w:rPr>
          <m:t>= -</m:t>
        </m:r>
        <m:r>
          <m:rPr>
            <m:sty m:val="p"/>
          </m:rPr>
          <w:rPr>
            <w:rFonts w:ascii="Cambria Math" w:eastAsia="Calibri" w:hAnsi="Cambria Math" w:cs="Arial"/>
            <w:szCs w:val="20"/>
            <w:lang w:eastAsia="it-IT"/>
          </w:rPr>
          <m:t xml:space="preserve">5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r>
                  <m:rPr>
                    <m:sty m:val="p"/>
                  </m:rPr>
                  <w:rPr>
                    <w:rFonts w:ascii="Cambria Math" w:eastAsia="Calibri" w:hAnsi="Cambria Math" w:cs="Arial"/>
                    <w:szCs w:val="20"/>
                    <w:lang w:eastAsia="it-IT"/>
                  </w:rPr>
                  <m:t>202</m:t>
                </m:r>
              </m:num>
              <m:den>
                <m:r>
                  <m:rPr>
                    <m:sty m:val="p"/>
                  </m:rPr>
                  <w:rPr>
                    <w:rFonts w:ascii="Cambria Math" w:eastAsia="Calibri" w:hAnsi="Cambria Math" w:cs="Arial"/>
                    <w:szCs w:val="20"/>
                    <w:lang w:eastAsia="it-IT"/>
                  </w:rPr>
                  <m:t xml:space="preserve">100×200%  </m:t>
                </m:r>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m:rPr>
            <m:sty m:val="p"/>
          </m:rPr>
          <w:rPr>
            <w:rFonts w:ascii="Cambria Math" w:eastAsia="Calibri" w:hAnsi="Cambria Math" w:cs="Arial"/>
            <w:szCs w:val="20"/>
            <w:lang w:eastAsia="it-IT"/>
          </w:rPr>
          <m:t xml:space="preserve">=-5% </m:t>
        </m:r>
      </m:oMath>
      <w:r w:rsidR="00920146" w:rsidRPr="00E65655">
        <w:rPr>
          <w:rFonts w:cs="Arial"/>
          <w:bCs/>
          <w:szCs w:val="20"/>
          <w:lang w:eastAsia="it-IT"/>
        </w:rPr>
        <w:t xml:space="preserve">  </w:t>
      </w:r>
    </w:p>
    <w:p w14:paraId="6A5018BC"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2240"/>
        <w:gridCol w:w="2267"/>
        <w:gridCol w:w="2239"/>
        <w:gridCol w:w="2273"/>
      </w:tblGrid>
      <w:tr w:rsidR="00920146" w:rsidRPr="00E65655" w14:paraId="623CB09B" w14:textId="77777777" w:rsidTr="003B11EA">
        <w:tc>
          <w:tcPr>
            <w:tcW w:w="2311" w:type="dxa"/>
          </w:tcPr>
          <w:p w14:paraId="1DD1E583"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m:oMathPara>
          </w:p>
        </w:tc>
        <w:tc>
          <w:tcPr>
            <w:tcW w:w="2311" w:type="dxa"/>
          </w:tcPr>
          <w:p w14:paraId="185E8B77"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m:oMathPara>
          </w:p>
        </w:tc>
        <w:tc>
          <w:tcPr>
            <w:tcW w:w="2311" w:type="dxa"/>
          </w:tcPr>
          <w:p w14:paraId="7E190288"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m:oMathPara>
          </w:p>
        </w:tc>
        <w:tc>
          <w:tcPr>
            <w:tcW w:w="2312" w:type="dxa"/>
          </w:tcPr>
          <w:p w14:paraId="2083255A" w14:textId="77777777" w:rsidR="00920146" w:rsidRPr="00E65655" w:rsidRDefault="00920146" w:rsidP="003B11EA">
            <w:pPr>
              <w:spacing w:after="140" w:line="290" w:lineRule="auto"/>
              <w:jc w:val="both"/>
              <w:rPr>
                <w:rFonts w:cs="Arial"/>
                <w:szCs w:val="20"/>
              </w:rPr>
            </w:pPr>
            <w:r w:rsidRPr="00E65655">
              <w:rPr>
                <w:rFonts w:cs="Arial"/>
                <w:szCs w:val="20"/>
              </w:rPr>
              <w:t>Adjusted Underlying Stock Performance</w:t>
            </w:r>
          </w:p>
        </w:tc>
      </w:tr>
      <w:tr w:rsidR="00920146" w:rsidRPr="00E65655" w14:paraId="500B5177" w14:textId="77777777" w:rsidTr="003B11EA">
        <w:tc>
          <w:tcPr>
            <w:tcW w:w="2311" w:type="dxa"/>
          </w:tcPr>
          <w:p w14:paraId="4D500C04" w14:textId="77777777" w:rsidR="00920146" w:rsidRPr="00E65655" w:rsidRDefault="00920146" w:rsidP="003B11EA">
            <w:pPr>
              <w:spacing w:after="140" w:line="290" w:lineRule="auto"/>
              <w:jc w:val="both"/>
              <w:rPr>
                <w:rFonts w:cs="Arial"/>
                <w:szCs w:val="20"/>
              </w:rPr>
            </w:pPr>
            <w:r w:rsidRPr="00E65655">
              <w:rPr>
                <w:rFonts w:cs="Arial"/>
                <w:szCs w:val="20"/>
              </w:rPr>
              <w:t>100</w:t>
            </w:r>
          </w:p>
        </w:tc>
        <w:tc>
          <w:tcPr>
            <w:tcW w:w="2311" w:type="dxa"/>
          </w:tcPr>
          <w:p w14:paraId="12E9C9E6" w14:textId="77777777" w:rsidR="00920146" w:rsidRPr="00E65655" w:rsidRDefault="00920146" w:rsidP="003B11EA">
            <w:pPr>
              <w:spacing w:after="140" w:line="290" w:lineRule="auto"/>
              <w:jc w:val="both"/>
              <w:rPr>
                <w:rFonts w:cs="Arial"/>
                <w:szCs w:val="20"/>
              </w:rPr>
            </w:pPr>
            <w:r w:rsidRPr="00E65655">
              <w:rPr>
                <w:rFonts w:cs="Arial"/>
                <w:szCs w:val="20"/>
              </w:rPr>
              <w:t>200</w:t>
            </w:r>
          </w:p>
        </w:tc>
        <w:tc>
          <w:tcPr>
            <w:tcW w:w="2311" w:type="dxa"/>
          </w:tcPr>
          <w:p w14:paraId="2DF34B3B" w14:textId="77777777" w:rsidR="00920146" w:rsidRPr="00E65655" w:rsidRDefault="00920146" w:rsidP="003B11EA">
            <w:pPr>
              <w:spacing w:after="140" w:line="290" w:lineRule="auto"/>
              <w:jc w:val="both"/>
              <w:rPr>
                <w:rFonts w:cs="Arial"/>
                <w:szCs w:val="20"/>
              </w:rPr>
            </w:pPr>
            <w:r w:rsidRPr="00E65655">
              <w:rPr>
                <w:rFonts w:cs="Arial"/>
                <w:szCs w:val="20"/>
              </w:rPr>
              <w:t>202</w:t>
            </w:r>
          </w:p>
        </w:tc>
        <w:tc>
          <w:tcPr>
            <w:tcW w:w="2312" w:type="dxa"/>
          </w:tcPr>
          <w:p w14:paraId="6999E5A1" w14:textId="77777777" w:rsidR="00920146" w:rsidRPr="00E65655" w:rsidRDefault="00920146" w:rsidP="003B11EA">
            <w:pPr>
              <w:spacing w:after="140" w:line="290" w:lineRule="auto"/>
              <w:jc w:val="both"/>
              <w:rPr>
                <w:rFonts w:cs="Arial"/>
                <w:szCs w:val="20"/>
              </w:rPr>
            </w:pPr>
            <w:r w:rsidRPr="00E65655">
              <w:rPr>
                <w:rFonts w:cs="Arial"/>
                <w:szCs w:val="20"/>
              </w:rPr>
              <w:t>1%</w:t>
            </w:r>
          </w:p>
        </w:tc>
      </w:tr>
    </w:tbl>
    <w:p w14:paraId="5D41255C"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3002"/>
        <w:gridCol w:w="3004"/>
        <w:gridCol w:w="3013"/>
      </w:tblGrid>
      <w:tr w:rsidR="00920146" w:rsidRPr="00E65655" w14:paraId="65EFC926" w14:textId="77777777" w:rsidTr="00D155EB">
        <w:tc>
          <w:tcPr>
            <w:tcW w:w="3002" w:type="dxa"/>
          </w:tcPr>
          <w:p w14:paraId="2743202D"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(t-1)</w:t>
            </w:r>
          </w:p>
        </w:tc>
        <w:tc>
          <w:tcPr>
            <w:tcW w:w="3004" w:type="dxa"/>
          </w:tcPr>
          <w:p w14:paraId="55362B73"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w:t>
            </w:r>
          </w:p>
        </w:tc>
        <w:tc>
          <w:tcPr>
            <w:tcW w:w="3013" w:type="dxa"/>
          </w:tcPr>
          <w:p w14:paraId="1A2DB119" w14:textId="77777777" w:rsidR="00920146" w:rsidRPr="00E65655" w:rsidRDefault="00920146" w:rsidP="003B11EA">
            <w:pPr>
              <w:spacing w:after="140" w:line="290" w:lineRule="auto"/>
              <w:jc w:val="both"/>
              <w:rPr>
                <w:rFonts w:cs="Arial"/>
                <w:szCs w:val="20"/>
              </w:rPr>
            </w:pPr>
            <w:r w:rsidRPr="00E65655">
              <w:rPr>
                <w:rFonts w:cs="Arial"/>
                <w:szCs w:val="20"/>
              </w:rPr>
              <w:t>Certificates’ performance (excluding any cost and fees)</w:t>
            </w:r>
          </w:p>
        </w:tc>
      </w:tr>
      <w:tr w:rsidR="00013432" w:rsidRPr="00E65655" w14:paraId="40EDEAAD" w14:textId="77777777" w:rsidTr="00D155EB">
        <w:tc>
          <w:tcPr>
            <w:tcW w:w="3002" w:type="dxa"/>
          </w:tcPr>
          <w:p w14:paraId="3B049211" w14:textId="1A5C7D84" w:rsidR="00013432" w:rsidRPr="00E65655" w:rsidRDefault="0015064C" w:rsidP="00013432">
            <w:pPr>
              <w:spacing w:after="140" w:line="290" w:lineRule="auto"/>
              <w:jc w:val="both"/>
              <w:rPr>
                <w:rFonts w:cs="Arial"/>
                <w:szCs w:val="20"/>
                <w:lang w:eastAsia="zh-CN"/>
              </w:rPr>
            </w:pPr>
            <w:r>
              <w:rPr>
                <w:rFonts w:cs="Arial" w:hint="eastAsia"/>
                <w:lang w:eastAsia="zh-CN"/>
              </w:rPr>
              <w:t>0.80</w:t>
            </w:r>
          </w:p>
        </w:tc>
        <w:tc>
          <w:tcPr>
            <w:tcW w:w="3004" w:type="dxa"/>
          </w:tcPr>
          <w:p w14:paraId="39647928" w14:textId="7DC43204" w:rsidR="00013432" w:rsidRPr="00E65655" w:rsidRDefault="00D649B1" w:rsidP="002D6EF7">
            <w:pPr>
              <w:jc w:val="both"/>
              <w:rPr>
                <w:rFonts w:cs="Arial"/>
                <w:color w:val="000000"/>
                <w:szCs w:val="20"/>
                <w:lang w:val="en-SG" w:eastAsia="zh-CN"/>
              </w:rPr>
            </w:pPr>
            <w:r>
              <w:rPr>
                <w:rFonts w:cs="Arial" w:hint="eastAsia"/>
                <w:color w:val="000000"/>
                <w:szCs w:val="20"/>
                <w:lang w:eastAsia="zh-CN"/>
              </w:rPr>
              <w:t>0.76</w:t>
            </w:r>
          </w:p>
        </w:tc>
        <w:tc>
          <w:tcPr>
            <w:tcW w:w="3013" w:type="dxa"/>
          </w:tcPr>
          <w:p w14:paraId="5E88CB58" w14:textId="53C3077E" w:rsidR="00013432" w:rsidRPr="00E65655" w:rsidRDefault="00013432" w:rsidP="00013432">
            <w:pPr>
              <w:spacing w:after="140" w:line="290" w:lineRule="auto"/>
              <w:jc w:val="both"/>
              <w:rPr>
                <w:rFonts w:cs="Arial"/>
                <w:szCs w:val="20"/>
              </w:rPr>
            </w:pPr>
            <w:r w:rsidRPr="00E65655">
              <w:rPr>
                <w:rFonts w:cs="Arial"/>
                <w:szCs w:val="20"/>
              </w:rPr>
              <w:t>-5%</w:t>
            </w:r>
          </w:p>
        </w:tc>
      </w:tr>
    </w:tbl>
    <w:p w14:paraId="0250C46B" w14:textId="77777777" w:rsidR="00920146" w:rsidRPr="00E65655" w:rsidRDefault="00920146" w:rsidP="00920146">
      <w:pPr>
        <w:spacing w:after="140" w:line="290" w:lineRule="auto"/>
        <w:jc w:val="both"/>
        <w:rPr>
          <w:rFonts w:cs="Arial"/>
          <w:szCs w:val="20"/>
        </w:rPr>
      </w:pPr>
    </w:p>
    <w:p w14:paraId="6F8C00FA" w14:textId="77777777" w:rsidR="00920146" w:rsidRPr="00E65655" w:rsidRDefault="00920146" w:rsidP="00920146">
      <w:pPr>
        <w:spacing w:after="140" w:line="290" w:lineRule="auto"/>
        <w:jc w:val="both"/>
        <w:rPr>
          <w:rFonts w:cs="Arial"/>
          <w:szCs w:val="20"/>
        </w:rPr>
      </w:pPr>
      <w:r w:rsidRPr="00E65655">
        <w:rPr>
          <w:rFonts w:cs="Arial"/>
          <w:szCs w:val="20"/>
        </w:rPr>
        <w:t xml:space="preserve">In such case an Intraday Restrike Event would occur if the Underlying Stock price </w:t>
      </w:r>
      <w:proofErr w:type="gramStart"/>
      <w:r w:rsidR="00DF3013" w:rsidRPr="00E65655">
        <w:rPr>
          <w:rFonts w:cs="Arial"/>
          <w:szCs w:val="20"/>
        </w:rPr>
        <w:t>rises</w:t>
      </w:r>
      <w:proofErr w:type="gramEnd"/>
      <w:r w:rsidR="00DF3013" w:rsidRPr="00E65655">
        <w:rPr>
          <w:rFonts w:cs="Arial"/>
          <w:szCs w:val="20"/>
        </w:rPr>
        <w:t xml:space="preserve"> </w:t>
      </w:r>
      <w:r w:rsidRPr="00E65655">
        <w:rPr>
          <w:rFonts w:cs="Arial"/>
          <w:szCs w:val="20"/>
        </w:rPr>
        <w:t>to $</w:t>
      </w:r>
      <w:r w:rsidR="00DF3013" w:rsidRPr="00E65655">
        <w:rPr>
          <w:rFonts w:cs="Arial"/>
          <w:szCs w:val="20"/>
        </w:rPr>
        <w:t>230</w:t>
      </w:r>
      <w:r w:rsidRPr="00E65655">
        <w:rPr>
          <w:rFonts w:cs="Arial"/>
          <w:szCs w:val="20"/>
        </w:rPr>
        <w:t xml:space="preserve">, which is 15% </w:t>
      </w:r>
      <w:r w:rsidR="00DF3013" w:rsidRPr="00E65655">
        <w:rPr>
          <w:rFonts w:cs="Arial"/>
          <w:szCs w:val="20"/>
        </w:rPr>
        <w:t xml:space="preserve">above </w:t>
      </w:r>
      <w:r w:rsidRPr="00E65655">
        <w:rPr>
          <w:rFonts w:cs="Arial"/>
          <w:szCs w:val="20"/>
        </w:rPr>
        <w:t>$200, the Underlying Stock Reference Price.</w:t>
      </w:r>
    </w:p>
    <w:p w14:paraId="690E7B4B" w14:textId="77777777" w:rsidR="00920146" w:rsidRPr="00E65655" w:rsidRDefault="00920146" w:rsidP="00920146">
      <w:pPr>
        <w:spacing w:after="140" w:line="290" w:lineRule="auto"/>
        <w:jc w:val="both"/>
        <w:rPr>
          <w:rFonts w:cs="Arial"/>
          <w:szCs w:val="20"/>
        </w:rPr>
      </w:pPr>
    </w:p>
    <w:p w14:paraId="6B9CE28E" w14:textId="77777777" w:rsidR="00920146" w:rsidRPr="00E65655" w:rsidRDefault="00920146" w:rsidP="00920146">
      <w:pPr>
        <w:spacing w:after="140" w:line="290" w:lineRule="auto"/>
        <w:jc w:val="both"/>
        <w:rPr>
          <w:rFonts w:cs="Arial"/>
          <w:szCs w:val="20"/>
        </w:rPr>
      </w:pPr>
      <w:r w:rsidRPr="00E65655">
        <w:rPr>
          <w:rFonts w:cs="Arial"/>
          <w:szCs w:val="20"/>
        </w:rPr>
        <w:t xml:space="preserve">3. </w:t>
      </w:r>
      <w:r w:rsidRPr="00E65655">
        <w:rPr>
          <w:rFonts w:cs="Arial"/>
          <w:szCs w:val="20"/>
          <w:u w:val="single"/>
        </w:rPr>
        <w:t>Rights Issues</w:t>
      </w:r>
    </w:p>
    <w:p w14:paraId="7CAC5A84" w14:textId="77777777" w:rsidR="00920146" w:rsidRPr="00E65655" w:rsidRDefault="00920146" w:rsidP="00920146">
      <w:pPr>
        <w:spacing w:after="140" w:line="290" w:lineRule="auto"/>
        <w:jc w:val="both"/>
        <w:rPr>
          <w:rFonts w:cs="Arial"/>
          <w:szCs w:val="20"/>
        </w:rPr>
      </w:pPr>
      <w:r w:rsidRPr="00E65655">
        <w:rPr>
          <w:rFonts w:cs="Arial"/>
          <w:szCs w:val="20"/>
        </w:rPr>
        <w:t>Assuming there is a rights issue with respect to the Underlying Stock, with a right to receive 1 new Share for every 2 existing Shares, for a subscription price of $40.</w:t>
      </w:r>
    </w:p>
    <w:p w14:paraId="7B1980BF" w14:textId="77777777" w:rsidR="00920146" w:rsidRPr="00E65655" w:rsidRDefault="00187794" w:rsidP="00920146">
      <w:pPr>
        <w:spacing w:after="140" w:line="290" w:lineRule="auto"/>
        <w:jc w:val="both"/>
        <w:rPr>
          <w:rFonts w:eastAsiaTheme="minorEastAsia" w:cs="Arial"/>
          <w:bCs/>
          <w:szCs w:val="20"/>
          <w:lang w:eastAsia="it-IT"/>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w:r w:rsidR="00920146" w:rsidRPr="00E65655">
        <w:rPr>
          <w:rFonts w:eastAsiaTheme="minorEastAsia" w:cs="Arial"/>
          <w:bCs/>
          <w:szCs w:val="20"/>
          <w:lang w:eastAsia="it-IT"/>
        </w:rPr>
        <w:t xml:space="preserve"> = $100</w:t>
      </w:r>
    </w:p>
    <w:p w14:paraId="1C6D16E6" w14:textId="77777777" w:rsidR="00920146" w:rsidRPr="00E65655" w:rsidRDefault="00187794" w:rsidP="00920146">
      <w:pPr>
        <w:spacing w:after="140" w:line="290" w:lineRule="auto"/>
        <w:jc w:val="both"/>
        <w:rPr>
          <w:rFonts w:cs="Arial"/>
          <w:szCs w:val="20"/>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w:r w:rsidR="00920146" w:rsidRPr="00E65655">
        <w:rPr>
          <w:rFonts w:cs="Arial"/>
          <w:szCs w:val="20"/>
        </w:rPr>
        <w:t xml:space="preserve"> = $84</w:t>
      </w:r>
    </w:p>
    <w:p w14:paraId="2014449B"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Div</m:t>
              </m:r>
            </m:e>
            <m:sub>
              <m:r>
                <m:rPr>
                  <m:sty m:val="p"/>
                </m:rPr>
                <w:rPr>
                  <w:rFonts w:ascii="Cambria Math" w:eastAsia="Calibri" w:hAnsi="Cambria Math" w:cs="Arial"/>
                  <w:szCs w:val="20"/>
                  <w:lang w:eastAsia="it-IT"/>
                </w:rPr>
                <m:t>t</m:t>
              </m:r>
            </m:sub>
          </m:sSub>
          <m:r>
            <m:rPr>
              <m:sty m:val="p"/>
            </m:rPr>
            <w:rPr>
              <w:rFonts w:ascii="Cambria Math" w:eastAsia="Calibri" w:hAnsi="Cambria Math" w:cs="Arial"/>
              <w:szCs w:val="20"/>
              <w:lang w:eastAsia="it-IT"/>
            </w:rPr>
            <m:t>=$0</m:t>
          </m:r>
        </m:oMath>
      </m:oMathPara>
    </w:p>
    <w:p w14:paraId="4498B9FC"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hAnsi="Cambria Math" w:cs="Arial"/>
                  <w:bCs/>
                  <w:szCs w:val="20"/>
                  <w:lang w:eastAsia="it-IT"/>
                </w:rPr>
              </m:ctrlPr>
            </m:sSubPr>
            <m:e>
              <m:r>
                <m:rPr>
                  <m:sty m:val="p"/>
                </m:rPr>
                <w:rPr>
                  <w:rFonts w:ascii="Cambria Math" w:hAnsi="Cambria Math" w:cs="Arial"/>
                  <w:szCs w:val="20"/>
                  <w:lang w:eastAsia="it-IT"/>
                </w:rPr>
                <m:t>DivExc</m:t>
              </m:r>
            </m:e>
            <m:sub>
              <m:r>
                <m:rPr>
                  <m:sty m:val="p"/>
                </m:rPr>
                <w:rPr>
                  <w:rFonts w:ascii="Cambria Math" w:hAnsi="Cambria Math" w:cs="Arial"/>
                  <w:szCs w:val="20"/>
                  <w:lang w:eastAsia="it-IT"/>
                </w:rPr>
                <m:t>t</m:t>
              </m:r>
            </m:sub>
          </m:sSub>
          <m:r>
            <m:rPr>
              <m:sty m:val="p"/>
            </m:rPr>
            <w:rPr>
              <w:rFonts w:ascii="Cambria Math" w:hAnsi="Cambria Math" w:cs="Arial"/>
              <w:szCs w:val="20"/>
              <w:lang w:eastAsia="it-IT"/>
            </w:rPr>
            <m:t>=$0</m:t>
          </m:r>
        </m:oMath>
      </m:oMathPara>
    </w:p>
    <w:p w14:paraId="3223E3EC" w14:textId="77777777" w:rsidR="00920146" w:rsidRPr="00E65655" w:rsidRDefault="00920146" w:rsidP="00920146">
      <w:pPr>
        <w:spacing w:after="140" w:line="290" w:lineRule="auto"/>
        <w:jc w:val="both"/>
        <w:rPr>
          <w:rFonts w:cs="Arial"/>
          <w:szCs w:val="20"/>
        </w:rPr>
      </w:pPr>
      <w:r w:rsidRPr="00E65655">
        <w:rPr>
          <w:rFonts w:cs="Arial"/>
          <w:szCs w:val="20"/>
        </w:rPr>
        <w:t>R = $40 (i.e. subscription price of $40)</w:t>
      </w:r>
    </w:p>
    <w:p w14:paraId="25EB9360" w14:textId="77777777" w:rsidR="00920146" w:rsidRPr="00E65655" w:rsidRDefault="00920146" w:rsidP="00920146">
      <w:pPr>
        <w:spacing w:after="140" w:line="290" w:lineRule="auto"/>
        <w:jc w:val="both"/>
        <w:rPr>
          <w:rFonts w:cs="Arial"/>
          <w:szCs w:val="20"/>
        </w:rPr>
      </w:pPr>
      <w:r w:rsidRPr="00E65655">
        <w:rPr>
          <w:rFonts w:cs="Arial"/>
          <w:szCs w:val="20"/>
        </w:rPr>
        <w:t>M = 0.5 (i.e. 1 new share for every 2 existing shares)</w:t>
      </w:r>
    </w:p>
    <w:p w14:paraId="59819E05" w14:textId="77777777" w:rsidR="00920146" w:rsidRPr="00E65655" w:rsidRDefault="00187794" w:rsidP="00920146">
      <w:pPr>
        <w:spacing w:after="140" w:line="290" w:lineRule="auto"/>
        <w:jc w:val="both"/>
        <w:rPr>
          <w:rFonts w:eastAsiaTheme="minorEastAsia" w:cs="Arial"/>
          <w:szCs w:val="20"/>
        </w:rPr>
      </w:pPr>
      <m:oMathPara>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r>
            <w:rPr>
              <w:rFonts w:ascii="Cambria Math" w:hAnsi="Cambria Math" w:cs="Arial"/>
              <w:szCs w:val="20"/>
              <w:lang w:eastAsia="it-IT"/>
            </w:rPr>
            <m:t>=</m:t>
          </m:r>
          <m:d>
            <m:dPr>
              <m:begChr m:val="["/>
              <m:endChr m:val="]"/>
              <m:ctrlPr>
                <w:rPr>
                  <w:rFonts w:ascii="Cambria Math" w:hAnsi="Cambria Math" w:cs="Arial"/>
                  <w:bCs/>
                  <w:i/>
                  <w:szCs w:val="20"/>
                  <w:lang w:eastAsia="it-IT"/>
                </w:rPr>
              </m:ctrlPr>
            </m:dPr>
            <m:e>
              <m:r>
                <w:rPr>
                  <w:rFonts w:ascii="Cambria Math" w:hAnsi="Cambria Math" w:cs="Arial"/>
                  <w:szCs w:val="20"/>
                  <w:lang w:eastAsia="it-IT"/>
                </w:rPr>
                <m:t>1-</m:t>
              </m:r>
              <m:f>
                <m:fPr>
                  <m:ctrlPr>
                    <w:rPr>
                      <w:rFonts w:ascii="Cambria Math" w:hAnsi="Cambria Math" w:cs="Arial"/>
                      <w:bCs/>
                      <w:i/>
                      <w:szCs w:val="20"/>
                      <w:lang w:eastAsia="it-IT"/>
                    </w:rPr>
                  </m:ctrlPr>
                </m:fPr>
                <m:num>
                  <m:r>
                    <w:rPr>
                      <w:rFonts w:ascii="Cambria Math" w:hAnsi="Cambria Math" w:cs="Arial"/>
                      <w:szCs w:val="20"/>
                      <w:lang w:eastAsia="it-IT"/>
                    </w:rPr>
                    <m:t>0+0-0.5×40</m:t>
                  </m:r>
                </m:num>
                <m:den>
                  <m:r>
                    <m:rPr>
                      <m:sty m:val="p"/>
                    </m:rPr>
                    <w:rPr>
                      <w:rFonts w:ascii="Cambria Math" w:eastAsia="Calibri" w:hAnsi="Cambria Math" w:cs="Arial"/>
                      <w:szCs w:val="20"/>
                      <w:lang w:eastAsia="it-IT"/>
                    </w:rPr>
                    <m:t>100</m:t>
                  </m:r>
                </m:den>
              </m:f>
            </m:e>
          </m:d>
          <m:r>
            <w:rPr>
              <w:rFonts w:ascii="Cambria Math" w:hAnsi="Cambria Math" w:cs="Arial"/>
              <w:szCs w:val="20"/>
              <w:lang w:eastAsia="it-IT"/>
            </w:rPr>
            <m:t>×</m:t>
          </m:r>
          <m:f>
            <m:fPr>
              <m:ctrlPr>
                <w:rPr>
                  <w:rFonts w:ascii="Cambria Math" w:hAnsi="Cambria Math" w:cs="Arial"/>
                  <w:bCs/>
                  <w:i/>
                  <w:szCs w:val="20"/>
                  <w:lang w:eastAsia="it-IT"/>
                </w:rPr>
              </m:ctrlPr>
            </m:fPr>
            <m:num>
              <m:r>
                <w:rPr>
                  <w:rFonts w:ascii="Cambria Math" w:hAnsi="Cambria Math" w:cs="Arial"/>
                  <w:szCs w:val="20"/>
                  <w:lang w:eastAsia="it-IT"/>
                </w:rPr>
                <m:t>1</m:t>
              </m:r>
            </m:num>
            <m:den>
              <m:r>
                <w:rPr>
                  <w:rFonts w:ascii="Cambria Math" w:hAnsi="Cambria Math" w:cs="Arial"/>
                  <w:szCs w:val="20"/>
                  <w:lang w:eastAsia="it-IT"/>
                </w:rPr>
                <m:t>1+0.5</m:t>
              </m:r>
            </m:den>
          </m:f>
          <m:r>
            <w:rPr>
              <w:rFonts w:ascii="Cambria Math" w:hAnsi="Cambria Math" w:cs="Arial"/>
              <w:szCs w:val="20"/>
              <w:lang w:eastAsia="it-IT"/>
            </w:rPr>
            <m:t>=80%</m:t>
          </m:r>
        </m:oMath>
      </m:oMathPara>
    </w:p>
    <w:p w14:paraId="5C97FEFB" w14:textId="77777777" w:rsidR="00920146" w:rsidRPr="00E65655" w:rsidRDefault="00920146" w:rsidP="00920146">
      <w:pPr>
        <w:spacing w:after="140" w:line="290" w:lineRule="auto"/>
        <w:jc w:val="both"/>
        <w:rPr>
          <w:rFonts w:cs="Arial"/>
          <w:szCs w:val="20"/>
        </w:rPr>
      </w:pPr>
      <w:proofErr w:type="gramStart"/>
      <w:r w:rsidRPr="00E65655">
        <w:rPr>
          <w:rFonts w:cs="Arial"/>
          <w:szCs w:val="20"/>
        </w:rPr>
        <w:t>As a consequence</w:t>
      </w:r>
      <w:proofErr w:type="gramEnd"/>
      <w:r w:rsidRPr="00E65655">
        <w:rPr>
          <w:rFonts w:cs="Arial"/>
          <w:szCs w:val="20"/>
        </w:rPr>
        <w:t>:</w:t>
      </w:r>
    </w:p>
    <w:p w14:paraId="4E1DC2DE" w14:textId="77777777" w:rsidR="00920146" w:rsidRPr="00E65655" w:rsidRDefault="00187794" w:rsidP="00920146">
      <w:pPr>
        <w:spacing w:after="140" w:line="290" w:lineRule="auto"/>
        <w:jc w:val="both"/>
        <w:rPr>
          <w:rFonts w:cs="Arial"/>
          <w:bCs/>
          <w:szCs w:val="20"/>
          <w:lang w:eastAsia="it-IT"/>
        </w:rPr>
      </w:pPr>
      <m:oMath>
        <m:sSub>
          <m:sSubPr>
            <m:ctrlPr>
              <w:rPr>
                <w:rFonts w:ascii="Cambria Math" w:eastAsia="Calibri" w:hAnsi="Cambria Math" w:cs="Arial"/>
                <w:szCs w:val="20"/>
                <w:lang w:eastAsia="it-IT"/>
              </w:rPr>
            </m:ctrlPr>
          </m:sSubPr>
          <m:e>
            <m:r>
              <m:rPr>
                <m:sty m:val="p"/>
              </m:rPr>
              <w:rPr>
                <w:rFonts w:ascii="Cambria Math" w:eastAsia="Calibri" w:hAnsi="Cambria Math" w:cs="Arial"/>
                <w:szCs w:val="20"/>
                <w:lang w:eastAsia="it-IT"/>
              </w:rPr>
              <m:t>LR</m:t>
            </m:r>
          </m:e>
          <m:sub>
            <m:r>
              <m:rPr>
                <m:sty m:val="p"/>
              </m:rPr>
              <w:rPr>
                <w:rFonts w:ascii="Cambria Math" w:eastAsia="Calibri" w:hAnsi="Cambria Math" w:cs="Arial"/>
                <w:szCs w:val="20"/>
                <w:lang w:eastAsia="it-IT"/>
              </w:rPr>
              <m:t>t-1,t</m:t>
            </m:r>
          </m:sub>
        </m:sSub>
        <m:r>
          <m:rPr>
            <m:sty m:val="p"/>
          </m:rPr>
          <w:rPr>
            <w:rFonts w:ascii="Cambria Math" w:eastAsia="Calibri" w:hAnsi="Cambria Math" w:cs="Arial"/>
            <w:szCs w:val="20"/>
            <w:lang w:eastAsia="it-IT"/>
          </w:rPr>
          <m:t xml:space="preserve">=Leverage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num>
              <m:den>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w:rPr>
            <w:rFonts w:ascii="Cambria Math" w:eastAsiaTheme="minorEastAsia" w:hAnsi="Cambria Math" w:cs="Arial"/>
            <w:szCs w:val="20"/>
            <w:lang w:eastAsia="it-IT"/>
          </w:rPr>
          <m:t>= -</m:t>
        </m:r>
        <m:r>
          <m:rPr>
            <m:sty m:val="p"/>
          </m:rPr>
          <w:rPr>
            <w:rFonts w:ascii="Cambria Math" w:eastAsia="Calibri" w:hAnsi="Cambria Math" w:cs="Arial"/>
            <w:szCs w:val="20"/>
            <w:lang w:eastAsia="it-IT"/>
          </w:rPr>
          <m:t xml:space="preserve">5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r>
                  <m:rPr>
                    <m:sty m:val="p"/>
                  </m:rPr>
                  <w:rPr>
                    <w:rFonts w:ascii="Cambria Math" w:eastAsia="Calibri" w:hAnsi="Cambria Math" w:cs="Arial"/>
                    <w:szCs w:val="20"/>
                    <w:lang w:eastAsia="it-IT"/>
                  </w:rPr>
                  <m:t>84</m:t>
                </m:r>
              </m:num>
              <m:den>
                <m:r>
                  <m:rPr>
                    <m:sty m:val="p"/>
                  </m:rPr>
                  <w:rPr>
                    <w:rFonts w:ascii="Cambria Math" w:eastAsia="Calibri" w:hAnsi="Cambria Math" w:cs="Arial"/>
                    <w:szCs w:val="20"/>
                    <w:lang w:eastAsia="it-IT"/>
                  </w:rPr>
                  <m:t>100 × 80%</m:t>
                </m:r>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m:rPr>
            <m:sty m:val="p"/>
          </m:rPr>
          <w:rPr>
            <w:rFonts w:ascii="Cambria Math" w:eastAsia="Calibri" w:hAnsi="Cambria Math" w:cs="Arial"/>
            <w:szCs w:val="20"/>
            <w:lang w:eastAsia="it-IT"/>
          </w:rPr>
          <m:t xml:space="preserve">=-25% </m:t>
        </m:r>
      </m:oMath>
      <w:r w:rsidR="00920146" w:rsidRPr="00E65655">
        <w:rPr>
          <w:rFonts w:cs="Arial"/>
          <w:bCs/>
          <w:szCs w:val="20"/>
          <w:lang w:eastAsia="it-IT"/>
        </w:rPr>
        <w:t xml:space="preserve">  </w:t>
      </w:r>
    </w:p>
    <w:p w14:paraId="66C996C3" w14:textId="77777777" w:rsidR="00920146" w:rsidRPr="00E65655" w:rsidRDefault="00920146" w:rsidP="00920146">
      <w:pPr>
        <w:spacing w:after="140" w:line="290" w:lineRule="auto"/>
        <w:jc w:val="both"/>
        <w:rPr>
          <w:rFonts w:cs="Arial"/>
          <w:bCs/>
          <w:szCs w:val="20"/>
          <w:lang w:eastAsia="it-IT"/>
        </w:rPr>
      </w:pPr>
    </w:p>
    <w:tbl>
      <w:tblPr>
        <w:tblStyle w:val="TableGrid"/>
        <w:tblW w:w="0" w:type="auto"/>
        <w:tblLook w:val="04A0" w:firstRow="1" w:lastRow="0" w:firstColumn="1" w:lastColumn="0" w:noHBand="0" w:noVBand="1"/>
      </w:tblPr>
      <w:tblGrid>
        <w:gridCol w:w="2242"/>
        <w:gridCol w:w="2267"/>
        <w:gridCol w:w="2236"/>
        <w:gridCol w:w="2274"/>
      </w:tblGrid>
      <w:tr w:rsidR="00920146" w:rsidRPr="00E65655" w14:paraId="72BFE9E0" w14:textId="77777777" w:rsidTr="003B11EA">
        <w:tc>
          <w:tcPr>
            <w:tcW w:w="2311" w:type="dxa"/>
          </w:tcPr>
          <w:p w14:paraId="5EA9A80E"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m:oMathPara>
          </w:p>
        </w:tc>
        <w:tc>
          <w:tcPr>
            <w:tcW w:w="2311" w:type="dxa"/>
          </w:tcPr>
          <w:p w14:paraId="2DA10C89"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m:oMathPara>
          </w:p>
        </w:tc>
        <w:tc>
          <w:tcPr>
            <w:tcW w:w="2311" w:type="dxa"/>
          </w:tcPr>
          <w:p w14:paraId="166AA961"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m:oMathPara>
          </w:p>
        </w:tc>
        <w:tc>
          <w:tcPr>
            <w:tcW w:w="2312" w:type="dxa"/>
          </w:tcPr>
          <w:p w14:paraId="14F0BE44" w14:textId="77777777" w:rsidR="00920146" w:rsidRPr="00E65655" w:rsidRDefault="00920146" w:rsidP="003B11EA">
            <w:pPr>
              <w:spacing w:after="140" w:line="290" w:lineRule="auto"/>
              <w:jc w:val="both"/>
              <w:rPr>
                <w:rFonts w:cs="Arial"/>
                <w:szCs w:val="20"/>
              </w:rPr>
            </w:pPr>
            <w:r w:rsidRPr="00E65655">
              <w:rPr>
                <w:rFonts w:cs="Arial"/>
                <w:szCs w:val="20"/>
              </w:rPr>
              <w:t>Adjusted Underlying Stock Performance</w:t>
            </w:r>
          </w:p>
        </w:tc>
      </w:tr>
      <w:tr w:rsidR="00920146" w:rsidRPr="00E65655" w14:paraId="47451E5F" w14:textId="77777777" w:rsidTr="003B11EA">
        <w:tc>
          <w:tcPr>
            <w:tcW w:w="2311" w:type="dxa"/>
          </w:tcPr>
          <w:p w14:paraId="477C38E6" w14:textId="77777777" w:rsidR="00920146" w:rsidRPr="00E65655" w:rsidRDefault="00920146" w:rsidP="003B11EA">
            <w:pPr>
              <w:spacing w:after="140" w:line="290" w:lineRule="auto"/>
              <w:jc w:val="both"/>
              <w:rPr>
                <w:rFonts w:cs="Arial"/>
                <w:szCs w:val="20"/>
              </w:rPr>
            </w:pPr>
            <w:r w:rsidRPr="00E65655">
              <w:rPr>
                <w:rFonts w:cs="Arial"/>
                <w:szCs w:val="20"/>
              </w:rPr>
              <w:t>100</w:t>
            </w:r>
          </w:p>
        </w:tc>
        <w:tc>
          <w:tcPr>
            <w:tcW w:w="2311" w:type="dxa"/>
          </w:tcPr>
          <w:p w14:paraId="039FB995" w14:textId="77777777" w:rsidR="00920146" w:rsidRPr="00E65655" w:rsidRDefault="00920146" w:rsidP="003B11EA">
            <w:pPr>
              <w:spacing w:after="140" w:line="290" w:lineRule="auto"/>
              <w:jc w:val="both"/>
              <w:rPr>
                <w:rFonts w:cs="Arial"/>
                <w:szCs w:val="20"/>
              </w:rPr>
            </w:pPr>
            <w:r w:rsidRPr="00E65655">
              <w:rPr>
                <w:rFonts w:cs="Arial"/>
                <w:szCs w:val="20"/>
              </w:rPr>
              <w:t>80</w:t>
            </w:r>
          </w:p>
        </w:tc>
        <w:tc>
          <w:tcPr>
            <w:tcW w:w="2311" w:type="dxa"/>
          </w:tcPr>
          <w:p w14:paraId="219F3D6E" w14:textId="77777777" w:rsidR="00920146" w:rsidRPr="00E65655" w:rsidRDefault="00920146" w:rsidP="003B11EA">
            <w:pPr>
              <w:spacing w:after="140" w:line="290" w:lineRule="auto"/>
              <w:jc w:val="both"/>
              <w:rPr>
                <w:rFonts w:cs="Arial"/>
                <w:szCs w:val="20"/>
              </w:rPr>
            </w:pPr>
            <w:r w:rsidRPr="00E65655">
              <w:rPr>
                <w:rFonts w:cs="Arial"/>
                <w:szCs w:val="20"/>
              </w:rPr>
              <w:t>84</w:t>
            </w:r>
          </w:p>
        </w:tc>
        <w:tc>
          <w:tcPr>
            <w:tcW w:w="2312" w:type="dxa"/>
          </w:tcPr>
          <w:p w14:paraId="7504768E" w14:textId="77777777" w:rsidR="00920146" w:rsidRPr="00E65655" w:rsidRDefault="00920146" w:rsidP="003B11EA">
            <w:pPr>
              <w:spacing w:after="140" w:line="290" w:lineRule="auto"/>
              <w:jc w:val="both"/>
              <w:rPr>
                <w:rFonts w:cs="Arial"/>
                <w:szCs w:val="20"/>
              </w:rPr>
            </w:pPr>
            <w:r w:rsidRPr="00E65655">
              <w:rPr>
                <w:rFonts w:cs="Arial"/>
                <w:szCs w:val="20"/>
              </w:rPr>
              <w:t>5%</w:t>
            </w:r>
          </w:p>
        </w:tc>
      </w:tr>
    </w:tbl>
    <w:p w14:paraId="41AAF4DC"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3002"/>
        <w:gridCol w:w="3004"/>
        <w:gridCol w:w="3013"/>
      </w:tblGrid>
      <w:tr w:rsidR="00920146" w:rsidRPr="00E65655" w14:paraId="19E06947" w14:textId="77777777" w:rsidTr="00D155EB">
        <w:tc>
          <w:tcPr>
            <w:tcW w:w="3002" w:type="dxa"/>
          </w:tcPr>
          <w:p w14:paraId="5680674C"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(t-1)</w:t>
            </w:r>
          </w:p>
        </w:tc>
        <w:tc>
          <w:tcPr>
            <w:tcW w:w="3004" w:type="dxa"/>
          </w:tcPr>
          <w:p w14:paraId="1707C479"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w:t>
            </w:r>
          </w:p>
        </w:tc>
        <w:tc>
          <w:tcPr>
            <w:tcW w:w="3013" w:type="dxa"/>
          </w:tcPr>
          <w:p w14:paraId="20092515" w14:textId="77777777" w:rsidR="00920146" w:rsidRPr="00E65655" w:rsidRDefault="00920146" w:rsidP="003B11EA">
            <w:pPr>
              <w:spacing w:after="140" w:line="290" w:lineRule="auto"/>
              <w:jc w:val="both"/>
              <w:rPr>
                <w:rFonts w:cs="Arial"/>
                <w:szCs w:val="20"/>
              </w:rPr>
            </w:pPr>
            <w:r w:rsidRPr="00E65655">
              <w:rPr>
                <w:rFonts w:cs="Arial"/>
                <w:szCs w:val="20"/>
              </w:rPr>
              <w:t>Certificates’ performance (excluding any cost and fees)</w:t>
            </w:r>
          </w:p>
        </w:tc>
      </w:tr>
      <w:tr w:rsidR="00025EEA" w:rsidRPr="00E65655" w14:paraId="1C7FA53F" w14:textId="77777777" w:rsidTr="00B171EA">
        <w:trPr>
          <w:trHeight w:val="278"/>
        </w:trPr>
        <w:tc>
          <w:tcPr>
            <w:tcW w:w="3002" w:type="dxa"/>
          </w:tcPr>
          <w:p w14:paraId="513389AE" w14:textId="4481FD13" w:rsidR="00025EEA" w:rsidRPr="00E65655" w:rsidRDefault="00D649B1" w:rsidP="00025EEA">
            <w:pPr>
              <w:spacing w:after="140" w:line="290" w:lineRule="auto"/>
              <w:jc w:val="both"/>
              <w:rPr>
                <w:rFonts w:cs="Arial"/>
                <w:szCs w:val="20"/>
                <w:lang w:eastAsia="zh-CN"/>
              </w:rPr>
            </w:pPr>
            <w:r>
              <w:rPr>
                <w:rFonts w:cs="Arial" w:hint="eastAsia"/>
                <w:szCs w:val="20"/>
                <w:lang w:eastAsia="zh-CN"/>
              </w:rPr>
              <w:t>0.80</w:t>
            </w:r>
          </w:p>
        </w:tc>
        <w:tc>
          <w:tcPr>
            <w:tcW w:w="3004" w:type="dxa"/>
          </w:tcPr>
          <w:p w14:paraId="4135BD97" w14:textId="693CBAFD" w:rsidR="00025EEA" w:rsidRPr="00E65655" w:rsidRDefault="00D649B1" w:rsidP="002D6EF7">
            <w:pPr>
              <w:jc w:val="both"/>
              <w:rPr>
                <w:rFonts w:cs="Arial"/>
                <w:color w:val="000000"/>
                <w:szCs w:val="20"/>
                <w:lang w:val="en-SG" w:eastAsia="zh-CN"/>
              </w:rPr>
            </w:pPr>
            <w:r>
              <w:rPr>
                <w:rFonts w:cs="Arial" w:hint="eastAsia"/>
                <w:color w:val="000000"/>
                <w:szCs w:val="20"/>
                <w:lang w:eastAsia="zh-CN"/>
              </w:rPr>
              <w:t>0.60</w:t>
            </w:r>
          </w:p>
        </w:tc>
        <w:tc>
          <w:tcPr>
            <w:tcW w:w="3013" w:type="dxa"/>
          </w:tcPr>
          <w:p w14:paraId="45B71A7A" w14:textId="58210009" w:rsidR="00025EEA" w:rsidRPr="00E65655" w:rsidRDefault="00025EEA" w:rsidP="00025EEA">
            <w:pPr>
              <w:spacing w:after="140" w:line="290" w:lineRule="auto"/>
              <w:jc w:val="both"/>
              <w:rPr>
                <w:rFonts w:cs="Arial"/>
                <w:szCs w:val="20"/>
              </w:rPr>
            </w:pPr>
            <w:r w:rsidRPr="00E65655">
              <w:rPr>
                <w:rFonts w:cs="Arial"/>
                <w:szCs w:val="20"/>
              </w:rPr>
              <w:t>-25%</w:t>
            </w:r>
          </w:p>
        </w:tc>
      </w:tr>
    </w:tbl>
    <w:p w14:paraId="67F31D14" w14:textId="77777777" w:rsidR="00920146" w:rsidRPr="00E65655" w:rsidRDefault="00920146" w:rsidP="00920146">
      <w:pPr>
        <w:spacing w:after="140" w:line="290" w:lineRule="auto"/>
        <w:jc w:val="both"/>
        <w:rPr>
          <w:rFonts w:cs="Arial"/>
          <w:b/>
          <w:szCs w:val="20"/>
        </w:rPr>
      </w:pPr>
    </w:p>
    <w:p w14:paraId="74AF7522" w14:textId="77777777" w:rsidR="00920146" w:rsidRPr="00E65655" w:rsidRDefault="00920146" w:rsidP="00920146">
      <w:pPr>
        <w:spacing w:after="140" w:line="290" w:lineRule="auto"/>
        <w:jc w:val="both"/>
        <w:rPr>
          <w:rFonts w:cs="Arial"/>
          <w:szCs w:val="20"/>
        </w:rPr>
      </w:pPr>
      <w:r w:rsidRPr="00E65655">
        <w:rPr>
          <w:rFonts w:cs="Arial"/>
          <w:szCs w:val="20"/>
        </w:rPr>
        <w:t xml:space="preserve">In such case an Intraday Restrike Event would occur if the Underlying Stock price </w:t>
      </w:r>
      <w:proofErr w:type="gramStart"/>
      <w:r w:rsidR="00DF3013" w:rsidRPr="00E65655">
        <w:rPr>
          <w:rFonts w:cs="Arial"/>
          <w:szCs w:val="20"/>
        </w:rPr>
        <w:t>rise</w:t>
      </w:r>
      <w:r w:rsidRPr="00E65655">
        <w:rPr>
          <w:rFonts w:cs="Arial"/>
          <w:szCs w:val="20"/>
        </w:rPr>
        <w:t>s</w:t>
      </w:r>
      <w:proofErr w:type="gramEnd"/>
      <w:r w:rsidRPr="00E65655">
        <w:rPr>
          <w:rFonts w:cs="Arial"/>
          <w:szCs w:val="20"/>
        </w:rPr>
        <w:t xml:space="preserve"> to $</w:t>
      </w:r>
      <w:r w:rsidR="00DF3013" w:rsidRPr="00E65655">
        <w:rPr>
          <w:rFonts w:cs="Arial"/>
          <w:szCs w:val="20"/>
        </w:rPr>
        <w:t>92</w:t>
      </w:r>
      <w:r w:rsidRPr="00E65655">
        <w:rPr>
          <w:rFonts w:cs="Arial"/>
          <w:szCs w:val="20"/>
        </w:rPr>
        <w:t xml:space="preserve">, which is 15% </w:t>
      </w:r>
      <w:r w:rsidR="00DF3013" w:rsidRPr="00E65655">
        <w:rPr>
          <w:rFonts w:cs="Arial"/>
          <w:szCs w:val="20"/>
        </w:rPr>
        <w:t xml:space="preserve">above </w:t>
      </w:r>
      <w:r w:rsidRPr="00E65655">
        <w:rPr>
          <w:rFonts w:cs="Arial"/>
          <w:szCs w:val="20"/>
        </w:rPr>
        <w:t>$80, the Underlying Stock Reference Price.</w:t>
      </w:r>
    </w:p>
    <w:p w14:paraId="11F8934E" w14:textId="77777777" w:rsidR="00920146" w:rsidRPr="00E65655" w:rsidRDefault="00920146" w:rsidP="00920146">
      <w:pPr>
        <w:spacing w:after="140" w:line="290" w:lineRule="auto"/>
        <w:jc w:val="both"/>
        <w:rPr>
          <w:rFonts w:cs="Arial"/>
          <w:szCs w:val="20"/>
        </w:rPr>
      </w:pPr>
      <w:r w:rsidRPr="00E65655">
        <w:rPr>
          <w:rFonts w:cs="Arial"/>
          <w:szCs w:val="20"/>
        </w:rPr>
        <w:lastRenderedPageBreak/>
        <w:t xml:space="preserve">4. </w:t>
      </w:r>
      <w:r w:rsidRPr="00E65655">
        <w:rPr>
          <w:rFonts w:cs="Arial"/>
          <w:szCs w:val="20"/>
          <w:u w:val="single"/>
        </w:rPr>
        <w:t>Bonus Issues</w:t>
      </w:r>
    </w:p>
    <w:p w14:paraId="0837D1A2" w14:textId="77777777" w:rsidR="00920146" w:rsidRPr="00E65655" w:rsidRDefault="00920146" w:rsidP="00920146">
      <w:pPr>
        <w:spacing w:after="140" w:line="290" w:lineRule="auto"/>
        <w:jc w:val="both"/>
        <w:rPr>
          <w:rFonts w:cs="Arial"/>
          <w:szCs w:val="20"/>
        </w:rPr>
      </w:pPr>
      <w:r w:rsidRPr="00E65655">
        <w:rPr>
          <w:rFonts w:cs="Arial"/>
          <w:szCs w:val="20"/>
        </w:rPr>
        <w:t>Assuming there is a bonus issue with respect to the Underlying Stock, where shareholders receive 1 bonus share for 5 existing shares:</w:t>
      </w:r>
    </w:p>
    <w:p w14:paraId="6071F377" w14:textId="77777777" w:rsidR="00920146" w:rsidRPr="00E65655" w:rsidRDefault="00187794" w:rsidP="00920146">
      <w:pPr>
        <w:spacing w:after="140" w:line="290" w:lineRule="auto"/>
        <w:jc w:val="both"/>
        <w:rPr>
          <w:rFonts w:eastAsiaTheme="minorEastAsia" w:cs="Arial"/>
          <w:bCs/>
          <w:szCs w:val="20"/>
          <w:lang w:eastAsia="it-IT"/>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w:r w:rsidR="00920146" w:rsidRPr="00E65655">
        <w:rPr>
          <w:rFonts w:eastAsiaTheme="minorEastAsia" w:cs="Arial"/>
          <w:bCs/>
          <w:szCs w:val="20"/>
          <w:lang w:eastAsia="it-IT"/>
        </w:rPr>
        <w:t xml:space="preserve"> = $100</w:t>
      </w:r>
    </w:p>
    <w:p w14:paraId="0E95FE3D" w14:textId="77777777" w:rsidR="00920146" w:rsidRPr="00E65655" w:rsidRDefault="00187794" w:rsidP="00920146">
      <w:pPr>
        <w:spacing w:after="140" w:line="290" w:lineRule="auto"/>
        <w:jc w:val="both"/>
        <w:rPr>
          <w:rFonts w:cs="Arial"/>
          <w:szCs w:val="20"/>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w:r w:rsidR="00920146" w:rsidRPr="00E65655">
        <w:rPr>
          <w:rFonts w:cs="Arial"/>
          <w:szCs w:val="20"/>
        </w:rPr>
        <w:t xml:space="preserve"> = $85</w:t>
      </w:r>
    </w:p>
    <w:p w14:paraId="2B47341E" w14:textId="77777777" w:rsidR="00920146" w:rsidRPr="00E65655" w:rsidRDefault="00187794" w:rsidP="00920146">
      <w:pPr>
        <w:spacing w:after="140" w:line="290" w:lineRule="auto"/>
        <w:jc w:val="both"/>
        <w:rPr>
          <w:rFonts w:eastAsiaTheme="minorEastAsia" w:cs="Arial"/>
          <w:szCs w:val="20"/>
          <w:lang w:eastAsia="it-IT"/>
        </w:rPr>
      </w:pPr>
      <m:oMathPara>
        <m:oMathParaPr>
          <m:jc m:val="left"/>
        </m:oMathPara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Div</m:t>
              </m:r>
            </m:e>
            <m:sub>
              <m:r>
                <m:rPr>
                  <m:sty m:val="p"/>
                </m:rPr>
                <w:rPr>
                  <w:rFonts w:ascii="Cambria Math" w:eastAsia="Calibri" w:hAnsi="Cambria Math" w:cs="Arial"/>
                  <w:szCs w:val="20"/>
                  <w:lang w:eastAsia="it-IT"/>
                </w:rPr>
                <m:t>t</m:t>
              </m:r>
            </m:sub>
          </m:sSub>
          <m:r>
            <m:rPr>
              <m:sty m:val="p"/>
            </m:rPr>
            <w:rPr>
              <w:rFonts w:ascii="Cambria Math" w:eastAsia="Calibri" w:hAnsi="Cambria Math" w:cs="Arial"/>
              <w:szCs w:val="20"/>
              <w:lang w:eastAsia="it-IT"/>
            </w:rPr>
            <m:t>=$0</m:t>
          </m:r>
        </m:oMath>
      </m:oMathPara>
    </w:p>
    <w:p w14:paraId="65A72116"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hAnsi="Cambria Math" w:cs="Arial"/>
                  <w:bCs/>
                  <w:szCs w:val="20"/>
                  <w:lang w:eastAsia="it-IT"/>
                </w:rPr>
              </m:ctrlPr>
            </m:sSubPr>
            <m:e>
              <m:r>
                <m:rPr>
                  <m:sty m:val="p"/>
                </m:rPr>
                <w:rPr>
                  <w:rFonts w:ascii="Cambria Math" w:hAnsi="Cambria Math" w:cs="Arial"/>
                  <w:szCs w:val="20"/>
                  <w:lang w:eastAsia="it-IT"/>
                </w:rPr>
                <m:t>DivExc</m:t>
              </m:r>
            </m:e>
            <m:sub>
              <m:r>
                <m:rPr>
                  <m:sty m:val="p"/>
                </m:rPr>
                <w:rPr>
                  <w:rFonts w:ascii="Cambria Math" w:hAnsi="Cambria Math" w:cs="Arial"/>
                  <w:szCs w:val="20"/>
                  <w:lang w:eastAsia="it-IT"/>
                </w:rPr>
                <m:t>t</m:t>
              </m:r>
            </m:sub>
          </m:sSub>
          <m:r>
            <m:rPr>
              <m:sty m:val="p"/>
            </m:rPr>
            <w:rPr>
              <w:rFonts w:ascii="Cambria Math" w:hAnsi="Cambria Math" w:cs="Arial"/>
              <w:szCs w:val="20"/>
              <w:lang w:eastAsia="it-IT"/>
            </w:rPr>
            <m:t>=$0</m:t>
          </m:r>
        </m:oMath>
      </m:oMathPara>
    </w:p>
    <w:p w14:paraId="57AD400D" w14:textId="77777777" w:rsidR="00920146" w:rsidRPr="00E65655" w:rsidRDefault="00920146" w:rsidP="00920146">
      <w:pPr>
        <w:spacing w:after="140" w:line="290" w:lineRule="auto"/>
        <w:jc w:val="both"/>
        <w:rPr>
          <w:rFonts w:cs="Arial"/>
          <w:szCs w:val="20"/>
        </w:rPr>
      </w:pPr>
      <w:r w:rsidRPr="00E65655">
        <w:rPr>
          <w:rFonts w:cs="Arial"/>
          <w:szCs w:val="20"/>
        </w:rPr>
        <w:t xml:space="preserve">R = $0 </w:t>
      </w:r>
    </w:p>
    <w:p w14:paraId="2C7F249D" w14:textId="77777777" w:rsidR="00920146" w:rsidRPr="00E65655" w:rsidRDefault="00920146" w:rsidP="00920146">
      <w:pPr>
        <w:spacing w:after="140" w:line="290" w:lineRule="auto"/>
        <w:jc w:val="both"/>
        <w:rPr>
          <w:rFonts w:cs="Arial"/>
          <w:szCs w:val="20"/>
        </w:rPr>
      </w:pPr>
      <w:r w:rsidRPr="00E65655">
        <w:rPr>
          <w:rFonts w:cs="Arial"/>
          <w:szCs w:val="20"/>
        </w:rPr>
        <w:t>M = 0.2 (i.e. 1 new share for 5 existing shares)</w:t>
      </w:r>
    </w:p>
    <w:p w14:paraId="24AC7879" w14:textId="77777777" w:rsidR="00920146" w:rsidRPr="00E65655" w:rsidRDefault="00187794" w:rsidP="00920146">
      <w:pPr>
        <w:spacing w:after="140" w:line="290" w:lineRule="auto"/>
        <w:rPr>
          <w:rFonts w:cs="Arial"/>
          <w:szCs w:val="20"/>
        </w:rPr>
      </w:pPr>
      <m:oMathPara>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r>
            <w:rPr>
              <w:rFonts w:ascii="Cambria Math" w:hAnsi="Cambria Math" w:cs="Arial"/>
              <w:szCs w:val="20"/>
              <w:lang w:eastAsia="it-IT"/>
            </w:rPr>
            <m:t>=</m:t>
          </m:r>
          <m:d>
            <m:dPr>
              <m:begChr m:val="["/>
              <m:endChr m:val="]"/>
              <m:ctrlPr>
                <w:rPr>
                  <w:rFonts w:ascii="Cambria Math" w:hAnsi="Cambria Math" w:cs="Arial"/>
                  <w:bCs/>
                  <w:i/>
                  <w:szCs w:val="20"/>
                  <w:lang w:eastAsia="it-IT"/>
                </w:rPr>
              </m:ctrlPr>
            </m:dPr>
            <m:e>
              <m:r>
                <w:rPr>
                  <w:rFonts w:ascii="Cambria Math" w:hAnsi="Cambria Math" w:cs="Arial"/>
                  <w:szCs w:val="20"/>
                  <w:lang w:eastAsia="it-IT"/>
                </w:rPr>
                <m:t>1-</m:t>
              </m:r>
              <m:f>
                <m:fPr>
                  <m:ctrlPr>
                    <w:rPr>
                      <w:rFonts w:ascii="Cambria Math" w:hAnsi="Cambria Math" w:cs="Arial"/>
                      <w:bCs/>
                      <w:i/>
                      <w:szCs w:val="20"/>
                      <w:lang w:eastAsia="it-IT"/>
                    </w:rPr>
                  </m:ctrlPr>
                </m:fPr>
                <m:num>
                  <m:r>
                    <w:rPr>
                      <w:rFonts w:ascii="Cambria Math" w:hAnsi="Cambria Math" w:cs="Arial"/>
                      <w:szCs w:val="20"/>
                      <w:lang w:eastAsia="it-IT"/>
                    </w:rPr>
                    <m:t>0+0-0.2×0</m:t>
                  </m:r>
                </m:num>
                <m:den>
                  <m:r>
                    <m:rPr>
                      <m:sty m:val="p"/>
                    </m:rPr>
                    <w:rPr>
                      <w:rFonts w:ascii="Cambria Math" w:eastAsia="Calibri" w:hAnsi="Cambria Math" w:cs="Arial"/>
                      <w:szCs w:val="20"/>
                      <w:lang w:eastAsia="it-IT"/>
                    </w:rPr>
                    <m:t>100</m:t>
                  </m:r>
                </m:den>
              </m:f>
            </m:e>
          </m:d>
          <m:r>
            <w:rPr>
              <w:rFonts w:ascii="Cambria Math" w:hAnsi="Cambria Math" w:cs="Arial"/>
              <w:szCs w:val="20"/>
              <w:lang w:eastAsia="it-IT"/>
            </w:rPr>
            <m:t>×</m:t>
          </m:r>
          <m:f>
            <m:fPr>
              <m:ctrlPr>
                <w:rPr>
                  <w:rFonts w:ascii="Cambria Math" w:hAnsi="Cambria Math" w:cs="Arial"/>
                  <w:bCs/>
                  <w:i/>
                  <w:szCs w:val="20"/>
                  <w:lang w:eastAsia="it-IT"/>
                </w:rPr>
              </m:ctrlPr>
            </m:fPr>
            <m:num>
              <m:r>
                <w:rPr>
                  <w:rFonts w:ascii="Cambria Math" w:hAnsi="Cambria Math" w:cs="Arial"/>
                  <w:szCs w:val="20"/>
                  <w:lang w:eastAsia="it-IT"/>
                </w:rPr>
                <m:t>1</m:t>
              </m:r>
            </m:num>
            <m:den>
              <m:r>
                <w:rPr>
                  <w:rFonts w:ascii="Cambria Math" w:hAnsi="Cambria Math" w:cs="Arial"/>
                  <w:szCs w:val="20"/>
                  <w:lang w:eastAsia="it-IT"/>
                </w:rPr>
                <m:t>1+0.2</m:t>
              </m:r>
            </m:den>
          </m:f>
          <m:r>
            <w:rPr>
              <w:rFonts w:ascii="Cambria Math" w:hAnsi="Cambria Math" w:cs="Arial"/>
              <w:szCs w:val="20"/>
              <w:lang w:eastAsia="it-IT"/>
            </w:rPr>
            <m:t>=83.33%</m:t>
          </m:r>
        </m:oMath>
      </m:oMathPara>
    </w:p>
    <w:p w14:paraId="079680D8" w14:textId="77777777" w:rsidR="00920146" w:rsidRPr="00E65655" w:rsidRDefault="00920146" w:rsidP="00920146">
      <w:pPr>
        <w:spacing w:after="140" w:line="290" w:lineRule="auto"/>
        <w:jc w:val="both"/>
        <w:rPr>
          <w:rFonts w:cs="Arial"/>
          <w:szCs w:val="20"/>
        </w:rPr>
      </w:pPr>
      <w:proofErr w:type="gramStart"/>
      <w:r w:rsidRPr="00E65655">
        <w:rPr>
          <w:rFonts w:cs="Arial"/>
          <w:szCs w:val="20"/>
        </w:rPr>
        <w:t>As a consequence</w:t>
      </w:r>
      <w:proofErr w:type="gramEnd"/>
      <w:r w:rsidRPr="00E65655">
        <w:rPr>
          <w:rFonts w:cs="Arial"/>
          <w:szCs w:val="20"/>
        </w:rPr>
        <w:t>:</w:t>
      </w:r>
    </w:p>
    <w:p w14:paraId="33D98B80" w14:textId="77777777" w:rsidR="00920146" w:rsidRPr="00E65655" w:rsidRDefault="00187794" w:rsidP="00920146">
      <w:pPr>
        <w:spacing w:after="140" w:line="290" w:lineRule="auto"/>
        <w:jc w:val="both"/>
        <w:rPr>
          <w:rFonts w:cs="Arial"/>
          <w:bCs/>
          <w:szCs w:val="20"/>
          <w:lang w:eastAsia="it-IT"/>
        </w:rPr>
      </w:pPr>
      <m:oMath>
        <m:sSub>
          <m:sSubPr>
            <m:ctrlPr>
              <w:rPr>
                <w:rFonts w:ascii="Cambria Math" w:eastAsia="Calibri" w:hAnsi="Cambria Math" w:cs="Arial"/>
                <w:szCs w:val="20"/>
                <w:lang w:eastAsia="it-IT"/>
              </w:rPr>
            </m:ctrlPr>
          </m:sSubPr>
          <m:e>
            <m:r>
              <m:rPr>
                <m:sty m:val="p"/>
              </m:rPr>
              <w:rPr>
                <w:rFonts w:ascii="Cambria Math" w:eastAsia="Calibri" w:hAnsi="Cambria Math" w:cs="Arial"/>
                <w:szCs w:val="20"/>
                <w:lang w:eastAsia="it-IT"/>
              </w:rPr>
              <m:t>LR</m:t>
            </m:r>
          </m:e>
          <m:sub>
            <m:r>
              <m:rPr>
                <m:sty m:val="p"/>
              </m:rPr>
              <w:rPr>
                <w:rFonts w:ascii="Cambria Math" w:eastAsia="Calibri" w:hAnsi="Cambria Math" w:cs="Arial"/>
                <w:szCs w:val="20"/>
                <w:lang w:eastAsia="it-IT"/>
              </w:rPr>
              <m:t>t-1,t</m:t>
            </m:r>
          </m:sub>
        </m:sSub>
        <m:r>
          <m:rPr>
            <m:sty m:val="p"/>
          </m:rPr>
          <w:rPr>
            <w:rFonts w:ascii="Cambria Math" w:eastAsia="Calibri" w:hAnsi="Cambria Math" w:cs="Arial"/>
            <w:szCs w:val="20"/>
            <w:lang w:eastAsia="it-IT"/>
          </w:rPr>
          <m:t xml:space="preserve">=Leverage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num>
              <m:den>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m:rPr>
            <m:sty m:val="p"/>
          </m:rPr>
          <w:rPr>
            <w:rFonts w:ascii="Cambria Math" w:eastAsia="Calibri" w:hAnsi="Cambria Math" w:cs="Arial"/>
            <w:szCs w:val="20"/>
            <w:lang w:eastAsia="it-IT"/>
          </w:rPr>
          <m:t>=</m:t>
        </m:r>
        <m:r>
          <w:rPr>
            <w:rFonts w:ascii="Cambria Math" w:eastAsiaTheme="minorEastAsia" w:hAnsi="Cambria Math" w:cs="Arial"/>
            <w:szCs w:val="20"/>
            <w:lang w:eastAsia="it-IT"/>
          </w:rPr>
          <m:t xml:space="preserve"> -</m:t>
        </m:r>
        <m:r>
          <m:rPr>
            <m:sty m:val="p"/>
          </m:rPr>
          <w:rPr>
            <w:rFonts w:ascii="Cambria Math" w:eastAsia="Calibri" w:hAnsi="Cambria Math" w:cs="Arial"/>
            <w:szCs w:val="20"/>
            <w:lang w:eastAsia="it-IT"/>
          </w:rPr>
          <m:t xml:space="preserve">5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r>
                  <m:rPr>
                    <m:sty m:val="p"/>
                  </m:rPr>
                  <w:rPr>
                    <w:rFonts w:ascii="Cambria Math" w:eastAsia="Calibri" w:hAnsi="Cambria Math" w:cs="Arial"/>
                    <w:szCs w:val="20"/>
                    <w:lang w:eastAsia="it-IT"/>
                  </w:rPr>
                  <m:t>85</m:t>
                </m:r>
              </m:num>
              <m:den>
                <m:r>
                  <m:rPr>
                    <m:sty m:val="p"/>
                  </m:rPr>
                  <w:rPr>
                    <w:rFonts w:ascii="Cambria Math" w:eastAsia="Calibri" w:hAnsi="Cambria Math" w:cs="Arial"/>
                    <w:szCs w:val="20"/>
                    <w:lang w:eastAsia="it-IT"/>
                  </w:rPr>
                  <m:t>100 × 83.33%</m:t>
                </m:r>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m:rPr>
            <m:sty m:val="p"/>
          </m:rPr>
          <w:rPr>
            <w:rFonts w:ascii="Cambria Math" w:eastAsia="Calibri" w:hAnsi="Cambria Math" w:cs="Arial"/>
            <w:szCs w:val="20"/>
            <w:lang w:eastAsia="it-IT"/>
          </w:rPr>
          <m:t>=-</m:t>
        </m:r>
        <m:r>
          <w:rPr>
            <w:rFonts w:ascii="Cambria Math" w:eastAsiaTheme="minorEastAsia" w:hAnsi="Cambria Math" w:cs="Arial"/>
            <w:szCs w:val="20"/>
            <w:lang w:eastAsia="it-IT"/>
          </w:rPr>
          <m:t>10%</m:t>
        </m:r>
      </m:oMath>
      <w:r w:rsidR="00920146" w:rsidRPr="00E65655">
        <w:rPr>
          <w:rFonts w:cs="Arial"/>
          <w:bCs/>
          <w:szCs w:val="20"/>
          <w:lang w:eastAsia="it-IT"/>
        </w:rPr>
        <w:t xml:space="preserve"> </w:t>
      </w:r>
    </w:p>
    <w:p w14:paraId="3BC98DB5" w14:textId="77777777" w:rsidR="00920146" w:rsidRPr="00E65655" w:rsidRDefault="00920146" w:rsidP="00920146">
      <w:pPr>
        <w:spacing w:after="140" w:line="290" w:lineRule="auto"/>
        <w:jc w:val="both"/>
        <w:rPr>
          <w:rFonts w:cs="Arial"/>
          <w:bCs/>
          <w:szCs w:val="20"/>
          <w:lang w:eastAsia="it-IT"/>
        </w:rPr>
      </w:pPr>
    </w:p>
    <w:tbl>
      <w:tblPr>
        <w:tblStyle w:val="TableGrid"/>
        <w:tblW w:w="0" w:type="auto"/>
        <w:tblLook w:val="04A0" w:firstRow="1" w:lastRow="0" w:firstColumn="1" w:lastColumn="0" w:noHBand="0" w:noVBand="1"/>
      </w:tblPr>
      <w:tblGrid>
        <w:gridCol w:w="2242"/>
        <w:gridCol w:w="2267"/>
        <w:gridCol w:w="2236"/>
        <w:gridCol w:w="2274"/>
      </w:tblGrid>
      <w:tr w:rsidR="00920146" w:rsidRPr="00E65655" w14:paraId="54685B98" w14:textId="77777777" w:rsidTr="003B11EA">
        <w:tc>
          <w:tcPr>
            <w:tcW w:w="2311" w:type="dxa"/>
          </w:tcPr>
          <w:p w14:paraId="3E4E3B49"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m:oMathPara>
          </w:p>
        </w:tc>
        <w:tc>
          <w:tcPr>
            <w:tcW w:w="2311" w:type="dxa"/>
          </w:tcPr>
          <w:p w14:paraId="5A4533E3"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m:oMathPara>
          </w:p>
        </w:tc>
        <w:tc>
          <w:tcPr>
            <w:tcW w:w="2311" w:type="dxa"/>
          </w:tcPr>
          <w:p w14:paraId="2BE47989"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m:oMathPara>
          </w:p>
        </w:tc>
        <w:tc>
          <w:tcPr>
            <w:tcW w:w="2312" w:type="dxa"/>
          </w:tcPr>
          <w:p w14:paraId="77175016" w14:textId="77777777" w:rsidR="00920146" w:rsidRPr="00E65655" w:rsidRDefault="00920146" w:rsidP="003B11EA">
            <w:pPr>
              <w:spacing w:after="140" w:line="290" w:lineRule="auto"/>
              <w:jc w:val="both"/>
              <w:rPr>
                <w:rFonts w:cs="Arial"/>
                <w:szCs w:val="20"/>
              </w:rPr>
            </w:pPr>
            <w:r w:rsidRPr="00E65655">
              <w:rPr>
                <w:rFonts w:cs="Arial"/>
                <w:szCs w:val="20"/>
              </w:rPr>
              <w:t>Adjusted Underlying Stock Performance</w:t>
            </w:r>
          </w:p>
        </w:tc>
      </w:tr>
      <w:tr w:rsidR="00920146" w:rsidRPr="00E65655" w14:paraId="451BA748" w14:textId="77777777" w:rsidTr="003B11EA">
        <w:tc>
          <w:tcPr>
            <w:tcW w:w="2311" w:type="dxa"/>
          </w:tcPr>
          <w:p w14:paraId="428EBCF2" w14:textId="77777777" w:rsidR="00920146" w:rsidRPr="00E65655" w:rsidRDefault="00920146" w:rsidP="003B11EA">
            <w:pPr>
              <w:spacing w:after="140" w:line="290" w:lineRule="auto"/>
              <w:jc w:val="both"/>
              <w:rPr>
                <w:rFonts w:cs="Arial"/>
                <w:szCs w:val="20"/>
              </w:rPr>
            </w:pPr>
            <w:r w:rsidRPr="00E65655">
              <w:rPr>
                <w:rFonts w:cs="Arial"/>
                <w:szCs w:val="20"/>
              </w:rPr>
              <w:t>100</w:t>
            </w:r>
          </w:p>
        </w:tc>
        <w:tc>
          <w:tcPr>
            <w:tcW w:w="2311" w:type="dxa"/>
          </w:tcPr>
          <w:p w14:paraId="78F36AE0" w14:textId="77777777" w:rsidR="00920146" w:rsidRPr="00E65655" w:rsidRDefault="00920146" w:rsidP="003B11EA">
            <w:pPr>
              <w:spacing w:after="140" w:line="290" w:lineRule="auto"/>
              <w:jc w:val="both"/>
              <w:rPr>
                <w:rFonts w:cs="Arial"/>
                <w:szCs w:val="20"/>
              </w:rPr>
            </w:pPr>
            <w:r w:rsidRPr="00E65655">
              <w:rPr>
                <w:rFonts w:cs="Arial"/>
                <w:szCs w:val="20"/>
              </w:rPr>
              <w:t>83.33</w:t>
            </w:r>
          </w:p>
        </w:tc>
        <w:tc>
          <w:tcPr>
            <w:tcW w:w="2311" w:type="dxa"/>
          </w:tcPr>
          <w:p w14:paraId="2D5800D9" w14:textId="77777777" w:rsidR="00920146" w:rsidRPr="00E65655" w:rsidRDefault="00920146" w:rsidP="003B11EA">
            <w:pPr>
              <w:spacing w:after="140" w:line="290" w:lineRule="auto"/>
              <w:jc w:val="both"/>
              <w:rPr>
                <w:rFonts w:cs="Arial"/>
                <w:szCs w:val="20"/>
              </w:rPr>
            </w:pPr>
            <w:r w:rsidRPr="00E65655">
              <w:rPr>
                <w:rFonts w:cs="Arial"/>
                <w:szCs w:val="20"/>
              </w:rPr>
              <w:t>85</w:t>
            </w:r>
          </w:p>
        </w:tc>
        <w:tc>
          <w:tcPr>
            <w:tcW w:w="2312" w:type="dxa"/>
          </w:tcPr>
          <w:p w14:paraId="242546D9" w14:textId="77777777" w:rsidR="00920146" w:rsidRPr="00E65655" w:rsidRDefault="00920146" w:rsidP="003B11EA">
            <w:pPr>
              <w:spacing w:after="140" w:line="290" w:lineRule="auto"/>
              <w:jc w:val="both"/>
              <w:rPr>
                <w:rFonts w:cs="Arial"/>
                <w:szCs w:val="20"/>
              </w:rPr>
            </w:pPr>
            <w:r w:rsidRPr="00E65655">
              <w:rPr>
                <w:rFonts w:cs="Arial"/>
                <w:szCs w:val="20"/>
              </w:rPr>
              <w:t>2%</w:t>
            </w:r>
          </w:p>
        </w:tc>
      </w:tr>
    </w:tbl>
    <w:p w14:paraId="50ED54B0"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3002"/>
        <w:gridCol w:w="3004"/>
        <w:gridCol w:w="3013"/>
      </w:tblGrid>
      <w:tr w:rsidR="00920146" w:rsidRPr="00E65655" w14:paraId="6BFA55EC" w14:textId="77777777" w:rsidTr="00D155EB">
        <w:tc>
          <w:tcPr>
            <w:tcW w:w="3002" w:type="dxa"/>
          </w:tcPr>
          <w:p w14:paraId="3BD6D47B"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(t-1)</w:t>
            </w:r>
          </w:p>
        </w:tc>
        <w:tc>
          <w:tcPr>
            <w:tcW w:w="3004" w:type="dxa"/>
          </w:tcPr>
          <w:p w14:paraId="3BA245C8"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w:t>
            </w:r>
          </w:p>
        </w:tc>
        <w:tc>
          <w:tcPr>
            <w:tcW w:w="3013" w:type="dxa"/>
          </w:tcPr>
          <w:p w14:paraId="5B5BCDFD" w14:textId="77777777" w:rsidR="00920146" w:rsidRPr="00E65655" w:rsidRDefault="00920146" w:rsidP="003B11EA">
            <w:pPr>
              <w:spacing w:after="140" w:line="290" w:lineRule="auto"/>
              <w:jc w:val="both"/>
              <w:rPr>
                <w:rFonts w:cs="Arial"/>
                <w:szCs w:val="20"/>
              </w:rPr>
            </w:pPr>
            <w:r w:rsidRPr="00E65655">
              <w:rPr>
                <w:rFonts w:cs="Arial"/>
                <w:szCs w:val="20"/>
              </w:rPr>
              <w:t>Certificates’ performance (excluding any cost and fees)</w:t>
            </w:r>
          </w:p>
        </w:tc>
      </w:tr>
      <w:tr w:rsidR="00294428" w:rsidRPr="00E65655" w14:paraId="7DBB8714" w14:textId="77777777" w:rsidTr="00D155EB">
        <w:tc>
          <w:tcPr>
            <w:tcW w:w="3002" w:type="dxa"/>
          </w:tcPr>
          <w:p w14:paraId="7DBF37F7" w14:textId="600CFBDB" w:rsidR="00294428" w:rsidRPr="00E65655" w:rsidRDefault="00D649B1" w:rsidP="00294428">
            <w:pPr>
              <w:spacing w:after="140" w:line="290" w:lineRule="auto"/>
              <w:jc w:val="both"/>
              <w:rPr>
                <w:rFonts w:cs="Arial"/>
                <w:szCs w:val="20"/>
                <w:lang w:eastAsia="zh-CN"/>
              </w:rPr>
            </w:pPr>
            <w:r>
              <w:rPr>
                <w:rFonts w:cs="Arial" w:hint="eastAsia"/>
                <w:szCs w:val="20"/>
                <w:lang w:eastAsia="zh-CN"/>
              </w:rPr>
              <w:t>0.80</w:t>
            </w:r>
          </w:p>
        </w:tc>
        <w:tc>
          <w:tcPr>
            <w:tcW w:w="3004" w:type="dxa"/>
          </w:tcPr>
          <w:p w14:paraId="2BD2FB0A" w14:textId="5C633A77" w:rsidR="00294428" w:rsidRPr="00E65655" w:rsidRDefault="004F2257" w:rsidP="002D6EF7">
            <w:pPr>
              <w:jc w:val="both"/>
              <w:rPr>
                <w:rFonts w:cs="Arial"/>
                <w:color w:val="000000"/>
                <w:szCs w:val="20"/>
                <w:lang w:val="en-SG" w:eastAsia="zh-CN"/>
              </w:rPr>
            </w:pPr>
            <w:r w:rsidRPr="00E65655">
              <w:rPr>
                <w:rFonts w:cs="Arial" w:hint="eastAsia"/>
                <w:color w:val="000000"/>
                <w:szCs w:val="20"/>
                <w:lang w:eastAsia="zh-CN"/>
              </w:rPr>
              <w:t>0</w:t>
            </w:r>
            <w:r w:rsidR="0016254F">
              <w:rPr>
                <w:rFonts w:cs="Arial" w:hint="eastAsia"/>
                <w:color w:val="000000"/>
                <w:szCs w:val="20"/>
                <w:lang w:eastAsia="zh-CN"/>
              </w:rPr>
              <w:t>.</w:t>
            </w:r>
            <w:r w:rsidR="00D649B1">
              <w:rPr>
                <w:rFonts w:cs="Arial" w:hint="eastAsia"/>
                <w:color w:val="000000"/>
                <w:szCs w:val="20"/>
                <w:lang w:eastAsia="zh-CN"/>
              </w:rPr>
              <w:t>72</w:t>
            </w:r>
          </w:p>
        </w:tc>
        <w:tc>
          <w:tcPr>
            <w:tcW w:w="3013" w:type="dxa"/>
          </w:tcPr>
          <w:p w14:paraId="57F56F4B" w14:textId="7C0DDDD0" w:rsidR="00294428" w:rsidRPr="00E65655" w:rsidRDefault="00294428" w:rsidP="00294428">
            <w:pPr>
              <w:spacing w:after="140" w:line="290" w:lineRule="auto"/>
              <w:jc w:val="both"/>
              <w:rPr>
                <w:rFonts w:cs="Arial"/>
                <w:szCs w:val="20"/>
              </w:rPr>
            </w:pPr>
            <w:r w:rsidRPr="00E65655">
              <w:rPr>
                <w:rFonts w:cs="Arial"/>
                <w:szCs w:val="20"/>
              </w:rPr>
              <w:t>-10%</w:t>
            </w:r>
          </w:p>
        </w:tc>
      </w:tr>
    </w:tbl>
    <w:p w14:paraId="1E3A0D9E" w14:textId="77777777" w:rsidR="00920146" w:rsidRPr="00E65655" w:rsidRDefault="00920146" w:rsidP="00920146">
      <w:pPr>
        <w:spacing w:after="140" w:line="290" w:lineRule="auto"/>
        <w:jc w:val="both"/>
        <w:rPr>
          <w:rFonts w:cs="Arial"/>
          <w:b/>
          <w:szCs w:val="20"/>
        </w:rPr>
      </w:pPr>
    </w:p>
    <w:p w14:paraId="342929E9" w14:textId="77777777" w:rsidR="00920146" w:rsidRPr="00E65655" w:rsidRDefault="00920146" w:rsidP="00920146">
      <w:pPr>
        <w:spacing w:after="140" w:line="290" w:lineRule="auto"/>
        <w:jc w:val="both"/>
        <w:rPr>
          <w:rFonts w:cs="Arial"/>
          <w:szCs w:val="20"/>
        </w:rPr>
      </w:pPr>
      <w:r w:rsidRPr="00E65655">
        <w:rPr>
          <w:rFonts w:cs="Arial"/>
          <w:szCs w:val="20"/>
        </w:rPr>
        <w:t xml:space="preserve">In such case an Intraday Restrike Event would occur if the Underlying Stock price </w:t>
      </w:r>
      <w:proofErr w:type="gramStart"/>
      <w:r w:rsidR="00DF3013" w:rsidRPr="00E65655">
        <w:rPr>
          <w:rFonts w:cs="Arial"/>
          <w:szCs w:val="20"/>
        </w:rPr>
        <w:t>rises</w:t>
      </w:r>
      <w:proofErr w:type="gramEnd"/>
      <w:r w:rsidR="00DF3013" w:rsidRPr="00E65655">
        <w:rPr>
          <w:rFonts w:cs="Arial"/>
          <w:szCs w:val="20"/>
        </w:rPr>
        <w:t xml:space="preserve"> </w:t>
      </w:r>
      <w:r w:rsidRPr="00E65655">
        <w:rPr>
          <w:rFonts w:cs="Arial"/>
          <w:szCs w:val="20"/>
        </w:rPr>
        <w:t>to $</w:t>
      </w:r>
      <w:r w:rsidR="00DF3013" w:rsidRPr="00E65655">
        <w:rPr>
          <w:rFonts w:cs="Arial"/>
          <w:szCs w:val="20"/>
        </w:rPr>
        <w:t>95.83</w:t>
      </w:r>
      <w:r w:rsidRPr="00E65655">
        <w:rPr>
          <w:rFonts w:cs="Arial"/>
          <w:szCs w:val="20"/>
        </w:rPr>
        <w:t xml:space="preserve">, which is 15% </w:t>
      </w:r>
      <w:r w:rsidR="00DF3013" w:rsidRPr="00E65655">
        <w:rPr>
          <w:rFonts w:cs="Arial"/>
          <w:szCs w:val="20"/>
        </w:rPr>
        <w:t xml:space="preserve">above </w:t>
      </w:r>
      <w:r w:rsidRPr="00E65655">
        <w:rPr>
          <w:rFonts w:cs="Arial"/>
          <w:szCs w:val="20"/>
        </w:rPr>
        <w:t>$83.33, the Underlying Stock Reference Price.</w:t>
      </w:r>
    </w:p>
    <w:p w14:paraId="2A399C5F" w14:textId="77777777" w:rsidR="00920146" w:rsidRPr="00E65655" w:rsidRDefault="00920146" w:rsidP="00920146">
      <w:pPr>
        <w:spacing w:after="140" w:line="290" w:lineRule="auto"/>
        <w:jc w:val="both"/>
        <w:rPr>
          <w:rFonts w:cs="Arial"/>
          <w:b/>
          <w:szCs w:val="20"/>
        </w:rPr>
      </w:pPr>
    </w:p>
    <w:p w14:paraId="7F30C259" w14:textId="77777777" w:rsidR="00920146" w:rsidRPr="00E65655" w:rsidRDefault="00920146" w:rsidP="00920146">
      <w:pPr>
        <w:spacing w:after="140" w:line="290" w:lineRule="auto"/>
        <w:jc w:val="both"/>
        <w:rPr>
          <w:rFonts w:cs="Arial"/>
          <w:szCs w:val="20"/>
          <w:u w:val="single"/>
        </w:rPr>
      </w:pPr>
      <w:r w:rsidRPr="00E65655">
        <w:rPr>
          <w:rFonts w:cs="Arial"/>
          <w:szCs w:val="20"/>
        </w:rPr>
        <w:t xml:space="preserve">5. </w:t>
      </w:r>
      <w:r w:rsidRPr="00E65655">
        <w:rPr>
          <w:rFonts w:cs="Arial"/>
          <w:szCs w:val="20"/>
          <w:u w:val="single"/>
        </w:rPr>
        <w:t>Extraordinary Dividend</w:t>
      </w:r>
    </w:p>
    <w:p w14:paraId="0C9CC85F" w14:textId="77777777" w:rsidR="00920146" w:rsidRPr="00E65655" w:rsidRDefault="00920146" w:rsidP="00920146">
      <w:pPr>
        <w:pStyle w:val="Default"/>
        <w:spacing w:after="140" w:line="290" w:lineRule="auto"/>
        <w:jc w:val="both"/>
        <w:rPr>
          <w:rFonts w:ascii="Arial" w:hAnsi="Arial" w:cs="Arial"/>
          <w:color w:val="auto"/>
          <w:sz w:val="20"/>
          <w:szCs w:val="20"/>
        </w:rPr>
      </w:pPr>
      <w:r w:rsidRPr="00E65655">
        <w:rPr>
          <w:rFonts w:ascii="Arial" w:hAnsi="Arial" w:cs="Arial"/>
          <w:sz w:val="20"/>
          <w:szCs w:val="20"/>
        </w:rPr>
        <w:t>Assuming there is an extraordinary dividend of $20 (net of taxes) paid in respect of each stock</w:t>
      </w:r>
      <w:r w:rsidRPr="00E65655">
        <w:rPr>
          <w:rFonts w:ascii="Arial" w:hAnsi="Arial" w:cs="Arial"/>
          <w:color w:val="auto"/>
          <w:sz w:val="20"/>
          <w:szCs w:val="20"/>
        </w:rPr>
        <w:t>.</w:t>
      </w:r>
    </w:p>
    <w:p w14:paraId="75BF97AF" w14:textId="77777777" w:rsidR="00920146" w:rsidRPr="00E65655" w:rsidRDefault="00187794" w:rsidP="00920146">
      <w:pPr>
        <w:spacing w:after="140" w:line="290" w:lineRule="auto"/>
        <w:jc w:val="both"/>
        <w:rPr>
          <w:rFonts w:eastAsiaTheme="minorEastAsia" w:cs="Arial"/>
          <w:bCs/>
          <w:szCs w:val="20"/>
          <w:lang w:eastAsia="it-IT"/>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w:r w:rsidR="00920146" w:rsidRPr="00E65655">
        <w:rPr>
          <w:rFonts w:eastAsiaTheme="minorEastAsia" w:cs="Arial"/>
          <w:bCs/>
          <w:szCs w:val="20"/>
          <w:lang w:eastAsia="it-IT"/>
        </w:rPr>
        <w:t xml:space="preserve"> = $100</w:t>
      </w:r>
    </w:p>
    <w:p w14:paraId="522B1719" w14:textId="77777777" w:rsidR="00920146" w:rsidRPr="00E65655" w:rsidRDefault="00187794" w:rsidP="00920146">
      <w:pPr>
        <w:spacing w:after="140" w:line="290" w:lineRule="auto"/>
        <w:jc w:val="both"/>
        <w:rPr>
          <w:rFonts w:cs="Arial"/>
          <w:szCs w:val="20"/>
        </w:rPr>
      </w:p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w:r w:rsidR="00920146" w:rsidRPr="00E65655">
        <w:rPr>
          <w:rFonts w:cs="Arial"/>
          <w:szCs w:val="20"/>
        </w:rPr>
        <w:t xml:space="preserve"> = $84</w:t>
      </w:r>
    </w:p>
    <w:p w14:paraId="5A22041B" w14:textId="77777777" w:rsidR="00920146" w:rsidRPr="00E65655" w:rsidRDefault="00187794" w:rsidP="00920146">
      <w:pPr>
        <w:spacing w:after="140" w:line="290" w:lineRule="auto"/>
        <w:jc w:val="both"/>
        <w:rPr>
          <w:rFonts w:eastAsiaTheme="minorEastAsia" w:cs="Arial"/>
          <w:szCs w:val="20"/>
          <w:lang w:eastAsia="it-IT"/>
        </w:rPr>
      </w:pPr>
      <m:oMathPara>
        <m:oMathParaPr>
          <m:jc m:val="left"/>
        </m:oMathParaPr>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Div</m:t>
              </m:r>
            </m:e>
            <m:sub>
              <m:r>
                <m:rPr>
                  <m:sty m:val="p"/>
                </m:rPr>
                <w:rPr>
                  <w:rFonts w:ascii="Cambria Math" w:eastAsia="Calibri" w:hAnsi="Cambria Math" w:cs="Arial"/>
                  <w:szCs w:val="20"/>
                  <w:lang w:eastAsia="it-IT"/>
                </w:rPr>
                <m:t>t</m:t>
              </m:r>
            </m:sub>
          </m:sSub>
          <m:r>
            <m:rPr>
              <m:sty m:val="p"/>
            </m:rPr>
            <w:rPr>
              <w:rFonts w:ascii="Cambria Math" w:eastAsia="Calibri" w:hAnsi="Cambria Math" w:cs="Arial"/>
              <w:szCs w:val="20"/>
              <w:lang w:eastAsia="it-IT"/>
            </w:rPr>
            <m:t>=$0</m:t>
          </m:r>
        </m:oMath>
      </m:oMathPara>
    </w:p>
    <w:p w14:paraId="66045A78" w14:textId="77777777" w:rsidR="00920146" w:rsidRPr="00E65655" w:rsidRDefault="00187794" w:rsidP="00920146">
      <w:pPr>
        <w:spacing w:after="140" w:line="290" w:lineRule="auto"/>
        <w:jc w:val="both"/>
        <w:rPr>
          <w:rFonts w:cs="Arial"/>
          <w:szCs w:val="20"/>
        </w:rPr>
      </w:pPr>
      <m:oMathPara>
        <m:oMathParaPr>
          <m:jc m:val="left"/>
        </m:oMathParaPr>
        <m:oMath>
          <m:sSub>
            <m:sSubPr>
              <m:ctrlPr>
                <w:rPr>
                  <w:rFonts w:ascii="Cambria Math" w:hAnsi="Cambria Math" w:cs="Arial"/>
                  <w:bCs/>
                  <w:szCs w:val="20"/>
                  <w:lang w:eastAsia="it-IT"/>
                </w:rPr>
              </m:ctrlPr>
            </m:sSubPr>
            <m:e>
              <m:r>
                <m:rPr>
                  <m:sty m:val="p"/>
                </m:rPr>
                <w:rPr>
                  <w:rFonts w:ascii="Cambria Math" w:hAnsi="Cambria Math" w:cs="Arial"/>
                  <w:szCs w:val="20"/>
                  <w:lang w:eastAsia="it-IT"/>
                </w:rPr>
                <m:t>DivExc</m:t>
              </m:r>
            </m:e>
            <m:sub>
              <m:r>
                <m:rPr>
                  <m:sty m:val="p"/>
                </m:rPr>
                <w:rPr>
                  <w:rFonts w:ascii="Cambria Math" w:hAnsi="Cambria Math" w:cs="Arial"/>
                  <w:szCs w:val="20"/>
                  <w:lang w:eastAsia="it-IT"/>
                </w:rPr>
                <m:t>t</m:t>
              </m:r>
            </m:sub>
          </m:sSub>
          <m:r>
            <m:rPr>
              <m:sty m:val="p"/>
            </m:rPr>
            <w:rPr>
              <w:rFonts w:ascii="Cambria Math" w:hAnsi="Cambria Math" w:cs="Arial"/>
              <w:szCs w:val="20"/>
              <w:lang w:eastAsia="it-IT"/>
            </w:rPr>
            <m:t>=$20</m:t>
          </m:r>
        </m:oMath>
      </m:oMathPara>
    </w:p>
    <w:p w14:paraId="500FA58E" w14:textId="77777777" w:rsidR="00920146" w:rsidRPr="00E65655" w:rsidRDefault="00920146" w:rsidP="00920146">
      <w:pPr>
        <w:spacing w:after="140" w:line="290" w:lineRule="auto"/>
        <w:jc w:val="both"/>
        <w:rPr>
          <w:rFonts w:cs="Arial"/>
          <w:szCs w:val="20"/>
        </w:rPr>
      </w:pPr>
      <w:r w:rsidRPr="00E65655">
        <w:rPr>
          <w:rFonts w:cs="Arial"/>
          <w:szCs w:val="20"/>
        </w:rPr>
        <w:t xml:space="preserve">R = $0 </w:t>
      </w:r>
    </w:p>
    <w:p w14:paraId="034F0B03" w14:textId="77777777" w:rsidR="00920146" w:rsidRPr="00E65655" w:rsidRDefault="00920146" w:rsidP="00920146">
      <w:pPr>
        <w:spacing w:after="140" w:line="290" w:lineRule="auto"/>
        <w:jc w:val="both"/>
        <w:rPr>
          <w:rFonts w:cs="Arial"/>
          <w:szCs w:val="20"/>
        </w:rPr>
      </w:pPr>
      <w:r w:rsidRPr="00E65655">
        <w:rPr>
          <w:rFonts w:cs="Arial"/>
          <w:szCs w:val="20"/>
        </w:rPr>
        <w:t>M = 0</w:t>
      </w:r>
    </w:p>
    <w:p w14:paraId="0A661E14" w14:textId="77777777" w:rsidR="00920146" w:rsidRPr="00E65655" w:rsidRDefault="00187794" w:rsidP="00920146">
      <w:pPr>
        <w:spacing w:after="140" w:line="290" w:lineRule="auto"/>
        <w:jc w:val="both"/>
        <w:rPr>
          <w:rFonts w:eastAsiaTheme="minorEastAsia" w:cs="Arial"/>
          <w:szCs w:val="20"/>
        </w:rPr>
      </w:pPr>
      <m:oMathPara>
        <m:oMath>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r>
            <w:rPr>
              <w:rFonts w:ascii="Cambria Math" w:hAnsi="Cambria Math" w:cs="Arial"/>
              <w:szCs w:val="20"/>
              <w:lang w:eastAsia="it-IT"/>
            </w:rPr>
            <m:t>=</m:t>
          </m:r>
          <m:d>
            <m:dPr>
              <m:begChr m:val="["/>
              <m:endChr m:val="]"/>
              <m:ctrlPr>
                <w:rPr>
                  <w:rFonts w:ascii="Cambria Math" w:hAnsi="Cambria Math" w:cs="Arial"/>
                  <w:bCs/>
                  <w:i/>
                  <w:szCs w:val="20"/>
                  <w:lang w:eastAsia="it-IT"/>
                </w:rPr>
              </m:ctrlPr>
            </m:dPr>
            <m:e>
              <m:r>
                <w:rPr>
                  <w:rFonts w:ascii="Cambria Math" w:hAnsi="Cambria Math" w:cs="Arial"/>
                  <w:szCs w:val="20"/>
                  <w:lang w:eastAsia="it-IT"/>
                </w:rPr>
                <m:t>1-</m:t>
              </m:r>
              <m:f>
                <m:fPr>
                  <m:ctrlPr>
                    <w:rPr>
                      <w:rFonts w:ascii="Cambria Math" w:hAnsi="Cambria Math" w:cs="Arial"/>
                      <w:bCs/>
                      <w:i/>
                      <w:szCs w:val="20"/>
                      <w:lang w:eastAsia="it-IT"/>
                    </w:rPr>
                  </m:ctrlPr>
                </m:fPr>
                <m:num>
                  <m:r>
                    <w:rPr>
                      <w:rFonts w:ascii="Cambria Math" w:hAnsi="Cambria Math" w:cs="Arial"/>
                      <w:szCs w:val="20"/>
                      <w:lang w:eastAsia="it-IT"/>
                    </w:rPr>
                    <m:t>0+20-0×0</m:t>
                  </m:r>
                </m:num>
                <m:den>
                  <m:r>
                    <m:rPr>
                      <m:sty m:val="p"/>
                    </m:rPr>
                    <w:rPr>
                      <w:rFonts w:ascii="Cambria Math" w:eastAsia="Calibri" w:hAnsi="Cambria Math" w:cs="Arial"/>
                      <w:szCs w:val="20"/>
                      <w:lang w:eastAsia="it-IT"/>
                    </w:rPr>
                    <m:t>100</m:t>
                  </m:r>
                </m:den>
              </m:f>
            </m:e>
          </m:d>
          <m:r>
            <w:rPr>
              <w:rFonts w:ascii="Cambria Math" w:hAnsi="Cambria Math" w:cs="Arial"/>
              <w:szCs w:val="20"/>
              <w:lang w:eastAsia="it-IT"/>
            </w:rPr>
            <m:t>×</m:t>
          </m:r>
          <m:f>
            <m:fPr>
              <m:ctrlPr>
                <w:rPr>
                  <w:rFonts w:ascii="Cambria Math" w:hAnsi="Cambria Math" w:cs="Arial"/>
                  <w:bCs/>
                  <w:i/>
                  <w:szCs w:val="20"/>
                  <w:lang w:eastAsia="it-IT"/>
                </w:rPr>
              </m:ctrlPr>
            </m:fPr>
            <m:num>
              <m:r>
                <w:rPr>
                  <w:rFonts w:ascii="Cambria Math" w:hAnsi="Cambria Math" w:cs="Arial"/>
                  <w:szCs w:val="20"/>
                  <w:lang w:eastAsia="it-IT"/>
                </w:rPr>
                <m:t>1</m:t>
              </m:r>
            </m:num>
            <m:den>
              <m:r>
                <w:rPr>
                  <w:rFonts w:ascii="Cambria Math" w:hAnsi="Cambria Math" w:cs="Arial"/>
                  <w:szCs w:val="20"/>
                  <w:lang w:eastAsia="it-IT"/>
                </w:rPr>
                <m:t>1+0</m:t>
              </m:r>
            </m:den>
          </m:f>
          <m:r>
            <w:rPr>
              <w:rFonts w:ascii="Cambria Math" w:hAnsi="Cambria Math" w:cs="Arial"/>
              <w:szCs w:val="20"/>
              <w:lang w:eastAsia="it-IT"/>
            </w:rPr>
            <m:t>=80%</m:t>
          </m:r>
        </m:oMath>
      </m:oMathPara>
    </w:p>
    <w:p w14:paraId="0A9C8A49" w14:textId="77777777" w:rsidR="00920146" w:rsidRPr="00E65655" w:rsidRDefault="00920146" w:rsidP="00920146">
      <w:pPr>
        <w:spacing w:after="140" w:line="290" w:lineRule="auto"/>
        <w:jc w:val="both"/>
        <w:rPr>
          <w:rFonts w:cs="Arial"/>
          <w:szCs w:val="20"/>
        </w:rPr>
      </w:pPr>
      <w:proofErr w:type="gramStart"/>
      <w:r w:rsidRPr="00E65655">
        <w:rPr>
          <w:rFonts w:cs="Arial"/>
          <w:szCs w:val="20"/>
        </w:rPr>
        <w:lastRenderedPageBreak/>
        <w:t>As a consequence</w:t>
      </w:r>
      <w:proofErr w:type="gramEnd"/>
      <w:r w:rsidRPr="00E65655">
        <w:rPr>
          <w:rFonts w:cs="Arial"/>
          <w:szCs w:val="20"/>
        </w:rPr>
        <w:t>:</w:t>
      </w:r>
    </w:p>
    <w:p w14:paraId="3271D2A6" w14:textId="77777777" w:rsidR="00920146" w:rsidRPr="00E65655" w:rsidRDefault="00187794" w:rsidP="00920146">
      <w:pPr>
        <w:spacing w:after="140" w:line="290" w:lineRule="auto"/>
        <w:jc w:val="both"/>
        <w:rPr>
          <w:rFonts w:cs="Arial"/>
          <w:bCs/>
          <w:szCs w:val="20"/>
          <w:lang w:eastAsia="it-IT"/>
        </w:rPr>
      </w:pPr>
      <m:oMath>
        <m:sSub>
          <m:sSubPr>
            <m:ctrlPr>
              <w:rPr>
                <w:rFonts w:ascii="Cambria Math" w:eastAsia="Calibri" w:hAnsi="Cambria Math" w:cs="Arial"/>
                <w:szCs w:val="20"/>
                <w:lang w:eastAsia="it-IT"/>
              </w:rPr>
            </m:ctrlPr>
          </m:sSubPr>
          <m:e>
            <m:r>
              <m:rPr>
                <m:sty m:val="p"/>
              </m:rPr>
              <w:rPr>
                <w:rFonts w:ascii="Cambria Math" w:eastAsia="Calibri" w:hAnsi="Cambria Math" w:cs="Arial"/>
                <w:szCs w:val="20"/>
                <w:lang w:eastAsia="it-IT"/>
              </w:rPr>
              <m:t>LR</m:t>
            </m:r>
          </m:e>
          <m:sub>
            <m:r>
              <m:rPr>
                <m:sty m:val="p"/>
              </m:rPr>
              <w:rPr>
                <w:rFonts w:ascii="Cambria Math" w:eastAsia="Calibri" w:hAnsi="Cambria Math" w:cs="Arial"/>
                <w:szCs w:val="20"/>
                <w:lang w:eastAsia="it-IT"/>
              </w:rPr>
              <m:t>t-1,t</m:t>
            </m:r>
          </m:sub>
        </m:sSub>
        <m:r>
          <m:rPr>
            <m:sty m:val="p"/>
          </m:rPr>
          <w:rPr>
            <w:rFonts w:ascii="Cambria Math" w:eastAsia="Calibri" w:hAnsi="Cambria Math" w:cs="Arial"/>
            <w:szCs w:val="20"/>
            <w:lang w:eastAsia="it-IT"/>
          </w:rPr>
          <m:t xml:space="preserve">=Leverage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num>
              <m:den>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m:rPr>
            <m:sty m:val="p"/>
          </m:rPr>
          <w:rPr>
            <w:rFonts w:ascii="Cambria Math" w:eastAsia="Calibri" w:hAnsi="Cambria Math" w:cs="Arial"/>
            <w:szCs w:val="20"/>
            <w:lang w:eastAsia="it-IT"/>
          </w:rPr>
          <m:t xml:space="preserve">= -5 × </m:t>
        </m:r>
        <m:d>
          <m:dPr>
            <m:ctrlPr>
              <w:rPr>
                <w:rFonts w:ascii="Cambria Math" w:eastAsia="Calibri" w:hAnsi="Cambria Math" w:cs="Arial"/>
                <w:bCs/>
                <w:szCs w:val="20"/>
                <w:lang w:eastAsia="it-IT"/>
              </w:rPr>
            </m:ctrlPr>
          </m:dPr>
          <m:e>
            <m:f>
              <m:fPr>
                <m:ctrlPr>
                  <w:rPr>
                    <w:rFonts w:ascii="Cambria Math" w:eastAsia="Calibri" w:hAnsi="Cambria Math" w:cs="Arial"/>
                    <w:bCs/>
                    <w:szCs w:val="20"/>
                    <w:lang w:eastAsia="it-IT"/>
                  </w:rPr>
                </m:ctrlPr>
              </m:fPr>
              <m:num>
                <m:r>
                  <m:rPr>
                    <m:sty m:val="p"/>
                  </m:rPr>
                  <w:rPr>
                    <w:rFonts w:ascii="Cambria Math" w:eastAsia="Calibri" w:hAnsi="Cambria Math" w:cs="Arial"/>
                    <w:szCs w:val="20"/>
                    <w:lang w:eastAsia="it-IT"/>
                  </w:rPr>
                  <m:t>84</m:t>
                </m:r>
              </m:num>
              <m:den>
                <m:r>
                  <m:rPr>
                    <m:sty m:val="p"/>
                  </m:rPr>
                  <w:rPr>
                    <w:rFonts w:ascii="Cambria Math" w:eastAsia="Calibri" w:hAnsi="Cambria Math" w:cs="Arial"/>
                    <w:szCs w:val="20"/>
                    <w:lang w:eastAsia="it-IT"/>
                  </w:rPr>
                  <m:t>100 × 80%</m:t>
                </m:r>
              </m:den>
            </m:f>
            <m:r>
              <m:rPr>
                <m:sty m:val="p"/>
              </m:rPr>
              <w:rPr>
                <w:rFonts w:ascii="Cambria Math" w:eastAsia="Calibri" w:hAnsi="Cambria Math" w:cs="Arial"/>
                <w:szCs w:val="20"/>
                <w:lang w:eastAsia="it-IT"/>
              </w:rPr>
              <m:t>-</m:t>
            </m:r>
            <m:r>
              <m:rPr>
                <m:sty m:val="p"/>
              </m:rPr>
              <w:rPr>
                <w:rFonts w:ascii="Cambria Math" w:eastAsia="Calibri" w:hAnsi="Cambria Math" w:cs="Arial"/>
                <w:szCs w:val="20"/>
                <w:lang w:eastAsia="it-IT"/>
              </w:rPr>
              <m:t>1</m:t>
            </m:r>
          </m:e>
        </m:d>
        <m:r>
          <w:rPr>
            <w:rFonts w:ascii="Cambria Math" w:eastAsiaTheme="minorEastAsia" w:hAnsi="Cambria Math" w:cs="Arial"/>
            <w:szCs w:val="20"/>
            <w:lang w:eastAsia="it-IT"/>
          </w:rPr>
          <m:t>= -25%</m:t>
        </m:r>
      </m:oMath>
      <w:r w:rsidR="00920146" w:rsidRPr="00E65655">
        <w:rPr>
          <w:rFonts w:cs="Arial"/>
          <w:bCs/>
          <w:szCs w:val="20"/>
          <w:lang w:eastAsia="it-IT"/>
        </w:rPr>
        <w:t xml:space="preserve">  </w:t>
      </w:r>
    </w:p>
    <w:p w14:paraId="53AB0778" w14:textId="77777777" w:rsidR="00920146" w:rsidRPr="00E65655" w:rsidRDefault="00920146" w:rsidP="00920146">
      <w:pPr>
        <w:spacing w:after="140" w:line="290" w:lineRule="auto"/>
        <w:jc w:val="both"/>
        <w:rPr>
          <w:rFonts w:cs="Arial"/>
          <w:bCs/>
          <w:szCs w:val="20"/>
          <w:lang w:eastAsia="it-IT"/>
        </w:rPr>
      </w:pPr>
    </w:p>
    <w:tbl>
      <w:tblPr>
        <w:tblStyle w:val="TableGrid"/>
        <w:tblW w:w="0" w:type="auto"/>
        <w:tblLook w:val="04A0" w:firstRow="1" w:lastRow="0" w:firstColumn="1" w:lastColumn="0" w:noHBand="0" w:noVBand="1"/>
      </w:tblPr>
      <w:tblGrid>
        <w:gridCol w:w="2242"/>
        <w:gridCol w:w="2267"/>
        <w:gridCol w:w="2236"/>
        <w:gridCol w:w="2274"/>
      </w:tblGrid>
      <w:tr w:rsidR="00920146" w:rsidRPr="00E65655" w14:paraId="6D6DEB27" w14:textId="77777777" w:rsidTr="003B11EA">
        <w:tc>
          <w:tcPr>
            <w:tcW w:w="2311" w:type="dxa"/>
          </w:tcPr>
          <w:p w14:paraId="634A5F62"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oMath>
            </m:oMathPara>
          </w:p>
        </w:tc>
        <w:tc>
          <w:tcPr>
            <w:tcW w:w="2311" w:type="dxa"/>
          </w:tcPr>
          <w:p w14:paraId="373A15CF"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t-1</m:t>
                    </m:r>
                  </m:sub>
                </m:sSub>
                <m:r>
                  <m:rPr>
                    <m:sty m:val="p"/>
                  </m:rPr>
                  <w:rPr>
                    <w:rFonts w:ascii="Cambria Math" w:eastAsia="Calibri" w:hAnsi="Cambria Math" w:cs="Arial"/>
                    <w:szCs w:val="20"/>
                    <w:lang w:eastAsia="it-IT"/>
                  </w:rPr>
                  <m:t xml:space="preserve"> × </m:t>
                </m:r>
                <m:sSub>
                  <m:sSubPr>
                    <m:ctrlPr>
                      <w:rPr>
                        <w:rFonts w:ascii="Cambria Math" w:hAnsi="Cambria Math" w:cs="Arial"/>
                        <w:bCs/>
                        <w:i/>
                        <w:szCs w:val="20"/>
                        <w:lang w:eastAsia="it-IT"/>
                      </w:rPr>
                    </m:ctrlPr>
                  </m:sSubPr>
                  <m:e>
                    <m:r>
                      <w:rPr>
                        <w:rFonts w:ascii="Cambria Math" w:hAnsi="Cambria Math" w:cs="Arial"/>
                        <w:szCs w:val="20"/>
                        <w:lang w:eastAsia="it-IT"/>
                      </w:rPr>
                      <m:t>Rfactor</m:t>
                    </m:r>
                  </m:e>
                  <m:sub>
                    <m:r>
                      <w:rPr>
                        <w:rFonts w:ascii="Cambria Math" w:hAnsi="Cambria Math" w:cs="Arial"/>
                        <w:szCs w:val="20"/>
                        <w:lang w:eastAsia="it-IT"/>
                      </w:rPr>
                      <m:t>t</m:t>
                    </m:r>
                  </m:sub>
                </m:sSub>
              </m:oMath>
            </m:oMathPara>
          </w:p>
        </w:tc>
        <w:tc>
          <w:tcPr>
            <w:tcW w:w="2311" w:type="dxa"/>
          </w:tcPr>
          <w:p w14:paraId="4A636C8E" w14:textId="77777777" w:rsidR="00920146" w:rsidRPr="00E65655" w:rsidRDefault="00187794" w:rsidP="003B11EA">
            <w:pPr>
              <w:spacing w:after="140" w:line="290" w:lineRule="auto"/>
              <w:jc w:val="both"/>
              <w:rPr>
                <w:rFonts w:cs="Arial"/>
                <w:szCs w:val="20"/>
              </w:rPr>
            </w:pPr>
            <m:oMathPara>
              <m:oMath>
                <m:sSub>
                  <m:sSubPr>
                    <m:ctrlPr>
                      <w:rPr>
                        <w:rFonts w:ascii="Cambria Math" w:eastAsia="Calibri" w:hAnsi="Cambria Math" w:cs="Arial"/>
                        <w:bCs/>
                        <w:szCs w:val="20"/>
                        <w:lang w:eastAsia="it-IT"/>
                      </w:rPr>
                    </m:ctrlPr>
                  </m:sSubPr>
                  <m:e>
                    <m:r>
                      <m:rPr>
                        <m:sty m:val="p"/>
                      </m:rPr>
                      <w:rPr>
                        <w:rFonts w:ascii="Cambria Math" w:eastAsia="Calibri" w:hAnsi="Cambria Math" w:cs="Arial"/>
                        <w:szCs w:val="20"/>
                        <w:lang w:eastAsia="it-IT"/>
                      </w:rPr>
                      <m:t>S</m:t>
                    </m:r>
                  </m:e>
                  <m:sub>
                    <m:r>
                      <m:rPr>
                        <m:sty m:val="p"/>
                      </m:rPr>
                      <w:rPr>
                        <w:rFonts w:ascii="Cambria Math" w:eastAsia="Calibri" w:hAnsi="Cambria Math" w:cs="Arial"/>
                        <w:szCs w:val="20"/>
                        <w:lang w:eastAsia="it-IT"/>
                      </w:rPr>
                      <m:t>t</m:t>
                    </m:r>
                  </m:sub>
                </m:sSub>
              </m:oMath>
            </m:oMathPara>
          </w:p>
        </w:tc>
        <w:tc>
          <w:tcPr>
            <w:tcW w:w="2312" w:type="dxa"/>
          </w:tcPr>
          <w:p w14:paraId="634872ED" w14:textId="77777777" w:rsidR="00920146" w:rsidRPr="00E65655" w:rsidRDefault="00920146" w:rsidP="003B11EA">
            <w:pPr>
              <w:spacing w:after="140" w:line="290" w:lineRule="auto"/>
              <w:jc w:val="both"/>
              <w:rPr>
                <w:rFonts w:cs="Arial"/>
                <w:szCs w:val="20"/>
              </w:rPr>
            </w:pPr>
            <w:r w:rsidRPr="00E65655">
              <w:rPr>
                <w:rFonts w:cs="Arial"/>
                <w:szCs w:val="20"/>
              </w:rPr>
              <w:t>Adjusted Underlying Stock Performance</w:t>
            </w:r>
          </w:p>
        </w:tc>
      </w:tr>
      <w:tr w:rsidR="00920146" w:rsidRPr="00E65655" w14:paraId="0BB12439" w14:textId="77777777" w:rsidTr="003B11EA">
        <w:tc>
          <w:tcPr>
            <w:tcW w:w="2311" w:type="dxa"/>
          </w:tcPr>
          <w:p w14:paraId="2CE31714" w14:textId="77777777" w:rsidR="00920146" w:rsidRPr="00E65655" w:rsidRDefault="00920146" w:rsidP="003B11EA">
            <w:pPr>
              <w:spacing w:after="140" w:line="290" w:lineRule="auto"/>
              <w:jc w:val="both"/>
              <w:rPr>
                <w:rFonts w:cs="Arial"/>
                <w:szCs w:val="20"/>
              </w:rPr>
            </w:pPr>
            <w:r w:rsidRPr="00E65655">
              <w:rPr>
                <w:rFonts w:cs="Arial"/>
                <w:szCs w:val="20"/>
              </w:rPr>
              <w:t>100</w:t>
            </w:r>
          </w:p>
        </w:tc>
        <w:tc>
          <w:tcPr>
            <w:tcW w:w="2311" w:type="dxa"/>
          </w:tcPr>
          <w:p w14:paraId="1EF920ED" w14:textId="77777777" w:rsidR="00920146" w:rsidRPr="00E65655" w:rsidRDefault="00920146" w:rsidP="003B11EA">
            <w:pPr>
              <w:spacing w:after="140" w:line="290" w:lineRule="auto"/>
              <w:jc w:val="both"/>
              <w:rPr>
                <w:rFonts w:cs="Arial"/>
                <w:szCs w:val="20"/>
              </w:rPr>
            </w:pPr>
            <w:r w:rsidRPr="00E65655">
              <w:rPr>
                <w:rFonts w:cs="Arial"/>
                <w:szCs w:val="20"/>
              </w:rPr>
              <w:t>80</w:t>
            </w:r>
          </w:p>
        </w:tc>
        <w:tc>
          <w:tcPr>
            <w:tcW w:w="2311" w:type="dxa"/>
          </w:tcPr>
          <w:p w14:paraId="5670E296" w14:textId="77777777" w:rsidR="00920146" w:rsidRPr="00E65655" w:rsidRDefault="00920146" w:rsidP="003B11EA">
            <w:pPr>
              <w:spacing w:after="140" w:line="290" w:lineRule="auto"/>
              <w:jc w:val="both"/>
              <w:rPr>
                <w:rFonts w:cs="Arial"/>
                <w:szCs w:val="20"/>
              </w:rPr>
            </w:pPr>
            <w:r w:rsidRPr="00E65655">
              <w:rPr>
                <w:rFonts w:cs="Arial"/>
                <w:szCs w:val="20"/>
              </w:rPr>
              <w:t>84</w:t>
            </w:r>
          </w:p>
        </w:tc>
        <w:tc>
          <w:tcPr>
            <w:tcW w:w="2312" w:type="dxa"/>
          </w:tcPr>
          <w:p w14:paraId="43B18110" w14:textId="77777777" w:rsidR="00920146" w:rsidRPr="00E65655" w:rsidRDefault="00920146" w:rsidP="003B11EA">
            <w:pPr>
              <w:spacing w:after="140" w:line="290" w:lineRule="auto"/>
              <w:jc w:val="both"/>
              <w:rPr>
                <w:rFonts w:cs="Arial"/>
                <w:szCs w:val="20"/>
              </w:rPr>
            </w:pPr>
            <w:r w:rsidRPr="00E65655">
              <w:rPr>
                <w:rFonts w:cs="Arial"/>
                <w:szCs w:val="20"/>
              </w:rPr>
              <w:t>5%</w:t>
            </w:r>
          </w:p>
        </w:tc>
      </w:tr>
    </w:tbl>
    <w:p w14:paraId="25C75748" w14:textId="77777777" w:rsidR="00920146" w:rsidRPr="00E65655" w:rsidRDefault="00920146" w:rsidP="00920146">
      <w:pPr>
        <w:spacing w:after="140" w:line="290" w:lineRule="auto"/>
        <w:jc w:val="both"/>
        <w:rPr>
          <w:rFonts w:cs="Arial"/>
          <w:szCs w:val="20"/>
        </w:rPr>
      </w:pPr>
    </w:p>
    <w:tbl>
      <w:tblPr>
        <w:tblStyle w:val="TableGrid"/>
        <w:tblW w:w="0" w:type="auto"/>
        <w:tblLook w:val="04A0" w:firstRow="1" w:lastRow="0" w:firstColumn="1" w:lastColumn="0" w:noHBand="0" w:noVBand="1"/>
      </w:tblPr>
      <w:tblGrid>
        <w:gridCol w:w="3002"/>
        <w:gridCol w:w="3004"/>
        <w:gridCol w:w="3013"/>
      </w:tblGrid>
      <w:tr w:rsidR="00920146" w:rsidRPr="00E65655" w14:paraId="323B6508" w14:textId="77777777" w:rsidTr="00D155EB">
        <w:tc>
          <w:tcPr>
            <w:tcW w:w="3002" w:type="dxa"/>
          </w:tcPr>
          <w:p w14:paraId="6B6C1DF3"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(t-1)</w:t>
            </w:r>
          </w:p>
        </w:tc>
        <w:tc>
          <w:tcPr>
            <w:tcW w:w="3004" w:type="dxa"/>
          </w:tcPr>
          <w:p w14:paraId="2DC5E758" w14:textId="77777777" w:rsidR="00920146" w:rsidRPr="00E65655" w:rsidRDefault="00920146" w:rsidP="003B11EA">
            <w:pPr>
              <w:spacing w:after="140" w:line="290" w:lineRule="auto"/>
              <w:jc w:val="both"/>
              <w:rPr>
                <w:rFonts w:cs="Arial"/>
                <w:szCs w:val="20"/>
              </w:rPr>
            </w:pPr>
            <w:r w:rsidRPr="00E65655">
              <w:rPr>
                <w:rFonts w:cs="Arial"/>
                <w:szCs w:val="20"/>
              </w:rPr>
              <w:t>Value of the Certificate (t)</w:t>
            </w:r>
          </w:p>
        </w:tc>
        <w:tc>
          <w:tcPr>
            <w:tcW w:w="3013" w:type="dxa"/>
          </w:tcPr>
          <w:p w14:paraId="1C48DC62" w14:textId="77777777" w:rsidR="00920146" w:rsidRPr="00E65655" w:rsidRDefault="00920146" w:rsidP="003B11EA">
            <w:pPr>
              <w:spacing w:after="140" w:line="290" w:lineRule="auto"/>
              <w:jc w:val="both"/>
              <w:rPr>
                <w:rFonts w:cs="Arial"/>
                <w:szCs w:val="20"/>
              </w:rPr>
            </w:pPr>
            <w:r w:rsidRPr="00E65655">
              <w:rPr>
                <w:rFonts w:cs="Arial"/>
                <w:szCs w:val="20"/>
              </w:rPr>
              <w:t>Certificates’ performance (excluding any cost and fees)</w:t>
            </w:r>
          </w:p>
        </w:tc>
      </w:tr>
      <w:tr w:rsidR="00FA7395" w:rsidRPr="00E65655" w14:paraId="62276924" w14:textId="77777777" w:rsidTr="00D155EB">
        <w:tc>
          <w:tcPr>
            <w:tcW w:w="3002" w:type="dxa"/>
          </w:tcPr>
          <w:p w14:paraId="2B9FBE0C" w14:textId="072E0151" w:rsidR="00FA7395" w:rsidRPr="00E65655" w:rsidRDefault="00D649B1" w:rsidP="00FA7395">
            <w:pPr>
              <w:spacing w:after="140" w:line="290" w:lineRule="auto"/>
              <w:jc w:val="both"/>
              <w:rPr>
                <w:rFonts w:cs="Arial"/>
                <w:szCs w:val="20"/>
                <w:lang w:eastAsia="zh-CN"/>
              </w:rPr>
            </w:pPr>
            <w:r>
              <w:rPr>
                <w:rFonts w:cs="Arial" w:hint="eastAsia"/>
                <w:lang w:eastAsia="zh-CN"/>
              </w:rPr>
              <w:t>0.80</w:t>
            </w:r>
          </w:p>
        </w:tc>
        <w:tc>
          <w:tcPr>
            <w:tcW w:w="3004" w:type="dxa"/>
          </w:tcPr>
          <w:p w14:paraId="2A4A998B" w14:textId="4A519003" w:rsidR="00FA7395" w:rsidRPr="00E65655" w:rsidRDefault="00731CE3" w:rsidP="002D6EF7">
            <w:pPr>
              <w:jc w:val="both"/>
              <w:rPr>
                <w:rFonts w:cs="Arial"/>
                <w:color w:val="000000"/>
                <w:szCs w:val="20"/>
                <w:lang w:val="en-SG" w:eastAsia="zh-CN"/>
              </w:rPr>
            </w:pPr>
            <w:r>
              <w:rPr>
                <w:rFonts w:cs="Arial" w:hint="eastAsia"/>
                <w:color w:val="000000"/>
                <w:szCs w:val="20"/>
                <w:lang w:eastAsia="zh-CN"/>
              </w:rPr>
              <w:t>0.60</w:t>
            </w:r>
          </w:p>
        </w:tc>
        <w:tc>
          <w:tcPr>
            <w:tcW w:w="3013" w:type="dxa"/>
          </w:tcPr>
          <w:p w14:paraId="0AF13268" w14:textId="1C17D5C3" w:rsidR="00FA7395" w:rsidRPr="00E65655" w:rsidRDefault="00FA7395" w:rsidP="00FA7395">
            <w:pPr>
              <w:spacing w:after="140" w:line="290" w:lineRule="auto"/>
              <w:jc w:val="both"/>
              <w:rPr>
                <w:rFonts w:cs="Arial"/>
                <w:szCs w:val="20"/>
              </w:rPr>
            </w:pPr>
            <w:r w:rsidRPr="00E65655">
              <w:rPr>
                <w:rFonts w:cs="Arial"/>
                <w:szCs w:val="20"/>
              </w:rPr>
              <w:t>-25%</w:t>
            </w:r>
          </w:p>
        </w:tc>
      </w:tr>
    </w:tbl>
    <w:p w14:paraId="1CF96E1C" w14:textId="77777777" w:rsidR="00920146" w:rsidRPr="00E65655" w:rsidRDefault="00920146" w:rsidP="00920146">
      <w:pPr>
        <w:spacing w:after="140" w:line="290" w:lineRule="auto"/>
        <w:jc w:val="both"/>
        <w:rPr>
          <w:rFonts w:cs="Arial"/>
          <w:bCs/>
          <w:szCs w:val="20"/>
          <w:lang w:eastAsia="it-IT"/>
        </w:rPr>
      </w:pPr>
    </w:p>
    <w:p w14:paraId="6D25C083" w14:textId="702B1505" w:rsidR="00920146" w:rsidRPr="00E65655" w:rsidRDefault="00920146" w:rsidP="00920146">
      <w:pPr>
        <w:spacing w:after="140" w:line="290" w:lineRule="auto"/>
        <w:jc w:val="both"/>
        <w:rPr>
          <w:rFonts w:cs="Arial"/>
          <w:bCs/>
          <w:szCs w:val="20"/>
          <w:lang w:eastAsia="it-IT"/>
        </w:rPr>
      </w:pPr>
      <w:r w:rsidRPr="00E65655">
        <w:rPr>
          <w:rFonts w:cs="Arial"/>
          <w:szCs w:val="20"/>
        </w:rPr>
        <w:t xml:space="preserve">In such case an Intraday Restrike Event would occur if the Underlying Stock price </w:t>
      </w:r>
      <w:proofErr w:type="gramStart"/>
      <w:r w:rsidR="00DF3013" w:rsidRPr="00E65655">
        <w:rPr>
          <w:rFonts w:cs="Arial"/>
          <w:szCs w:val="20"/>
        </w:rPr>
        <w:t>rises</w:t>
      </w:r>
      <w:proofErr w:type="gramEnd"/>
      <w:r w:rsidR="00DF3013" w:rsidRPr="00E65655">
        <w:rPr>
          <w:rFonts w:cs="Arial"/>
          <w:szCs w:val="20"/>
        </w:rPr>
        <w:t xml:space="preserve"> </w:t>
      </w:r>
      <w:r w:rsidRPr="00E65655">
        <w:rPr>
          <w:rFonts w:cs="Arial"/>
          <w:szCs w:val="20"/>
        </w:rPr>
        <w:t>to $</w:t>
      </w:r>
      <w:r w:rsidR="00DF3013" w:rsidRPr="00E65655">
        <w:rPr>
          <w:rFonts w:cs="Arial"/>
          <w:szCs w:val="20"/>
        </w:rPr>
        <w:t>92</w:t>
      </w:r>
      <w:r w:rsidRPr="00E65655">
        <w:rPr>
          <w:rFonts w:cs="Arial"/>
          <w:szCs w:val="20"/>
        </w:rPr>
        <w:t xml:space="preserve">, which is 15% </w:t>
      </w:r>
      <w:r w:rsidR="00DF3013" w:rsidRPr="00E65655">
        <w:rPr>
          <w:rFonts w:cs="Arial"/>
          <w:szCs w:val="20"/>
        </w:rPr>
        <w:t xml:space="preserve">above </w:t>
      </w:r>
      <w:r w:rsidRPr="00E65655">
        <w:rPr>
          <w:rFonts w:cs="Arial"/>
          <w:szCs w:val="20"/>
        </w:rPr>
        <w:t>$80, the Underlying Stock Reference Price.</w:t>
      </w:r>
    </w:p>
    <w:p w14:paraId="2F9274C1" w14:textId="77777777" w:rsidR="00641712" w:rsidRPr="00E65655" w:rsidRDefault="00641712" w:rsidP="00641712">
      <w:pPr>
        <w:pageBreakBefore/>
        <w:spacing w:after="140" w:line="290" w:lineRule="auto"/>
        <w:jc w:val="center"/>
        <w:rPr>
          <w:b/>
        </w:rPr>
      </w:pPr>
      <w:r w:rsidRPr="00E65655">
        <w:rPr>
          <w:b/>
        </w:rPr>
        <w:lastRenderedPageBreak/>
        <w:t>INFORMATION RELATING TO THE COMPANY</w:t>
      </w:r>
    </w:p>
    <w:p w14:paraId="2095ECBA" w14:textId="77777777" w:rsidR="00641712" w:rsidRPr="00E65655" w:rsidRDefault="00641712" w:rsidP="00641712">
      <w:pPr>
        <w:spacing w:after="140" w:line="290" w:lineRule="auto"/>
        <w:jc w:val="both"/>
        <w:rPr>
          <w:rFonts w:cs="Arial"/>
          <w:i/>
        </w:rPr>
      </w:pPr>
    </w:p>
    <w:p w14:paraId="1F7968B7" w14:textId="77777777" w:rsidR="00F13693" w:rsidRPr="00E65655" w:rsidRDefault="00F13693" w:rsidP="00F13693">
      <w:pPr>
        <w:spacing w:line="290" w:lineRule="auto"/>
        <w:jc w:val="both"/>
        <w:rPr>
          <w:rFonts w:cs="Arial"/>
          <w:i/>
        </w:rPr>
      </w:pPr>
      <w:r w:rsidRPr="00E65655">
        <w:rPr>
          <w:rFonts w:cs="Arial"/>
          <w:i/>
        </w:rPr>
        <w:t xml:space="preserve">All information contained in this document regarding the Company, including, without limitation, its financial information, is derived from publicly available information which appears on the </w:t>
      </w:r>
      <w:proofErr w:type="gramStart"/>
      <w:r w:rsidRPr="00E65655">
        <w:rPr>
          <w:rFonts w:cs="Arial"/>
          <w:i/>
        </w:rPr>
        <w:t>web-site</w:t>
      </w:r>
      <w:proofErr w:type="gramEnd"/>
      <w:r w:rsidRPr="00E65655">
        <w:rPr>
          <w:rFonts w:cs="Arial"/>
          <w:i/>
        </w:rPr>
        <w:t xml:space="preserve"> of the SGX-ST at </w:t>
      </w:r>
      <w:hyperlink r:id="rId20" w:history="1">
        <w:r w:rsidRPr="00E65655">
          <w:rPr>
            <w:rFonts w:cs="Arial"/>
            <w:i/>
          </w:rPr>
          <w:t>http://www.sgx.com</w:t>
        </w:r>
      </w:hyperlink>
      <w:r w:rsidRPr="00E65655">
        <w:rPr>
          <w:i/>
        </w:rPr>
        <w:t xml:space="preserve">. </w:t>
      </w:r>
      <w:r w:rsidRPr="00E65655">
        <w:rPr>
          <w:rFonts w:cs="Arial"/>
          <w:i/>
        </w:rPr>
        <w:t>The Issuer has not independently verified any of such information.</w:t>
      </w:r>
    </w:p>
    <w:p w14:paraId="0FB2F9A4" w14:textId="77777777" w:rsidR="00F13693" w:rsidRPr="00E65655" w:rsidRDefault="00F13693" w:rsidP="00F13693">
      <w:pPr>
        <w:spacing w:line="290" w:lineRule="auto"/>
        <w:jc w:val="both"/>
        <w:rPr>
          <w:snapToGrid w:val="0"/>
          <w:szCs w:val="20"/>
        </w:rPr>
      </w:pPr>
    </w:p>
    <w:p w14:paraId="6BF70C77" w14:textId="77777777" w:rsidR="00DC066B" w:rsidRPr="00853C03" w:rsidRDefault="00DC066B" w:rsidP="00DC066B">
      <w:pPr>
        <w:pStyle w:val="BodyText"/>
        <w:spacing w:line="290" w:lineRule="auto"/>
        <w:rPr>
          <w:rFonts w:ascii="Arial" w:hAnsi="Arial"/>
          <w:snapToGrid w:val="0"/>
          <w:lang w:eastAsia="zh-CN"/>
        </w:rPr>
      </w:pPr>
      <w:r w:rsidRPr="00A5364D">
        <w:rPr>
          <w:rFonts w:ascii="Arial" w:hAnsi="Arial"/>
          <w:snapToGrid w:val="0"/>
          <w:lang w:eastAsia="zh-CN"/>
        </w:rPr>
        <w:t xml:space="preserve">Yangzijiang Shipbuilding (Holdings) Ltd. </w:t>
      </w:r>
      <w:r>
        <w:rPr>
          <w:rFonts w:ascii="Arial" w:hAnsi="Arial" w:hint="eastAsia"/>
          <w:snapToGrid w:val="0"/>
          <w:lang w:eastAsia="zh-CN"/>
        </w:rPr>
        <w:t>(</w:t>
      </w:r>
      <w:r>
        <w:rPr>
          <w:rFonts w:ascii="Arial" w:hAnsi="Arial"/>
          <w:snapToGrid w:val="0"/>
          <w:lang w:eastAsia="zh-CN"/>
        </w:rPr>
        <w:t>“</w:t>
      </w:r>
      <w:r w:rsidRPr="00655B9A">
        <w:rPr>
          <w:rFonts w:ascii="Arial" w:hAnsi="Arial" w:hint="eastAsia"/>
          <w:b/>
          <w:bCs/>
          <w:snapToGrid w:val="0"/>
          <w:lang w:eastAsia="zh-CN"/>
        </w:rPr>
        <w:t>Yangzijiang</w:t>
      </w:r>
      <w:r>
        <w:rPr>
          <w:rFonts w:ascii="Arial" w:hAnsi="Arial"/>
          <w:snapToGrid w:val="0"/>
          <w:lang w:eastAsia="zh-CN"/>
        </w:rPr>
        <w:t>”</w:t>
      </w:r>
      <w:r>
        <w:rPr>
          <w:rFonts w:ascii="Arial" w:hAnsi="Arial" w:hint="eastAsia"/>
          <w:snapToGrid w:val="0"/>
          <w:lang w:eastAsia="zh-CN"/>
        </w:rPr>
        <w:t xml:space="preserve"> or the </w:t>
      </w:r>
      <w:r>
        <w:rPr>
          <w:rFonts w:ascii="Arial" w:hAnsi="Arial"/>
          <w:snapToGrid w:val="0"/>
          <w:lang w:eastAsia="zh-CN"/>
        </w:rPr>
        <w:t>“</w:t>
      </w:r>
      <w:r w:rsidRPr="00C811DD">
        <w:rPr>
          <w:rFonts w:ascii="Arial" w:hAnsi="Arial" w:hint="eastAsia"/>
          <w:b/>
          <w:bCs/>
          <w:snapToGrid w:val="0"/>
          <w:lang w:eastAsia="zh-CN"/>
        </w:rPr>
        <w:t>Company</w:t>
      </w:r>
      <w:r>
        <w:rPr>
          <w:rFonts w:ascii="Arial" w:hAnsi="Arial"/>
          <w:snapToGrid w:val="0"/>
          <w:lang w:eastAsia="zh-CN"/>
        </w:rPr>
        <w:t>”</w:t>
      </w:r>
      <w:r>
        <w:rPr>
          <w:rFonts w:ascii="Arial" w:hAnsi="Arial" w:hint="eastAsia"/>
          <w:snapToGrid w:val="0"/>
          <w:lang w:eastAsia="zh-CN"/>
        </w:rPr>
        <w:t xml:space="preserve">) </w:t>
      </w:r>
      <w:r w:rsidRPr="00A5364D">
        <w:rPr>
          <w:rFonts w:ascii="Arial" w:hAnsi="Arial"/>
          <w:snapToGrid w:val="0"/>
          <w:lang w:eastAsia="zh-CN"/>
        </w:rPr>
        <w:t xml:space="preserve">was incorporated in Singapore on 21 December 2005 under the name Yangzijiang Shipbuilding (Holdings) Pte Ltd and adopted its present name on 15 March 2007. The </w:t>
      </w:r>
      <w:r>
        <w:rPr>
          <w:rFonts w:ascii="Arial" w:hAnsi="Arial" w:hint="eastAsia"/>
          <w:snapToGrid w:val="0"/>
          <w:lang w:eastAsia="zh-CN"/>
        </w:rPr>
        <w:t xml:space="preserve">Yangzijiang </w:t>
      </w:r>
      <w:r w:rsidRPr="00A5364D">
        <w:rPr>
          <w:rFonts w:ascii="Arial" w:hAnsi="Arial"/>
          <w:snapToGrid w:val="0"/>
          <w:lang w:eastAsia="zh-CN"/>
        </w:rPr>
        <w:t xml:space="preserve">Group produces a range of commercial vessels, including mini bulk carriers, bulk carriers, multi-purpose cargo vessels, containerships, chemical tankers, offshore supply vessels, rescue and salvage vessels and lifting vessels. The </w:t>
      </w:r>
      <w:r>
        <w:rPr>
          <w:rFonts w:ascii="Arial" w:hAnsi="Arial" w:hint="eastAsia"/>
          <w:snapToGrid w:val="0"/>
          <w:lang w:eastAsia="zh-CN"/>
        </w:rPr>
        <w:t xml:space="preserve">Yangzijiang </w:t>
      </w:r>
      <w:r w:rsidRPr="00A5364D">
        <w:rPr>
          <w:rFonts w:ascii="Arial" w:hAnsi="Arial"/>
          <w:snapToGrid w:val="0"/>
          <w:lang w:eastAsia="zh-CN"/>
        </w:rPr>
        <w:t>Group operates two yards, through its subsidiaries, JYS (the “</w:t>
      </w:r>
      <w:r w:rsidRPr="0078039A">
        <w:rPr>
          <w:rFonts w:ascii="Arial" w:hAnsi="Arial"/>
          <w:b/>
          <w:bCs/>
          <w:snapToGrid w:val="0"/>
          <w:lang w:eastAsia="zh-CN"/>
        </w:rPr>
        <w:t>Old Yard</w:t>
      </w:r>
      <w:r w:rsidRPr="00A5364D">
        <w:rPr>
          <w:rFonts w:ascii="Arial" w:hAnsi="Arial"/>
          <w:snapToGrid w:val="0"/>
          <w:lang w:eastAsia="zh-CN"/>
        </w:rPr>
        <w:t>”) and JNYS (the “</w:t>
      </w:r>
      <w:r w:rsidRPr="0078039A">
        <w:rPr>
          <w:rFonts w:ascii="Arial" w:hAnsi="Arial"/>
          <w:b/>
          <w:bCs/>
          <w:snapToGrid w:val="0"/>
          <w:lang w:eastAsia="zh-CN"/>
        </w:rPr>
        <w:t>New Yard</w:t>
      </w:r>
      <w:r w:rsidRPr="00A5364D">
        <w:rPr>
          <w:rFonts w:ascii="Arial" w:hAnsi="Arial"/>
          <w:snapToGrid w:val="0"/>
          <w:lang w:eastAsia="zh-CN"/>
        </w:rPr>
        <w:t xml:space="preserve">”). The </w:t>
      </w:r>
      <w:r>
        <w:rPr>
          <w:rFonts w:ascii="Arial" w:hAnsi="Arial" w:hint="eastAsia"/>
          <w:snapToGrid w:val="0"/>
          <w:lang w:eastAsia="zh-CN"/>
        </w:rPr>
        <w:t xml:space="preserve">Yangzijiang </w:t>
      </w:r>
      <w:r w:rsidRPr="00A5364D">
        <w:rPr>
          <w:rFonts w:ascii="Arial" w:hAnsi="Arial"/>
          <w:snapToGrid w:val="0"/>
          <w:lang w:eastAsia="zh-CN"/>
        </w:rPr>
        <w:t xml:space="preserve">Group’s Old Yard </w:t>
      </w:r>
      <w:proofErr w:type="gramStart"/>
      <w:r w:rsidRPr="00A5364D">
        <w:rPr>
          <w:rFonts w:ascii="Arial" w:hAnsi="Arial"/>
          <w:snapToGrid w:val="0"/>
          <w:lang w:eastAsia="zh-CN"/>
        </w:rPr>
        <w:t>is located in</w:t>
      </w:r>
      <w:proofErr w:type="gramEnd"/>
      <w:r w:rsidRPr="00A5364D">
        <w:rPr>
          <w:rFonts w:ascii="Arial" w:hAnsi="Arial"/>
          <w:snapToGrid w:val="0"/>
          <w:lang w:eastAsia="zh-CN"/>
        </w:rPr>
        <w:t xml:space="preserve"> Jiangyin city. The yard spans about 800 m of deep-water coastline and covers an area of about 200,000 sq m (excluding the coastal area). The</w:t>
      </w:r>
      <w:r>
        <w:rPr>
          <w:rFonts w:ascii="Arial" w:hAnsi="Arial" w:hint="eastAsia"/>
          <w:snapToGrid w:val="0"/>
          <w:lang w:eastAsia="zh-CN"/>
        </w:rPr>
        <w:t xml:space="preserve"> Yangzijiang </w:t>
      </w:r>
      <w:r w:rsidRPr="00A5364D">
        <w:rPr>
          <w:rFonts w:ascii="Arial" w:hAnsi="Arial"/>
          <w:snapToGrid w:val="0"/>
          <w:lang w:eastAsia="zh-CN"/>
        </w:rPr>
        <w:t xml:space="preserve">Group’s New Yard </w:t>
      </w:r>
      <w:proofErr w:type="gramStart"/>
      <w:r w:rsidRPr="00A5364D">
        <w:rPr>
          <w:rFonts w:ascii="Arial" w:hAnsi="Arial"/>
          <w:snapToGrid w:val="0"/>
          <w:lang w:eastAsia="zh-CN"/>
        </w:rPr>
        <w:t>is located in</w:t>
      </w:r>
      <w:proofErr w:type="gramEnd"/>
      <w:r w:rsidRPr="00A5364D">
        <w:rPr>
          <w:rFonts w:ascii="Arial" w:hAnsi="Arial"/>
          <w:snapToGrid w:val="0"/>
          <w:lang w:eastAsia="zh-CN"/>
        </w:rPr>
        <w:t xml:space="preserve"> Jingjiang city. The yard has 1,940 m of deep-water coastline, production area of 1,508,857 sq m, a drydock that can accommodate two 100,000 dwt vessels and two half 100,000 dwt vessels at one time</w:t>
      </w:r>
      <w:r w:rsidRPr="009B7C01">
        <w:rPr>
          <w:rFonts w:ascii="Arial" w:hAnsi="Arial"/>
          <w:snapToGrid w:val="0"/>
          <w:lang w:eastAsia="zh-CN"/>
        </w:rPr>
        <w:t>.</w:t>
      </w:r>
    </w:p>
    <w:p w14:paraId="40412B6F" w14:textId="77777777" w:rsidR="00F13693" w:rsidRPr="00E65655" w:rsidRDefault="00F13693" w:rsidP="00F13693">
      <w:pPr>
        <w:pStyle w:val="BodyText"/>
        <w:spacing w:line="290" w:lineRule="auto"/>
        <w:rPr>
          <w:snapToGrid w:val="0"/>
        </w:rPr>
      </w:pPr>
    </w:p>
    <w:p w14:paraId="55DB2B29" w14:textId="1E70E9DC" w:rsidR="004378BD" w:rsidRPr="00E65655" w:rsidRDefault="00F13693" w:rsidP="00F13693">
      <w:pPr>
        <w:widowControl w:val="0"/>
        <w:spacing w:after="140" w:line="290" w:lineRule="auto"/>
        <w:jc w:val="both"/>
        <w:rPr>
          <w:snapToGrid w:val="0"/>
          <w:szCs w:val="20"/>
        </w:rPr>
      </w:pPr>
      <w:r w:rsidRPr="00E65655">
        <w:rPr>
          <w:rFonts w:cs="Arial"/>
          <w:bCs/>
          <w:lang w:val="en-US"/>
        </w:rPr>
        <w:t>The information set out in Appendix</w:t>
      </w:r>
      <w:r w:rsidR="00962B18">
        <w:rPr>
          <w:rFonts w:cs="Arial" w:hint="eastAsia"/>
          <w:bCs/>
          <w:lang w:val="en-US" w:eastAsia="zh-CN"/>
        </w:rPr>
        <w:t xml:space="preserve"> I</w:t>
      </w:r>
      <w:r w:rsidRPr="00E65655">
        <w:rPr>
          <w:rFonts w:cs="Arial"/>
          <w:bCs/>
          <w:lang w:val="en-US"/>
        </w:rPr>
        <w:t xml:space="preserve"> </w:t>
      </w:r>
      <w:r w:rsidR="00962B18">
        <w:rPr>
          <w:rFonts w:cs="Arial" w:hint="eastAsia"/>
          <w:bCs/>
          <w:lang w:val="en-US" w:eastAsia="zh-CN"/>
        </w:rPr>
        <w:t>of</w:t>
      </w:r>
      <w:r w:rsidRPr="00E65655">
        <w:rPr>
          <w:rFonts w:cs="Arial"/>
          <w:bCs/>
          <w:lang w:val="en-US"/>
        </w:rPr>
        <w:t xml:space="preserve"> this document relates to </w:t>
      </w:r>
      <w:r w:rsidR="00F600B9">
        <w:rPr>
          <w:rFonts w:cs="Arial" w:hint="eastAsia"/>
          <w:bCs/>
          <w:lang w:val="en-US" w:eastAsia="zh-CN"/>
        </w:rPr>
        <w:t xml:space="preserve">the </w:t>
      </w:r>
      <w:r w:rsidR="000D5988" w:rsidRPr="00B33E3A">
        <w:rPr>
          <w:rFonts w:hint="eastAsia"/>
          <w:snapToGrid w:val="0"/>
          <w:lang w:eastAsia="zh-CN"/>
        </w:rPr>
        <w:t>audited consolidated</w:t>
      </w:r>
      <w:r w:rsidR="000D5988" w:rsidRPr="00B33E3A">
        <w:rPr>
          <w:rFonts w:hint="eastAsia"/>
          <w:snapToGrid w:val="0"/>
          <w:lang w:val="en-SG" w:eastAsia="zh-CN"/>
        </w:rPr>
        <w:t xml:space="preserve"> </w:t>
      </w:r>
      <w:r w:rsidR="000D5988" w:rsidRPr="00B33E3A">
        <w:rPr>
          <w:snapToGrid w:val="0"/>
          <w:lang w:val="en-SG"/>
        </w:rPr>
        <w:t xml:space="preserve">financial </w:t>
      </w:r>
      <w:r w:rsidR="000D5988" w:rsidRPr="00B33E3A">
        <w:rPr>
          <w:rFonts w:hint="eastAsia"/>
          <w:snapToGrid w:val="0"/>
          <w:lang w:val="en-SG" w:eastAsia="zh-CN"/>
        </w:rPr>
        <w:t xml:space="preserve">statements </w:t>
      </w:r>
      <w:r w:rsidR="000D5988" w:rsidRPr="00B33E3A">
        <w:rPr>
          <w:snapToGrid w:val="0"/>
        </w:rPr>
        <w:t>of the Company and its subsidiaries for the</w:t>
      </w:r>
      <w:r w:rsidR="000D5988" w:rsidRPr="00B33E3A">
        <w:rPr>
          <w:rFonts w:hint="eastAsia"/>
          <w:snapToGrid w:val="0"/>
          <w:lang w:eastAsia="zh-CN"/>
        </w:rPr>
        <w:t xml:space="preserve"> financial year</w:t>
      </w:r>
      <w:r w:rsidR="000D5988" w:rsidRPr="00B33E3A">
        <w:rPr>
          <w:snapToGrid w:val="0"/>
        </w:rPr>
        <w:t xml:space="preserve"> ended </w:t>
      </w:r>
      <w:r w:rsidR="000D5988" w:rsidRPr="00B33E3A">
        <w:rPr>
          <w:rFonts w:hint="eastAsia"/>
          <w:snapToGrid w:val="0"/>
          <w:lang w:eastAsia="zh-CN"/>
        </w:rPr>
        <w:t>31 December 2025</w:t>
      </w:r>
      <w:r w:rsidR="000D5988" w:rsidRPr="00B33E3A">
        <w:rPr>
          <w:snapToGrid w:val="0"/>
        </w:rPr>
        <w:t xml:space="preserve"> and has been extracted and reproduced from an announcement by the Company </w:t>
      </w:r>
      <w:r w:rsidR="000D5988" w:rsidRPr="00B33E3A">
        <w:rPr>
          <w:rFonts w:hint="eastAsia"/>
          <w:snapToGrid w:val="0"/>
          <w:lang w:eastAsia="zh-CN"/>
        </w:rPr>
        <w:t>released on 9 April 2026</w:t>
      </w:r>
      <w:r w:rsidR="000D5988" w:rsidRPr="00853C03">
        <w:rPr>
          <w:rFonts w:hint="eastAsia"/>
          <w:snapToGrid w:val="0"/>
          <w:lang w:eastAsia="zh-CN"/>
        </w:rPr>
        <w:t xml:space="preserve"> </w:t>
      </w:r>
      <w:r w:rsidRPr="00E65655">
        <w:rPr>
          <w:rFonts w:cs="Arial"/>
          <w:bCs/>
          <w:lang w:val="en-US"/>
        </w:rPr>
        <w:t xml:space="preserve">in relation to the same. Further information relating to the Company may be located on the </w:t>
      </w:r>
      <w:proofErr w:type="gramStart"/>
      <w:r w:rsidRPr="00E65655">
        <w:rPr>
          <w:rFonts w:cs="Arial"/>
          <w:bCs/>
          <w:lang w:val="en-US"/>
        </w:rPr>
        <w:t>web-site</w:t>
      </w:r>
      <w:proofErr w:type="gramEnd"/>
      <w:r w:rsidRPr="00E65655">
        <w:rPr>
          <w:rFonts w:cs="Arial"/>
          <w:bCs/>
          <w:lang w:val="en-US"/>
        </w:rPr>
        <w:t xml:space="preserve"> of the SGX-ST at </w:t>
      </w:r>
      <w:hyperlink r:id="rId21" w:history="1">
        <w:r w:rsidRPr="00E65655">
          <w:rPr>
            <w:rStyle w:val="Hyperlink"/>
            <w:rFonts w:cs="Arial"/>
            <w:bCs/>
          </w:rPr>
          <w:t>http://www.sgx.com</w:t>
        </w:r>
      </w:hyperlink>
      <w:r w:rsidR="004378BD" w:rsidRPr="00E65655">
        <w:rPr>
          <w:rFonts w:cs="Arial"/>
          <w:bCs/>
          <w:szCs w:val="20"/>
          <w:lang w:val="en-US"/>
        </w:rPr>
        <w:t>.</w:t>
      </w:r>
      <w:r w:rsidR="004378BD" w:rsidRPr="00E65655">
        <w:rPr>
          <w:snapToGrid w:val="0"/>
        </w:rPr>
        <w:t xml:space="preserve"> </w:t>
      </w:r>
    </w:p>
    <w:p w14:paraId="663EB276" w14:textId="7CF6AE06" w:rsidR="00F60730" w:rsidRPr="00E65655" w:rsidRDefault="00F60730" w:rsidP="00F60730">
      <w:pPr>
        <w:pStyle w:val="BodyText"/>
        <w:spacing w:after="140" w:line="290" w:lineRule="auto"/>
        <w:rPr>
          <w:rFonts w:ascii="Arial" w:hAnsi="Arial"/>
          <w:snapToGrid w:val="0"/>
        </w:rPr>
      </w:pPr>
    </w:p>
    <w:p w14:paraId="0CD0B096" w14:textId="638A2403" w:rsidR="00FB1443" w:rsidRPr="00E65655" w:rsidRDefault="00FB1443" w:rsidP="00FB1443">
      <w:pPr>
        <w:pStyle w:val="BodyText"/>
        <w:widowControl w:val="0"/>
        <w:spacing w:after="140" w:line="290" w:lineRule="auto"/>
        <w:rPr>
          <w:rFonts w:ascii="Arial" w:hAnsi="Arial"/>
          <w:snapToGrid w:val="0"/>
        </w:rPr>
      </w:pPr>
    </w:p>
    <w:p w14:paraId="3518B440" w14:textId="77777777" w:rsidR="004F6E28" w:rsidRPr="00E65655" w:rsidRDefault="004F6E28" w:rsidP="00445C58">
      <w:pPr>
        <w:keepNext/>
        <w:pageBreakBefore/>
        <w:tabs>
          <w:tab w:val="left" w:pos="-1440"/>
          <w:tab w:val="left" w:pos="-720"/>
          <w:tab w:val="left" w:pos="0"/>
          <w:tab w:val="left" w:pos="720"/>
          <w:tab w:val="left" w:pos="1440"/>
          <w:tab w:val="left" w:pos="1800"/>
          <w:tab w:val="left" w:pos="2160"/>
          <w:tab w:val="left" w:pos="2880"/>
          <w:tab w:val="left" w:pos="3328"/>
          <w:tab w:val="left" w:pos="3766"/>
          <w:tab w:val="left" w:pos="4204"/>
          <w:tab w:val="left" w:pos="5040"/>
        </w:tabs>
        <w:overflowPunct w:val="0"/>
        <w:spacing w:after="140" w:line="290" w:lineRule="auto"/>
        <w:jc w:val="center"/>
        <w:rPr>
          <w:rFonts w:cs="Arial"/>
          <w:b/>
        </w:rPr>
      </w:pPr>
      <w:r w:rsidRPr="00E65655">
        <w:rPr>
          <w:rFonts w:cs="Arial"/>
          <w:b/>
        </w:rPr>
        <w:lastRenderedPageBreak/>
        <w:t>INFORMATION RELATING TO THE DESIGNATED MARKET MAKER</w:t>
      </w:r>
    </w:p>
    <w:p w14:paraId="0FC7C74E" w14:textId="7EA84A3B" w:rsidR="004F6E28" w:rsidRPr="00E65655" w:rsidRDefault="004F6E28" w:rsidP="0062377C">
      <w:pPr>
        <w:pStyle w:val="BodyText"/>
        <w:spacing w:after="140" w:line="290" w:lineRule="auto"/>
        <w:rPr>
          <w:rFonts w:ascii="Arial" w:hAnsi="Arial" w:cs="Arial"/>
        </w:rPr>
      </w:pPr>
    </w:p>
    <w:p w14:paraId="7E35BCD2" w14:textId="4A965607" w:rsidR="004F6E28" w:rsidRPr="00E65655" w:rsidRDefault="007F6676" w:rsidP="0062377C">
      <w:pPr>
        <w:spacing w:after="140" w:line="290" w:lineRule="auto"/>
        <w:jc w:val="both"/>
        <w:rPr>
          <w:rFonts w:cs="Arial"/>
        </w:rPr>
      </w:pPr>
      <w:r w:rsidRPr="00E65655">
        <w:rPr>
          <w:rFonts w:cs="Arial"/>
        </w:rPr>
        <w:t>Societe Generale</w:t>
      </w:r>
      <w:r w:rsidR="004F6E28" w:rsidRPr="00E65655">
        <w:rPr>
          <w:rFonts w:cs="Arial"/>
        </w:rPr>
        <w:t xml:space="preserve"> has been appointed the designated market maker (</w:t>
      </w:r>
      <w:r w:rsidR="003A710D" w:rsidRPr="00E65655">
        <w:rPr>
          <w:rFonts w:cs="Arial"/>
        </w:rPr>
        <w:t>“</w:t>
      </w:r>
      <w:r w:rsidR="004F6E28" w:rsidRPr="00E65655">
        <w:rPr>
          <w:rFonts w:cs="Arial"/>
          <w:b/>
        </w:rPr>
        <w:t>DMM</w:t>
      </w:r>
      <w:r w:rsidR="003A710D" w:rsidRPr="00E65655">
        <w:rPr>
          <w:rFonts w:cs="Arial"/>
        </w:rPr>
        <w:t>”</w:t>
      </w:r>
      <w:r w:rsidR="004F6E28" w:rsidRPr="00E65655">
        <w:rPr>
          <w:rFonts w:cs="Arial"/>
        </w:rPr>
        <w:t xml:space="preserve">) for the </w:t>
      </w:r>
      <w:r w:rsidR="00725E44" w:rsidRPr="00E65655">
        <w:rPr>
          <w:rFonts w:cs="Arial"/>
        </w:rPr>
        <w:t>Certificates</w:t>
      </w:r>
      <w:r w:rsidR="004F6E28" w:rsidRPr="00E65655">
        <w:rPr>
          <w:rFonts w:cs="Arial"/>
        </w:rPr>
        <w:t xml:space="preserve">. The DMM will provide competitive buy and sell quotes for the </w:t>
      </w:r>
      <w:r w:rsidR="00725E44" w:rsidRPr="00E65655">
        <w:rPr>
          <w:rFonts w:cs="Arial"/>
        </w:rPr>
        <w:t>Certificates</w:t>
      </w:r>
      <w:r w:rsidR="004F6E28" w:rsidRPr="00E65655">
        <w:rPr>
          <w:rFonts w:cs="Arial"/>
        </w:rPr>
        <w:t xml:space="preserve"> continuously during the trading hours of the SGX-ST on the following basis</w:t>
      </w:r>
      <w:r w:rsidR="007B3CE3" w:rsidRPr="00E65655">
        <w:rPr>
          <w:rFonts w:cs="Arial"/>
        </w:rPr>
        <w:t>:</w:t>
      </w:r>
    </w:p>
    <w:p w14:paraId="6E99BB0C" w14:textId="77777777" w:rsidR="004F6E28" w:rsidRPr="00E65655" w:rsidRDefault="004F6E28">
      <w:pPr>
        <w:spacing w:line="290" w:lineRule="auto"/>
        <w:jc w:val="both"/>
      </w:pPr>
    </w:p>
    <w:tbl>
      <w:tblPr>
        <w:tblW w:w="9245" w:type="dxa"/>
        <w:tblLayout w:type="fixed"/>
        <w:tblLook w:val="0000" w:firstRow="0" w:lastRow="0" w:firstColumn="0" w:lastColumn="0" w:noHBand="0" w:noVBand="0"/>
      </w:tblPr>
      <w:tblGrid>
        <w:gridCol w:w="684"/>
        <w:gridCol w:w="3653"/>
        <w:gridCol w:w="272"/>
        <w:gridCol w:w="4636"/>
      </w:tblGrid>
      <w:tr w:rsidR="00242F7B" w:rsidRPr="00E65655" w14:paraId="20C41F5E" w14:textId="77777777" w:rsidTr="00CE034A">
        <w:tc>
          <w:tcPr>
            <w:tcW w:w="684" w:type="dxa"/>
          </w:tcPr>
          <w:p w14:paraId="1AA9B7D1" w14:textId="77777777" w:rsidR="00242F7B" w:rsidRPr="00E65655" w:rsidRDefault="00242F7B" w:rsidP="00CE034A">
            <w:pPr>
              <w:pStyle w:val="PlainText"/>
              <w:spacing w:before="120" w:after="120" w:line="290" w:lineRule="auto"/>
              <w:jc w:val="both"/>
              <w:rPr>
                <w:rFonts w:ascii="Arial" w:hAnsi="Arial"/>
              </w:rPr>
            </w:pPr>
            <w:r w:rsidRPr="00E65655">
              <w:rPr>
                <w:rFonts w:ascii="Arial" w:hAnsi="Arial"/>
              </w:rPr>
              <w:t xml:space="preserve">(a) </w:t>
            </w:r>
          </w:p>
        </w:tc>
        <w:tc>
          <w:tcPr>
            <w:tcW w:w="3653" w:type="dxa"/>
          </w:tcPr>
          <w:p w14:paraId="4B445246" w14:textId="6C616249" w:rsidR="00242F7B" w:rsidRPr="00E65655" w:rsidRDefault="00242F7B" w:rsidP="00CE034A">
            <w:pPr>
              <w:pStyle w:val="PlainText"/>
              <w:spacing w:before="120" w:after="120" w:line="290" w:lineRule="auto"/>
              <w:jc w:val="both"/>
              <w:rPr>
                <w:rFonts w:ascii="Arial" w:hAnsi="Arial"/>
              </w:rPr>
            </w:pPr>
            <w:r w:rsidRPr="00E65655">
              <w:rPr>
                <w:rFonts w:ascii="Arial" w:hAnsi="Arial"/>
              </w:rPr>
              <w:t>Maximum bid and offer spread</w:t>
            </w:r>
          </w:p>
        </w:tc>
        <w:tc>
          <w:tcPr>
            <w:tcW w:w="272" w:type="dxa"/>
          </w:tcPr>
          <w:p w14:paraId="1715252B" w14:textId="2708B42A" w:rsidR="00242F7B" w:rsidRPr="00E65655" w:rsidRDefault="00242F7B" w:rsidP="00CE034A">
            <w:pPr>
              <w:pStyle w:val="PlainText"/>
              <w:spacing w:before="120" w:after="120" w:line="290" w:lineRule="auto"/>
              <w:jc w:val="both"/>
              <w:rPr>
                <w:rFonts w:ascii="Arial" w:hAnsi="Arial"/>
              </w:rPr>
            </w:pPr>
            <w:r w:rsidRPr="00E65655">
              <w:rPr>
                <w:rFonts w:ascii="Arial" w:hAnsi="Arial"/>
              </w:rPr>
              <w:t xml:space="preserve">: </w:t>
            </w:r>
          </w:p>
        </w:tc>
        <w:tc>
          <w:tcPr>
            <w:tcW w:w="4636" w:type="dxa"/>
          </w:tcPr>
          <w:p w14:paraId="2345A368" w14:textId="77777777" w:rsidR="00242F7B" w:rsidRPr="00E65655" w:rsidRDefault="00242F7B">
            <w:pPr>
              <w:pStyle w:val="ListParagraph"/>
              <w:keepLines/>
              <w:numPr>
                <w:ilvl w:val="0"/>
                <w:numId w:val="29"/>
              </w:numPr>
              <w:tabs>
                <w:tab w:val="right" w:pos="434"/>
                <w:tab w:val="left" w:pos="2160"/>
              </w:tabs>
              <w:autoSpaceDE w:val="0"/>
              <w:autoSpaceDN w:val="0"/>
              <w:adjustRightInd w:val="0"/>
              <w:spacing w:before="120" w:after="120" w:line="290" w:lineRule="auto"/>
              <w:ind w:left="432" w:hanging="432"/>
              <w:jc w:val="both"/>
              <w:rPr>
                <w:rFonts w:cs="Arial"/>
                <w:lang w:val="en-CA"/>
              </w:rPr>
            </w:pPr>
            <w:bookmarkStart w:id="80" w:name="_cp_change_49"/>
            <w:bookmarkEnd w:id="80"/>
            <w:r w:rsidRPr="00E65655">
              <w:rPr>
                <w:rFonts w:cs="Arial"/>
                <w:lang w:val="en-CA"/>
              </w:rPr>
              <w:t>when the best bid price of the Certificate is S$10 and below: 10 ticks or S$0.20 whichever is greater; and</w:t>
            </w:r>
          </w:p>
          <w:p w14:paraId="213F9F04" w14:textId="08C0ED6F" w:rsidR="00242F7B" w:rsidRPr="00E65655" w:rsidRDefault="00242F7B">
            <w:pPr>
              <w:pStyle w:val="ListParagraph"/>
              <w:keepLines/>
              <w:numPr>
                <w:ilvl w:val="0"/>
                <w:numId w:val="29"/>
              </w:numPr>
              <w:tabs>
                <w:tab w:val="right" w:pos="434"/>
                <w:tab w:val="left" w:pos="2160"/>
              </w:tabs>
              <w:autoSpaceDE w:val="0"/>
              <w:autoSpaceDN w:val="0"/>
              <w:adjustRightInd w:val="0"/>
              <w:spacing w:before="120" w:after="120" w:line="290" w:lineRule="auto"/>
              <w:ind w:left="432" w:hanging="432"/>
              <w:jc w:val="both"/>
            </w:pPr>
            <w:r w:rsidRPr="00E65655">
              <w:rPr>
                <w:rFonts w:cs="Arial"/>
                <w:lang w:val="en-CA"/>
              </w:rPr>
              <w:t>when the best bid price of the Certificate is above S$10: 5% of the best bid price of the Certificate.</w:t>
            </w:r>
          </w:p>
        </w:tc>
      </w:tr>
      <w:tr w:rsidR="004F6E28" w:rsidRPr="00E65655" w14:paraId="2542964F" w14:textId="77777777" w:rsidTr="00CE034A">
        <w:tc>
          <w:tcPr>
            <w:tcW w:w="684" w:type="dxa"/>
          </w:tcPr>
          <w:p w14:paraId="1EF4147E" w14:textId="77777777" w:rsidR="004F6E28" w:rsidRPr="00E65655" w:rsidRDefault="004F6E28" w:rsidP="00CE034A">
            <w:pPr>
              <w:pStyle w:val="PlainText"/>
              <w:spacing w:before="120" w:after="120" w:line="290" w:lineRule="auto"/>
              <w:jc w:val="both"/>
              <w:rPr>
                <w:rFonts w:ascii="Arial" w:hAnsi="Arial"/>
              </w:rPr>
            </w:pPr>
            <w:r w:rsidRPr="00E65655">
              <w:rPr>
                <w:rFonts w:ascii="Arial" w:hAnsi="Arial"/>
              </w:rPr>
              <w:t xml:space="preserve">(b) </w:t>
            </w:r>
          </w:p>
        </w:tc>
        <w:tc>
          <w:tcPr>
            <w:tcW w:w="3653" w:type="dxa"/>
          </w:tcPr>
          <w:p w14:paraId="17060505" w14:textId="1925D12B" w:rsidR="004F6E28" w:rsidRPr="00E65655" w:rsidRDefault="004F6E28" w:rsidP="00CE034A">
            <w:pPr>
              <w:pStyle w:val="PlainText"/>
              <w:spacing w:before="120" w:after="120" w:line="290" w:lineRule="auto"/>
              <w:jc w:val="both"/>
              <w:rPr>
                <w:rFonts w:ascii="Arial" w:hAnsi="Arial"/>
              </w:rPr>
            </w:pPr>
            <w:r w:rsidRPr="00E65655">
              <w:rPr>
                <w:rFonts w:ascii="Arial" w:hAnsi="Arial"/>
              </w:rPr>
              <w:t xml:space="preserve">Minimum quantity </w:t>
            </w:r>
            <w:r w:rsidR="0008642A" w:rsidRPr="00E65655">
              <w:rPr>
                <w:rFonts w:ascii="Arial" w:hAnsi="Arial"/>
              </w:rPr>
              <w:t>subject to bid and offer spread</w:t>
            </w:r>
          </w:p>
        </w:tc>
        <w:tc>
          <w:tcPr>
            <w:tcW w:w="272" w:type="dxa"/>
          </w:tcPr>
          <w:p w14:paraId="5CFB6004" w14:textId="77777777" w:rsidR="004F6E28" w:rsidRPr="00E65655" w:rsidRDefault="004F6E28" w:rsidP="00CE034A">
            <w:pPr>
              <w:pStyle w:val="PlainText"/>
              <w:spacing w:before="120" w:after="120" w:line="290" w:lineRule="auto"/>
              <w:jc w:val="both"/>
              <w:rPr>
                <w:rFonts w:ascii="Arial" w:hAnsi="Arial"/>
              </w:rPr>
            </w:pPr>
            <w:r w:rsidRPr="00E65655">
              <w:rPr>
                <w:rFonts w:ascii="Arial" w:hAnsi="Arial"/>
              </w:rPr>
              <w:t xml:space="preserve">: </w:t>
            </w:r>
          </w:p>
        </w:tc>
        <w:tc>
          <w:tcPr>
            <w:tcW w:w="4636" w:type="dxa"/>
          </w:tcPr>
          <w:p w14:paraId="329F5312" w14:textId="77777777" w:rsidR="004F6E28" w:rsidRPr="00E65655" w:rsidRDefault="004F6E28" w:rsidP="00CE034A">
            <w:pPr>
              <w:pStyle w:val="PlainText"/>
              <w:spacing w:before="120" w:after="120" w:line="290" w:lineRule="auto"/>
              <w:jc w:val="both"/>
              <w:rPr>
                <w:rFonts w:ascii="Arial" w:hAnsi="Arial"/>
              </w:rPr>
            </w:pPr>
            <w:r w:rsidRPr="00E65655">
              <w:rPr>
                <w:rFonts w:ascii="Arial" w:hAnsi="Arial"/>
              </w:rPr>
              <w:t xml:space="preserve">10,000 </w:t>
            </w:r>
            <w:r w:rsidR="00725E44" w:rsidRPr="00E65655">
              <w:rPr>
                <w:rFonts w:ascii="Arial" w:hAnsi="Arial"/>
              </w:rPr>
              <w:t>Certificates</w:t>
            </w:r>
          </w:p>
        </w:tc>
      </w:tr>
      <w:tr w:rsidR="004F6E28" w:rsidRPr="00E65655" w14:paraId="29C7DA1C" w14:textId="77777777" w:rsidTr="00CE034A">
        <w:tc>
          <w:tcPr>
            <w:tcW w:w="684" w:type="dxa"/>
          </w:tcPr>
          <w:p w14:paraId="068D1418" w14:textId="77777777" w:rsidR="004F6E28" w:rsidRPr="00E65655" w:rsidRDefault="004F6E28" w:rsidP="00CE034A">
            <w:pPr>
              <w:pStyle w:val="PlainText"/>
              <w:spacing w:before="120" w:after="120" w:line="290" w:lineRule="auto"/>
              <w:jc w:val="both"/>
              <w:rPr>
                <w:rFonts w:ascii="Arial" w:hAnsi="Arial"/>
              </w:rPr>
            </w:pPr>
            <w:r w:rsidRPr="00E65655">
              <w:rPr>
                <w:rFonts w:ascii="Arial" w:hAnsi="Arial"/>
              </w:rPr>
              <w:t>(c)</w:t>
            </w:r>
          </w:p>
        </w:tc>
        <w:tc>
          <w:tcPr>
            <w:tcW w:w="3653" w:type="dxa"/>
          </w:tcPr>
          <w:p w14:paraId="6D488374" w14:textId="77777777" w:rsidR="004F6E28" w:rsidRPr="00E65655" w:rsidRDefault="004F6E28" w:rsidP="00CE034A">
            <w:pPr>
              <w:pStyle w:val="PlainText"/>
              <w:spacing w:before="120" w:after="120" w:line="290" w:lineRule="auto"/>
              <w:jc w:val="both"/>
              <w:rPr>
                <w:rFonts w:ascii="Arial" w:hAnsi="Arial"/>
              </w:rPr>
            </w:pPr>
            <w:r w:rsidRPr="00E65655">
              <w:rPr>
                <w:rFonts w:ascii="Arial" w:hAnsi="Arial"/>
              </w:rPr>
              <w:t>Last Trading Day for Market Making</w:t>
            </w:r>
          </w:p>
        </w:tc>
        <w:tc>
          <w:tcPr>
            <w:tcW w:w="272" w:type="dxa"/>
          </w:tcPr>
          <w:p w14:paraId="11E7F5D3" w14:textId="77777777" w:rsidR="004F6E28" w:rsidRPr="00E65655" w:rsidRDefault="004F6E28" w:rsidP="00CE034A">
            <w:pPr>
              <w:pStyle w:val="PlainText"/>
              <w:spacing w:before="120" w:after="120" w:line="290" w:lineRule="auto"/>
              <w:jc w:val="both"/>
              <w:rPr>
                <w:rFonts w:ascii="Arial" w:hAnsi="Arial"/>
              </w:rPr>
            </w:pPr>
            <w:r w:rsidRPr="00E65655">
              <w:rPr>
                <w:rFonts w:ascii="Arial" w:hAnsi="Arial"/>
              </w:rPr>
              <w:t xml:space="preserve">: </w:t>
            </w:r>
          </w:p>
        </w:tc>
        <w:tc>
          <w:tcPr>
            <w:tcW w:w="4636" w:type="dxa"/>
          </w:tcPr>
          <w:p w14:paraId="0ACE5CB9" w14:textId="59BBEA4F" w:rsidR="004F6E28" w:rsidRPr="00E65655" w:rsidRDefault="001F08AA" w:rsidP="00CE034A">
            <w:pPr>
              <w:pStyle w:val="PlainText"/>
              <w:spacing w:before="120" w:after="120" w:line="290" w:lineRule="auto"/>
              <w:jc w:val="both"/>
              <w:rPr>
                <w:rFonts w:ascii="Arial" w:hAnsi="Arial"/>
              </w:rPr>
            </w:pPr>
            <w:r w:rsidRPr="00E65655">
              <w:rPr>
                <w:rFonts w:ascii="Arial" w:hAnsi="Arial"/>
              </w:rPr>
              <w:t>The date falling 5</w:t>
            </w:r>
            <w:r w:rsidR="00A80555" w:rsidRPr="00E65655">
              <w:rPr>
                <w:rFonts w:ascii="Arial" w:hAnsi="Arial"/>
              </w:rPr>
              <w:t xml:space="preserve"> </w:t>
            </w:r>
            <w:r w:rsidR="00E53988" w:rsidRPr="00E65655">
              <w:rPr>
                <w:rFonts w:ascii="Arial" w:hAnsi="Arial"/>
              </w:rPr>
              <w:t>B</w:t>
            </w:r>
            <w:r w:rsidR="004F6E28" w:rsidRPr="00E65655">
              <w:rPr>
                <w:rFonts w:ascii="Arial" w:hAnsi="Arial"/>
              </w:rPr>
              <w:t xml:space="preserve">usiness </w:t>
            </w:r>
            <w:r w:rsidR="00E53988" w:rsidRPr="00E65655">
              <w:rPr>
                <w:rFonts w:ascii="Arial" w:hAnsi="Arial"/>
              </w:rPr>
              <w:t>D</w:t>
            </w:r>
            <w:r w:rsidR="004F6E28" w:rsidRPr="00E65655">
              <w:rPr>
                <w:rFonts w:ascii="Arial" w:hAnsi="Arial"/>
              </w:rPr>
              <w:t>ays immediately preceding the Expiry Date</w:t>
            </w:r>
          </w:p>
        </w:tc>
      </w:tr>
    </w:tbl>
    <w:p w14:paraId="7381BD32" w14:textId="1666781A" w:rsidR="004F6E28" w:rsidRPr="00E65655" w:rsidRDefault="004F6E28" w:rsidP="0062377C">
      <w:pPr>
        <w:pStyle w:val="BodyText"/>
        <w:spacing w:after="140" w:line="290" w:lineRule="auto"/>
        <w:rPr>
          <w:rFonts w:ascii="Arial" w:hAnsi="Arial"/>
          <w:snapToGrid w:val="0"/>
        </w:rPr>
      </w:pPr>
      <w:r w:rsidRPr="00E65655">
        <w:rPr>
          <w:rFonts w:ascii="Arial" w:hAnsi="Arial"/>
          <w:snapToGrid w:val="0"/>
        </w:rPr>
        <w:t xml:space="preserve">In addition, the DMM </w:t>
      </w:r>
      <w:r w:rsidR="006B4704" w:rsidRPr="00E65655">
        <w:rPr>
          <w:rFonts w:ascii="Arial" w:hAnsi="Arial"/>
          <w:snapToGrid w:val="0"/>
        </w:rPr>
        <w:t>may</w:t>
      </w:r>
      <w:r w:rsidRPr="00E65655">
        <w:rPr>
          <w:rFonts w:ascii="Arial" w:hAnsi="Arial"/>
          <w:snapToGrid w:val="0"/>
        </w:rPr>
        <w:t xml:space="preserve"> not provide a quotation </w:t>
      </w:r>
      <w:r w:rsidR="006D7C01" w:rsidRPr="00E65655">
        <w:rPr>
          <w:rFonts w:ascii="Arial" w:hAnsi="Arial"/>
          <w:snapToGrid w:val="0"/>
        </w:rPr>
        <w:t>in the following circumstances:</w:t>
      </w:r>
    </w:p>
    <w:p w14:paraId="534422DF" w14:textId="77777777" w:rsidR="004F6E28" w:rsidRPr="00E65655" w:rsidRDefault="004F6E28" w:rsidP="00DA5B27">
      <w:pPr>
        <w:widowControl w:val="0"/>
        <w:spacing w:after="140" w:line="290" w:lineRule="auto"/>
        <w:ind w:left="720" w:hanging="720"/>
        <w:jc w:val="both"/>
        <w:rPr>
          <w:rFonts w:cs="Arial"/>
          <w:color w:val="000000"/>
        </w:rPr>
      </w:pPr>
      <w:r w:rsidRPr="00E65655">
        <w:rPr>
          <w:rFonts w:cs="Arial"/>
          <w:color w:val="000000"/>
        </w:rPr>
        <w:t>(i)</w:t>
      </w:r>
      <w:r w:rsidRPr="00E65655">
        <w:rPr>
          <w:rFonts w:cs="Arial"/>
          <w:color w:val="000000"/>
        </w:rPr>
        <w:tab/>
      </w:r>
      <w:r w:rsidR="00FD4BE3" w:rsidRPr="00E65655">
        <w:rPr>
          <w:rFonts w:cs="Arial"/>
          <w:color w:val="000000"/>
        </w:rPr>
        <w:t xml:space="preserve">during the pre-market opening </w:t>
      </w:r>
      <w:r w:rsidR="005F01DC" w:rsidRPr="00E65655">
        <w:rPr>
          <w:rFonts w:cs="Arial"/>
          <w:color w:val="000000"/>
        </w:rPr>
        <w:t xml:space="preserve">and </w:t>
      </w:r>
      <w:r w:rsidR="00FD4BE3" w:rsidRPr="00E65655">
        <w:rPr>
          <w:rFonts w:cs="Arial"/>
          <w:color w:val="000000"/>
        </w:rPr>
        <w:t>five minutes following the opening of the SGX-ST</w:t>
      </w:r>
      <w:r w:rsidR="00B745CB" w:rsidRPr="00E65655">
        <w:rPr>
          <w:rFonts w:cs="Arial"/>
          <w:color w:val="000000"/>
        </w:rPr>
        <w:t xml:space="preserve"> </w:t>
      </w:r>
      <w:r w:rsidR="00FD4BE3" w:rsidRPr="00E65655">
        <w:rPr>
          <w:rFonts w:cs="Arial"/>
          <w:color w:val="000000"/>
        </w:rPr>
        <w:t xml:space="preserve">on any trading </w:t>
      </w:r>
      <w:proofErr w:type="gramStart"/>
      <w:r w:rsidR="00FD4BE3" w:rsidRPr="00E65655">
        <w:rPr>
          <w:rFonts w:cs="Arial"/>
          <w:color w:val="000000"/>
        </w:rPr>
        <w:t>day;</w:t>
      </w:r>
      <w:proofErr w:type="gramEnd"/>
    </w:p>
    <w:p w14:paraId="77FA9AA7" w14:textId="6D2C18A1" w:rsidR="004F6E28" w:rsidRPr="00E65655" w:rsidRDefault="004F6E28" w:rsidP="00DA5B27">
      <w:pPr>
        <w:widowControl w:val="0"/>
        <w:spacing w:after="140" w:line="290" w:lineRule="auto"/>
        <w:ind w:left="720" w:hanging="720"/>
        <w:jc w:val="both"/>
        <w:rPr>
          <w:rFonts w:cs="Arial"/>
          <w:bCs/>
        </w:rPr>
      </w:pPr>
      <w:r w:rsidRPr="00E65655">
        <w:rPr>
          <w:rFonts w:cs="Arial"/>
          <w:color w:val="000000"/>
        </w:rPr>
        <w:t>(ii)</w:t>
      </w:r>
      <w:r w:rsidRPr="00E65655">
        <w:rPr>
          <w:rFonts w:cs="Arial"/>
          <w:color w:val="000000"/>
        </w:rPr>
        <w:tab/>
      </w:r>
      <w:r w:rsidR="00FD4BE3" w:rsidRPr="00E65655">
        <w:rPr>
          <w:rFonts w:cs="Arial"/>
          <w:bCs/>
        </w:rPr>
        <w:t>if the Certificates are valueless (where the Issuer’s bid price is below the minimum bid size for such securiti</w:t>
      </w:r>
      <w:r w:rsidR="009622DB" w:rsidRPr="00E65655">
        <w:rPr>
          <w:rFonts w:cs="Arial"/>
          <w:bCs/>
        </w:rPr>
        <w:t>es as prescribed by the SGX-ST</w:t>
      </w:r>
      <w:proofErr w:type="gramStart"/>
      <w:r w:rsidR="009622DB" w:rsidRPr="00E65655">
        <w:rPr>
          <w:rFonts w:cs="Arial"/>
          <w:bCs/>
        </w:rPr>
        <w:t>)</w:t>
      </w:r>
      <w:r w:rsidR="00FD4BE3" w:rsidRPr="00E65655">
        <w:rPr>
          <w:rFonts w:cs="Arial"/>
          <w:bCs/>
        </w:rPr>
        <w:t>;</w:t>
      </w:r>
      <w:proofErr w:type="gramEnd"/>
    </w:p>
    <w:p w14:paraId="640BEA1C" w14:textId="77777777" w:rsidR="00867702" w:rsidRPr="00E65655" w:rsidRDefault="004F6E28" w:rsidP="00DA5B27">
      <w:pPr>
        <w:widowControl w:val="0"/>
        <w:spacing w:after="140" w:line="290" w:lineRule="auto"/>
        <w:ind w:left="720" w:hanging="720"/>
        <w:jc w:val="both"/>
        <w:rPr>
          <w:rFonts w:cs="Arial"/>
          <w:bCs/>
        </w:rPr>
      </w:pPr>
      <w:r w:rsidRPr="00E65655">
        <w:rPr>
          <w:rFonts w:cs="Arial"/>
          <w:color w:val="000000"/>
        </w:rPr>
        <w:t>(</w:t>
      </w:r>
      <w:r w:rsidR="00F322BD" w:rsidRPr="00E65655">
        <w:rPr>
          <w:rFonts w:cs="Arial"/>
          <w:color w:val="000000"/>
        </w:rPr>
        <w:t>iii</w:t>
      </w:r>
      <w:r w:rsidRPr="00E65655">
        <w:rPr>
          <w:rFonts w:cs="Arial"/>
          <w:color w:val="000000"/>
        </w:rPr>
        <w:t>)</w:t>
      </w:r>
      <w:r w:rsidRPr="00E65655">
        <w:rPr>
          <w:rFonts w:cs="Arial"/>
          <w:color w:val="000000"/>
        </w:rPr>
        <w:tab/>
      </w:r>
      <w:r w:rsidR="00867702" w:rsidRPr="00E65655">
        <w:rPr>
          <w:rFonts w:cs="Arial"/>
          <w:bCs/>
        </w:rPr>
        <w:t xml:space="preserve">where the Certificates are suspended from trading for any </w:t>
      </w:r>
      <w:proofErr w:type="gramStart"/>
      <w:r w:rsidR="00867702" w:rsidRPr="00E65655">
        <w:rPr>
          <w:rFonts w:cs="Arial"/>
          <w:bCs/>
        </w:rPr>
        <w:t>reason</w:t>
      </w:r>
      <w:r w:rsidR="00883BB0" w:rsidRPr="00E65655">
        <w:rPr>
          <w:rFonts w:cs="Arial"/>
          <w:bCs/>
        </w:rPr>
        <w:t>;</w:t>
      </w:r>
      <w:proofErr w:type="gramEnd"/>
      <w:r w:rsidR="00867702" w:rsidRPr="00E65655">
        <w:rPr>
          <w:rFonts w:cs="Arial"/>
          <w:bCs/>
        </w:rPr>
        <w:t xml:space="preserve"> </w:t>
      </w:r>
    </w:p>
    <w:p w14:paraId="38210E50" w14:textId="77777777" w:rsidR="00867702" w:rsidRPr="00E65655" w:rsidRDefault="004F6E28" w:rsidP="00DA5B27">
      <w:pPr>
        <w:widowControl w:val="0"/>
        <w:spacing w:after="140" w:line="290" w:lineRule="auto"/>
        <w:ind w:left="720" w:hanging="720"/>
        <w:jc w:val="both"/>
        <w:rPr>
          <w:rFonts w:cs="Arial"/>
          <w:bCs/>
        </w:rPr>
      </w:pPr>
      <w:r w:rsidRPr="00E65655">
        <w:rPr>
          <w:snapToGrid w:val="0"/>
        </w:rPr>
        <w:t>(</w:t>
      </w:r>
      <w:r w:rsidR="005A2DCA" w:rsidRPr="00E65655">
        <w:rPr>
          <w:snapToGrid w:val="0"/>
        </w:rPr>
        <w:t>i</w:t>
      </w:r>
      <w:r w:rsidRPr="00E65655">
        <w:rPr>
          <w:snapToGrid w:val="0"/>
        </w:rPr>
        <w:t>v)</w:t>
      </w:r>
      <w:r w:rsidRPr="00E65655">
        <w:rPr>
          <w:snapToGrid w:val="0"/>
        </w:rPr>
        <w:tab/>
      </w:r>
      <w:r w:rsidR="00867702" w:rsidRPr="00E65655">
        <w:rPr>
          <w:rFonts w:cs="Arial"/>
          <w:bCs/>
        </w:rPr>
        <w:t xml:space="preserve">market disruption events, including, without limitation, any suspension of or limitation imposed on trading </w:t>
      </w:r>
      <w:r w:rsidR="00B27032" w:rsidRPr="00E65655">
        <w:rPr>
          <w:rFonts w:cs="Arial"/>
          <w:bCs/>
        </w:rPr>
        <w:t>(</w:t>
      </w:r>
      <w:r w:rsidR="00867702" w:rsidRPr="00E65655">
        <w:rPr>
          <w:rFonts w:cs="Arial"/>
          <w:bCs/>
        </w:rPr>
        <w:t xml:space="preserve">including but not limited </w:t>
      </w:r>
      <w:r w:rsidR="00883BB0" w:rsidRPr="00E65655">
        <w:rPr>
          <w:rFonts w:cs="Arial"/>
          <w:bCs/>
        </w:rPr>
        <w:t xml:space="preserve">to unforeseen circumstances such as by reason of movements in price exceeding limits permitted by the SGX-ST or any act of God, war, riot, public disorder, explosion, terrorism or otherwise) in </w:t>
      </w:r>
      <w:r w:rsidR="00A9304C" w:rsidRPr="00E65655">
        <w:rPr>
          <w:rFonts w:cs="Arial"/>
          <w:bCs/>
        </w:rPr>
        <w:t xml:space="preserve">the </w:t>
      </w:r>
      <w:r w:rsidR="003F66C9" w:rsidRPr="00E65655">
        <w:rPr>
          <w:rFonts w:cs="Arial"/>
          <w:bCs/>
        </w:rPr>
        <w:t xml:space="preserve">Underlying </w:t>
      </w:r>
      <w:proofErr w:type="gramStart"/>
      <w:r w:rsidR="003F66C9" w:rsidRPr="00E65655">
        <w:rPr>
          <w:rFonts w:cs="Arial"/>
          <w:bCs/>
        </w:rPr>
        <w:t>Stock</w:t>
      </w:r>
      <w:r w:rsidR="00883BB0" w:rsidRPr="00E65655">
        <w:rPr>
          <w:rFonts w:cs="Arial"/>
          <w:bCs/>
        </w:rPr>
        <w:t>;</w:t>
      </w:r>
      <w:proofErr w:type="gramEnd"/>
    </w:p>
    <w:p w14:paraId="672EDA3E" w14:textId="77777777" w:rsidR="00867702" w:rsidRPr="00E65655" w:rsidRDefault="004F6E28" w:rsidP="00DA5B27">
      <w:pPr>
        <w:widowControl w:val="0"/>
        <w:spacing w:after="140" w:line="290" w:lineRule="auto"/>
        <w:ind w:left="720" w:hanging="720"/>
        <w:jc w:val="both"/>
        <w:rPr>
          <w:rFonts w:cs="Arial"/>
          <w:bCs/>
        </w:rPr>
      </w:pPr>
      <w:r w:rsidRPr="00E65655">
        <w:rPr>
          <w:rFonts w:cs="Arial"/>
          <w:snapToGrid w:val="0"/>
        </w:rPr>
        <w:t>(v)</w:t>
      </w:r>
      <w:r w:rsidRPr="00E65655">
        <w:rPr>
          <w:rFonts w:cs="Arial"/>
          <w:snapToGrid w:val="0"/>
        </w:rPr>
        <w:tab/>
      </w:r>
      <w:r w:rsidR="00867702" w:rsidRPr="00E65655">
        <w:rPr>
          <w:rFonts w:cs="Arial"/>
          <w:bCs/>
        </w:rPr>
        <w:t>where the Issuer or the DMM faces technical problems affecting the ability of the DMM to pro</w:t>
      </w:r>
      <w:r w:rsidR="0089031D" w:rsidRPr="00E65655">
        <w:rPr>
          <w:rFonts w:cs="Arial"/>
          <w:bCs/>
        </w:rPr>
        <w:t xml:space="preserve">vide bids and offer </w:t>
      </w:r>
      <w:proofErr w:type="gramStart"/>
      <w:r w:rsidR="0089031D" w:rsidRPr="00E65655">
        <w:rPr>
          <w:rFonts w:cs="Arial"/>
          <w:bCs/>
        </w:rPr>
        <w:t>quotations;</w:t>
      </w:r>
      <w:proofErr w:type="gramEnd"/>
    </w:p>
    <w:p w14:paraId="0B776BCC" w14:textId="77777777" w:rsidR="00867702" w:rsidRPr="00E65655" w:rsidRDefault="005A2DCA" w:rsidP="00DA5B27">
      <w:pPr>
        <w:widowControl w:val="0"/>
        <w:spacing w:after="140" w:line="290" w:lineRule="auto"/>
        <w:ind w:left="720" w:hanging="720"/>
        <w:jc w:val="both"/>
        <w:rPr>
          <w:rFonts w:cs="Arial"/>
          <w:bCs/>
        </w:rPr>
      </w:pPr>
      <w:r w:rsidRPr="00E65655">
        <w:rPr>
          <w:snapToGrid w:val="0"/>
        </w:rPr>
        <w:t>(v</w:t>
      </w:r>
      <w:r w:rsidR="00DA1370" w:rsidRPr="00E65655">
        <w:rPr>
          <w:snapToGrid w:val="0"/>
        </w:rPr>
        <w:t>i</w:t>
      </w:r>
      <w:r w:rsidR="00D872AC" w:rsidRPr="00E65655">
        <w:rPr>
          <w:snapToGrid w:val="0"/>
        </w:rPr>
        <w:t>)</w:t>
      </w:r>
      <w:r w:rsidR="00D872AC" w:rsidRPr="00E65655">
        <w:rPr>
          <w:snapToGrid w:val="0"/>
        </w:rPr>
        <w:tab/>
      </w:r>
      <w:r w:rsidR="00867702" w:rsidRPr="00E65655">
        <w:rPr>
          <w:rFonts w:cs="Arial"/>
          <w:bCs/>
        </w:rPr>
        <w:t xml:space="preserve">where the ability of the Issuer to source a hedge or unwind an existing hedge, as determined by the Issuer in good faith, is materially affected by the prevailing market conditions, and the Issuer informs the SGX-ST of its inability to do so as soon as </w:t>
      </w:r>
      <w:proofErr w:type="gramStart"/>
      <w:r w:rsidR="00867702" w:rsidRPr="00E65655">
        <w:rPr>
          <w:rFonts w:cs="Arial"/>
          <w:bCs/>
        </w:rPr>
        <w:t>practicable;</w:t>
      </w:r>
      <w:proofErr w:type="gramEnd"/>
      <w:r w:rsidR="00867702" w:rsidRPr="00E65655">
        <w:rPr>
          <w:rFonts w:cs="Arial"/>
          <w:bCs/>
        </w:rPr>
        <w:t xml:space="preserve"> </w:t>
      </w:r>
    </w:p>
    <w:p w14:paraId="7F6F1A77" w14:textId="7D0F4306" w:rsidR="000722F2" w:rsidRPr="00E65655" w:rsidRDefault="000722F2" w:rsidP="00FB7C16">
      <w:pPr>
        <w:widowControl w:val="0"/>
        <w:spacing w:after="140" w:line="290" w:lineRule="auto"/>
        <w:ind w:left="720" w:hanging="720"/>
        <w:jc w:val="both"/>
        <w:rPr>
          <w:rFonts w:cs="Arial"/>
          <w:snapToGrid w:val="0"/>
        </w:rPr>
      </w:pPr>
      <w:r w:rsidRPr="00E65655">
        <w:rPr>
          <w:snapToGrid w:val="0"/>
        </w:rPr>
        <w:t>(</w:t>
      </w:r>
      <w:r w:rsidR="00F322BD" w:rsidRPr="00E65655">
        <w:rPr>
          <w:snapToGrid w:val="0"/>
        </w:rPr>
        <w:t>v</w:t>
      </w:r>
      <w:r w:rsidR="005A2DCA" w:rsidRPr="00E65655">
        <w:rPr>
          <w:snapToGrid w:val="0"/>
        </w:rPr>
        <w:t>ii</w:t>
      </w:r>
      <w:r w:rsidRPr="00E65655">
        <w:rPr>
          <w:snapToGrid w:val="0"/>
        </w:rPr>
        <w:t>)</w:t>
      </w:r>
      <w:r w:rsidR="00353A94" w:rsidRPr="00E65655">
        <w:rPr>
          <w:snapToGrid w:val="0"/>
        </w:rPr>
        <w:tab/>
      </w:r>
      <w:r w:rsidR="00867702" w:rsidRPr="00E65655">
        <w:rPr>
          <w:rFonts w:cs="Arial"/>
          <w:bCs/>
        </w:rPr>
        <w:t xml:space="preserve">in cases where the Issuer has no Certificates to sell, then the DMM will only provide bid </w:t>
      </w:r>
      <w:r w:rsidR="00680E8B" w:rsidRPr="00E65655">
        <w:rPr>
          <w:rFonts w:cs="Arial"/>
          <w:bCs/>
        </w:rPr>
        <w:t xml:space="preserve">quotations. The DMM may provide intermittent offer quotations when it has inventory of the </w:t>
      </w:r>
      <w:proofErr w:type="gramStart"/>
      <w:r w:rsidR="00680E8B" w:rsidRPr="00E65655">
        <w:rPr>
          <w:rFonts w:cs="Arial"/>
          <w:bCs/>
        </w:rPr>
        <w:t>Certificates</w:t>
      </w:r>
      <w:r w:rsidR="00867702" w:rsidRPr="00E65655">
        <w:rPr>
          <w:rFonts w:cs="Arial"/>
          <w:bCs/>
        </w:rPr>
        <w:t>;</w:t>
      </w:r>
      <w:proofErr w:type="gramEnd"/>
    </w:p>
    <w:p w14:paraId="6457519F" w14:textId="77777777" w:rsidR="00867702" w:rsidRPr="00E65655" w:rsidRDefault="0058757C" w:rsidP="00FB7C16">
      <w:pPr>
        <w:widowControl w:val="0"/>
        <w:spacing w:after="140" w:line="290" w:lineRule="auto"/>
        <w:ind w:left="720" w:hanging="720"/>
        <w:jc w:val="both"/>
        <w:rPr>
          <w:rFonts w:cs="Arial"/>
          <w:bCs/>
        </w:rPr>
      </w:pPr>
      <w:r w:rsidRPr="00E65655">
        <w:rPr>
          <w:snapToGrid w:val="0"/>
        </w:rPr>
        <w:t>(</w:t>
      </w:r>
      <w:r w:rsidR="005A2DCA" w:rsidRPr="00E65655">
        <w:rPr>
          <w:snapToGrid w:val="0"/>
        </w:rPr>
        <w:t>viii</w:t>
      </w:r>
      <w:r w:rsidRPr="00E65655">
        <w:rPr>
          <w:snapToGrid w:val="0"/>
        </w:rPr>
        <w:t>)</w:t>
      </w:r>
      <w:r w:rsidRPr="00E65655">
        <w:rPr>
          <w:snapToGrid w:val="0"/>
        </w:rPr>
        <w:tab/>
      </w:r>
      <w:r w:rsidR="00867702" w:rsidRPr="00E65655">
        <w:rPr>
          <w:rFonts w:cs="Arial"/>
          <w:bCs/>
        </w:rPr>
        <w:t xml:space="preserve">if the stock market experiences exceptional price movement and </w:t>
      </w:r>
      <w:proofErr w:type="gramStart"/>
      <w:r w:rsidR="00867702" w:rsidRPr="00E65655">
        <w:rPr>
          <w:rFonts w:cs="Arial"/>
          <w:bCs/>
        </w:rPr>
        <w:t>volatility;</w:t>
      </w:r>
      <w:proofErr w:type="gramEnd"/>
    </w:p>
    <w:p w14:paraId="04E32D7D" w14:textId="69187673" w:rsidR="00867702" w:rsidRPr="00E65655" w:rsidRDefault="00867702" w:rsidP="00FB7C16">
      <w:pPr>
        <w:widowControl w:val="0"/>
        <w:spacing w:after="140" w:line="290" w:lineRule="auto"/>
        <w:ind w:left="720" w:hanging="720"/>
        <w:jc w:val="both"/>
        <w:rPr>
          <w:rFonts w:cs="Arial"/>
          <w:bCs/>
        </w:rPr>
      </w:pPr>
      <w:r w:rsidRPr="00E65655">
        <w:rPr>
          <w:rFonts w:cs="Arial"/>
          <w:bCs/>
        </w:rPr>
        <w:t>(</w:t>
      </w:r>
      <w:r w:rsidR="005A2DCA" w:rsidRPr="00E65655">
        <w:rPr>
          <w:rFonts w:cs="Arial"/>
          <w:bCs/>
        </w:rPr>
        <w:t>i</w:t>
      </w:r>
      <w:r w:rsidRPr="00E65655">
        <w:rPr>
          <w:rFonts w:cs="Arial"/>
          <w:bCs/>
        </w:rPr>
        <w:t>x)</w:t>
      </w:r>
      <w:r w:rsidRPr="00E65655">
        <w:rPr>
          <w:rFonts w:cs="Arial"/>
          <w:bCs/>
        </w:rPr>
        <w:tab/>
        <w:t xml:space="preserve">when it is a public holiday in Singapore and the SGX-ST </w:t>
      </w:r>
      <w:r w:rsidR="00F322BD" w:rsidRPr="00E65655">
        <w:rPr>
          <w:rFonts w:cs="Arial"/>
          <w:bCs/>
        </w:rPr>
        <w:t>is</w:t>
      </w:r>
      <w:r w:rsidRPr="00E65655">
        <w:rPr>
          <w:rFonts w:cs="Arial"/>
          <w:bCs/>
        </w:rPr>
        <w:t xml:space="preserve"> not open for dealings; and</w:t>
      </w:r>
    </w:p>
    <w:p w14:paraId="1A54B708" w14:textId="77777777" w:rsidR="00867702" w:rsidRPr="00E65655" w:rsidRDefault="00867702" w:rsidP="00FB7C16">
      <w:pPr>
        <w:widowControl w:val="0"/>
        <w:spacing w:after="140" w:line="290" w:lineRule="auto"/>
        <w:ind w:left="720" w:hanging="720"/>
        <w:jc w:val="both"/>
        <w:rPr>
          <w:rFonts w:cs="Arial"/>
          <w:bCs/>
        </w:rPr>
      </w:pPr>
      <w:r w:rsidRPr="00E65655">
        <w:rPr>
          <w:rFonts w:cs="Arial"/>
          <w:bCs/>
        </w:rPr>
        <w:t>(x)</w:t>
      </w:r>
      <w:r w:rsidRPr="00E65655">
        <w:rPr>
          <w:rFonts w:cs="Arial"/>
          <w:bCs/>
        </w:rPr>
        <w:tab/>
      </w:r>
      <w:r w:rsidR="005118C1" w:rsidRPr="00E65655">
        <w:rPr>
          <w:rFonts w:cs="Arial"/>
          <w:bCs/>
        </w:rPr>
        <w:t xml:space="preserve">during the </w:t>
      </w:r>
      <w:r w:rsidR="00012023" w:rsidRPr="00E65655">
        <w:rPr>
          <w:rFonts w:cs="Arial"/>
          <w:bCs/>
        </w:rPr>
        <w:t xml:space="preserve">suspension of trading of </w:t>
      </w:r>
      <w:r w:rsidR="005118C1" w:rsidRPr="00E65655">
        <w:rPr>
          <w:rFonts w:cs="Arial"/>
          <w:bCs/>
        </w:rPr>
        <w:t>Cer</w:t>
      </w:r>
      <w:r w:rsidR="00785666" w:rsidRPr="00E65655">
        <w:rPr>
          <w:rFonts w:cs="Arial"/>
          <w:bCs/>
        </w:rPr>
        <w:t>t</w:t>
      </w:r>
      <w:r w:rsidR="005118C1" w:rsidRPr="00E65655">
        <w:rPr>
          <w:rFonts w:cs="Arial"/>
          <w:bCs/>
        </w:rPr>
        <w:t>ificates after an</w:t>
      </w:r>
      <w:r w:rsidRPr="00E65655">
        <w:rPr>
          <w:rFonts w:cs="Arial"/>
          <w:bCs/>
        </w:rPr>
        <w:t xml:space="preserve"> Air Bag Mechanism </w:t>
      </w:r>
      <w:r w:rsidR="005118C1" w:rsidRPr="00E65655">
        <w:rPr>
          <w:rFonts w:cs="Arial"/>
          <w:bCs/>
        </w:rPr>
        <w:t xml:space="preserve">has been </w:t>
      </w:r>
      <w:r w:rsidRPr="00E65655">
        <w:rPr>
          <w:rFonts w:cs="Arial"/>
          <w:bCs/>
        </w:rPr>
        <w:t>triggered.</w:t>
      </w:r>
    </w:p>
    <w:p w14:paraId="7EABEA2C" w14:textId="77777777" w:rsidR="00B95E78" w:rsidRPr="00E65655" w:rsidRDefault="004F6E28" w:rsidP="009C78E1">
      <w:pPr>
        <w:widowControl w:val="0"/>
        <w:spacing w:after="140" w:line="290" w:lineRule="auto"/>
        <w:jc w:val="both"/>
        <w:rPr>
          <w:snapToGrid w:val="0"/>
        </w:rPr>
      </w:pPr>
      <w:r w:rsidRPr="00E65655">
        <w:rPr>
          <w:snapToGrid w:val="0"/>
        </w:rPr>
        <w:t xml:space="preserve">The last trading day on which the DMM will provide competitive quotations for the </w:t>
      </w:r>
      <w:r w:rsidR="0014719B" w:rsidRPr="00E65655">
        <w:rPr>
          <w:snapToGrid w:val="0"/>
        </w:rPr>
        <w:t>Certificates</w:t>
      </w:r>
      <w:r w:rsidR="001F08AA" w:rsidRPr="00E65655">
        <w:rPr>
          <w:snapToGrid w:val="0"/>
        </w:rPr>
        <w:t xml:space="preserve"> would be the fifth</w:t>
      </w:r>
      <w:r w:rsidR="00A80555" w:rsidRPr="00E65655">
        <w:rPr>
          <w:snapToGrid w:val="0"/>
        </w:rPr>
        <w:t xml:space="preserve"> </w:t>
      </w:r>
      <w:r w:rsidRPr="00E65655">
        <w:rPr>
          <w:snapToGrid w:val="0"/>
        </w:rPr>
        <w:t>Business Day immediately preceding the Expiry Date.</w:t>
      </w:r>
      <w:r w:rsidR="00B95E78" w:rsidRPr="00E65655">
        <w:rPr>
          <w:snapToGrid w:val="0"/>
        </w:rPr>
        <w:br w:type="page"/>
      </w:r>
    </w:p>
    <w:p w14:paraId="131F4777" w14:textId="77777777" w:rsidR="003A0565" w:rsidRPr="00E65655" w:rsidRDefault="003A0565" w:rsidP="003A0565">
      <w:pPr>
        <w:pageBreakBefore/>
        <w:widowControl w:val="0"/>
        <w:autoSpaceDE w:val="0"/>
        <w:autoSpaceDN w:val="0"/>
        <w:adjustRightInd w:val="0"/>
        <w:spacing w:after="140" w:line="290" w:lineRule="auto"/>
        <w:jc w:val="center"/>
        <w:rPr>
          <w:rFonts w:cs="Arial"/>
          <w:b/>
          <w:bCs/>
          <w:szCs w:val="20"/>
        </w:rPr>
      </w:pPr>
      <w:bookmarkStart w:id="81" w:name="_cp_change_452"/>
      <w:bookmarkEnd w:id="81"/>
      <w:r w:rsidRPr="00E65655">
        <w:rPr>
          <w:rFonts w:cs="Arial"/>
          <w:b/>
          <w:bCs/>
          <w:szCs w:val="20"/>
        </w:rPr>
        <w:lastRenderedPageBreak/>
        <w:t>SUPPLEMENTAL INFORMATION RELATING TO THE ISSUER</w:t>
      </w:r>
    </w:p>
    <w:p w14:paraId="32054A57" w14:textId="77777777" w:rsidR="003A0565" w:rsidRPr="00E65655" w:rsidRDefault="003A0565" w:rsidP="003A0565">
      <w:pPr>
        <w:widowControl w:val="0"/>
        <w:autoSpaceDE w:val="0"/>
        <w:autoSpaceDN w:val="0"/>
        <w:adjustRightInd w:val="0"/>
        <w:spacing w:after="140" w:line="290" w:lineRule="auto"/>
        <w:rPr>
          <w:rFonts w:cs="Arial"/>
          <w:szCs w:val="20"/>
        </w:rPr>
      </w:pPr>
    </w:p>
    <w:p w14:paraId="1001C898" w14:textId="77777777" w:rsidR="003A0565" w:rsidRPr="00E65655" w:rsidRDefault="003A0565" w:rsidP="00B5184B">
      <w:pPr>
        <w:spacing w:after="140" w:line="290" w:lineRule="auto"/>
        <w:jc w:val="both"/>
        <w:rPr>
          <w:rFonts w:cs="Arial"/>
          <w:spacing w:val="-3"/>
        </w:rPr>
      </w:pPr>
      <w:bookmarkStart w:id="82" w:name="_Hlk207260134"/>
      <w:r w:rsidRPr="00E65655">
        <w:rPr>
          <w:rFonts w:cs="Arial"/>
          <w:szCs w:val="20"/>
        </w:rPr>
        <w:t>The information set out in Appendix II of this document is a reproduction of the Issuer’s condensed interim financial statements as at and for the six-month period ended 30 June 2025.</w:t>
      </w:r>
    </w:p>
    <w:p w14:paraId="2F7932A8" w14:textId="77777777" w:rsidR="003A0565" w:rsidRPr="00E65655" w:rsidRDefault="003A0565" w:rsidP="00B5184B">
      <w:pPr>
        <w:spacing w:after="140" w:line="290" w:lineRule="auto"/>
        <w:jc w:val="both"/>
        <w:rPr>
          <w:rFonts w:cs="Arial"/>
          <w:spacing w:val="-3"/>
        </w:rPr>
      </w:pPr>
      <w:r w:rsidRPr="00E65655">
        <w:rPr>
          <w:rFonts w:cs="Arial"/>
          <w:spacing w:val="-3"/>
        </w:rPr>
        <w:t>The information below sets out the updated information relating to the Issuer and supersedes in its entirety the section in Appendix 2 of the Base Listing Document entitled “</w:t>
      </w:r>
      <w:r w:rsidRPr="00E65655">
        <w:rPr>
          <w:rFonts w:cs="Arial"/>
          <w:b/>
          <w:bCs/>
          <w:spacing w:val="-3"/>
        </w:rPr>
        <w:t xml:space="preserve">4. </w:t>
      </w:r>
      <w:r w:rsidRPr="00E65655">
        <w:rPr>
          <w:rFonts w:cs="Arial"/>
          <w:b/>
          <w:bCs/>
          <w:spacing w:val="-3"/>
          <w:lang w:val="en-US"/>
        </w:rPr>
        <w:t>Management and Supervision</w:t>
      </w:r>
      <w:r w:rsidRPr="00E65655">
        <w:rPr>
          <w:rFonts w:cs="Arial"/>
          <w:spacing w:val="-3"/>
        </w:rPr>
        <w:t>”:</w:t>
      </w:r>
    </w:p>
    <w:p w14:paraId="57991CCA" w14:textId="77777777" w:rsidR="003A0565" w:rsidRPr="00E65655" w:rsidRDefault="003A0565" w:rsidP="00B5184B">
      <w:pPr>
        <w:spacing w:after="140" w:line="290" w:lineRule="auto"/>
        <w:jc w:val="both"/>
        <w:rPr>
          <w:rFonts w:cs="Arial"/>
          <w:spacing w:val="-3"/>
        </w:rPr>
      </w:pPr>
      <w:r w:rsidRPr="00E65655">
        <w:rPr>
          <w:rFonts w:cs="Arial"/>
          <w:spacing w:val="-3"/>
        </w:rPr>
        <w:t xml:space="preserve">“Pursuant to SG Issuer’s Articles of Association, SG Issuer is managed by a board of directors under the supervision of a supervisory board. The members of the board of directors as </w:t>
      </w:r>
      <w:proofErr w:type="gramStart"/>
      <w:r w:rsidRPr="00E65655">
        <w:rPr>
          <w:rFonts w:cs="Arial"/>
          <w:spacing w:val="-3"/>
        </w:rPr>
        <w:t>at</w:t>
      </w:r>
      <w:proofErr w:type="gramEnd"/>
      <w:r w:rsidRPr="00E65655">
        <w:rPr>
          <w:rFonts w:cs="Arial"/>
          <w:spacing w:val="-3"/>
        </w:rPr>
        <w:t xml:space="preserve"> 12 August 2025 are Yves Cacclin, Thierry Bodson, Olivier Pelsser, François Caralp, Laurent Simonet and Samuel Worobel (each individually a “</w:t>
      </w:r>
      <w:r w:rsidRPr="00E65655">
        <w:rPr>
          <w:rFonts w:cs="Arial"/>
          <w:b/>
          <w:bCs/>
          <w:spacing w:val="-3"/>
        </w:rPr>
        <w:t>Director</w:t>
      </w:r>
      <w:r w:rsidRPr="00E65655">
        <w:rPr>
          <w:rFonts w:cs="Arial"/>
          <w:spacing w:val="-3"/>
        </w:rPr>
        <w:t>” and collectively the “</w:t>
      </w:r>
      <w:r w:rsidRPr="00E65655">
        <w:rPr>
          <w:rFonts w:cs="Arial"/>
          <w:b/>
          <w:bCs/>
          <w:spacing w:val="-3"/>
        </w:rPr>
        <w:t>Board of Directors</w:t>
      </w:r>
      <w:r w:rsidRPr="00E65655">
        <w:rPr>
          <w:rFonts w:cs="Arial"/>
          <w:spacing w:val="-3"/>
        </w:rPr>
        <w:t xml:space="preserve">”). The members of the supervisory board as </w:t>
      </w:r>
      <w:proofErr w:type="gramStart"/>
      <w:r w:rsidRPr="00E65655">
        <w:rPr>
          <w:rFonts w:cs="Arial"/>
          <w:spacing w:val="-3"/>
        </w:rPr>
        <w:t>at</w:t>
      </w:r>
      <w:proofErr w:type="gramEnd"/>
      <w:r w:rsidRPr="00E65655">
        <w:rPr>
          <w:rFonts w:cs="Arial"/>
          <w:spacing w:val="-3"/>
        </w:rPr>
        <w:t xml:space="preserve"> 12 August 2025 are Peggy Veniant Cottin, Laurent Weil, Emanuele Maiocchi, Faouzi Borgi and Gregory Claudy. Save for Gregory Claudy who is an independent director, all members of the Board of Directors and the Supervisory Board hold full-time positions within the Societe Generale Group. </w:t>
      </w:r>
    </w:p>
    <w:p w14:paraId="6C4E4074" w14:textId="77777777" w:rsidR="00B5184B" w:rsidRPr="00E65655" w:rsidRDefault="003A0565" w:rsidP="00E1565C">
      <w:pPr>
        <w:spacing w:after="140" w:line="290" w:lineRule="auto"/>
        <w:jc w:val="both"/>
        <w:rPr>
          <w:rFonts w:cs="Arial"/>
          <w:spacing w:val="-3"/>
        </w:rPr>
      </w:pPr>
      <w:r w:rsidRPr="00E65655">
        <w:rPr>
          <w:rFonts w:cs="Arial"/>
          <w:spacing w:val="-3"/>
        </w:rPr>
        <w:t xml:space="preserve">The business address of Yves Cacclin, Thierry Bodson, Olivier Pelsser, Peggy Veniant Cottin and Emanuele Maiocchi as </w:t>
      </w:r>
      <w:proofErr w:type="gramStart"/>
      <w:r w:rsidRPr="00E65655">
        <w:rPr>
          <w:rFonts w:cs="Arial"/>
          <w:spacing w:val="-3"/>
        </w:rPr>
        <w:t>at</w:t>
      </w:r>
      <w:proofErr w:type="gramEnd"/>
      <w:r w:rsidRPr="00E65655">
        <w:rPr>
          <w:rFonts w:cs="Arial"/>
          <w:spacing w:val="-3"/>
        </w:rPr>
        <w:t xml:space="preserve"> 12 August 2025 is 11, avenue Emile Reuter, L-2420 Luxembourg. The business address of François Caralp, Laurent Simonet, Samuel Worobel, Laurent Weil and Faouzi Borgi as </w:t>
      </w:r>
      <w:proofErr w:type="gramStart"/>
      <w:r w:rsidRPr="00E65655">
        <w:rPr>
          <w:rFonts w:cs="Arial"/>
          <w:spacing w:val="-3"/>
        </w:rPr>
        <w:t>at</w:t>
      </w:r>
      <w:proofErr w:type="gramEnd"/>
      <w:r w:rsidRPr="00E65655">
        <w:rPr>
          <w:rFonts w:cs="Arial"/>
          <w:spacing w:val="-3"/>
        </w:rPr>
        <w:t xml:space="preserve"> 12 August 2025 is Tour Societe Generale, 17, Cours Valmy, F-92897 Paris-La Défense 7, France. The business address of Gregory Claudy as </w:t>
      </w:r>
      <w:proofErr w:type="gramStart"/>
      <w:r w:rsidRPr="00E65655">
        <w:rPr>
          <w:rFonts w:cs="Arial"/>
          <w:spacing w:val="-3"/>
        </w:rPr>
        <w:t>at</w:t>
      </w:r>
      <w:proofErr w:type="gramEnd"/>
      <w:r w:rsidRPr="00E65655">
        <w:rPr>
          <w:rFonts w:cs="Arial"/>
          <w:spacing w:val="-3"/>
        </w:rPr>
        <w:t xml:space="preserve"> 12 August 2025 is 225a, rue du Burgknapp, B-6717 Heinstert</w:t>
      </w:r>
      <w:bookmarkEnd w:id="82"/>
      <w:r w:rsidRPr="00E65655">
        <w:rPr>
          <w:rFonts w:cs="Arial"/>
          <w:spacing w:val="-3"/>
        </w:rPr>
        <w:t>.”</w:t>
      </w:r>
    </w:p>
    <w:p w14:paraId="0F1A6282" w14:textId="638123FB" w:rsidR="00996138" w:rsidRPr="00E65655" w:rsidRDefault="00996138" w:rsidP="00B5184B">
      <w:pPr>
        <w:jc w:val="both"/>
        <w:rPr>
          <w:rFonts w:cs="Arial"/>
          <w:b/>
          <w:bCs/>
          <w:szCs w:val="20"/>
        </w:rPr>
      </w:pPr>
      <w:r w:rsidRPr="00E65655">
        <w:rPr>
          <w:rFonts w:cs="Arial"/>
          <w:b/>
          <w:bCs/>
          <w:szCs w:val="20"/>
        </w:rPr>
        <w:br w:type="page"/>
      </w:r>
    </w:p>
    <w:p w14:paraId="7DD9D9C3" w14:textId="521F1FF9" w:rsidR="00996138" w:rsidRPr="00E65655" w:rsidRDefault="00996138" w:rsidP="00996138">
      <w:pPr>
        <w:pageBreakBefore/>
        <w:widowControl w:val="0"/>
        <w:autoSpaceDE w:val="0"/>
        <w:autoSpaceDN w:val="0"/>
        <w:adjustRightInd w:val="0"/>
        <w:spacing w:after="140" w:line="290" w:lineRule="auto"/>
        <w:jc w:val="center"/>
        <w:rPr>
          <w:rFonts w:cs="Arial"/>
          <w:b/>
          <w:bCs/>
          <w:szCs w:val="20"/>
        </w:rPr>
      </w:pPr>
      <w:r w:rsidRPr="00E65655">
        <w:rPr>
          <w:rFonts w:cs="Arial"/>
          <w:b/>
          <w:bCs/>
          <w:szCs w:val="20"/>
        </w:rPr>
        <w:lastRenderedPageBreak/>
        <w:t>SUPPLEMENTAL INFORMATION RELATING TO THE GUARANTOR</w:t>
      </w:r>
    </w:p>
    <w:p w14:paraId="2983FE02" w14:textId="77777777" w:rsidR="00996138" w:rsidRPr="00E65655" w:rsidRDefault="00996138" w:rsidP="00996138">
      <w:pPr>
        <w:widowControl w:val="0"/>
        <w:autoSpaceDE w:val="0"/>
        <w:autoSpaceDN w:val="0"/>
        <w:adjustRightInd w:val="0"/>
        <w:spacing w:after="140" w:line="290" w:lineRule="auto"/>
        <w:rPr>
          <w:rFonts w:cs="Arial"/>
          <w:szCs w:val="20"/>
        </w:rPr>
      </w:pPr>
    </w:p>
    <w:p w14:paraId="33CA5855" w14:textId="77777777" w:rsidR="00406215" w:rsidRDefault="00406215" w:rsidP="00406215">
      <w:pPr>
        <w:spacing w:after="140" w:line="276" w:lineRule="auto"/>
        <w:jc w:val="both"/>
        <w:rPr>
          <w:rFonts w:eastAsia="華康中明體(P)" w:cs="Arial"/>
          <w:kern w:val="20"/>
          <w:szCs w:val="20"/>
          <w:lang w:val="en-US" w:eastAsia="zh-CN"/>
        </w:rPr>
      </w:pPr>
      <w:bookmarkStart w:id="83" w:name="_Hlk204593649"/>
      <w:r w:rsidRPr="00A31634">
        <w:rPr>
          <w:rFonts w:cs="Arial"/>
          <w:szCs w:val="20"/>
        </w:rPr>
        <w:t>The information set out in Appendix II</w:t>
      </w:r>
      <w:r>
        <w:rPr>
          <w:rFonts w:cs="Arial"/>
          <w:szCs w:val="20"/>
        </w:rPr>
        <w:t>I</w:t>
      </w:r>
      <w:r w:rsidRPr="00A31634">
        <w:rPr>
          <w:rFonts w:cs="Arial"/>
          <w:szCs w:val="20"/>
        </w:rPr>
        <w:t xml:space="preserve"> of this document is </w:t>
      </w:r>
      <w:r w:rsidRPr="00C017EB">
        <w:rPr>
          <w:rFonts w:cs="Arial"/>
          <w:szCs w:val="20"/>
        </w:rPr>
        <w:t xml:space="preserve">a reproduction of the </w:t>
      </w:r>
      <w:r w:rsidRPr="00B476F2">
        <w:rPr>
          <w:rFonts w:eastAsia="華康中明體(P)" w:cs="Arial"/>
          <w:kern w:val="20"/>
          <w:szCs w:val="20"/>
          <w:lang w:val="en-US" w:eastAsia="zh-CN"/>
        </w:rPr>
        <w:t xml:space="preserve">Guarantor’s </w:t>
      </w:r>
      <w:r>
        <w:rPr>
          <w:rFonts w:eastAsiaTheme="minorEastAsia" w:cs="Arial" w:hint="eastAsia"/>
          <w:kern w:val="20"/>
          <w:szCs w:val="20"/>
          <w:lang w:val="en-US" w:eastAsia="zh-CN"/>
        </w:rPr>
        <w:t xml:space="preserve">audited </w:t>
      </w:r>
      <w:r w:rsidRPr="00B476F2">
        <w:rPr>
          <w:rFonts w:eastAsia="華康中明體(P)" w:cs="Arial"/>
          <w:kern w:val="20"/>
          <w:szCs w:val="20"/>
          <w:lang w:val="en-US" w:eastAsia="zh-CN"/>
        </w:rPr>
        <w:t xml:space="preserve">consolidated financial </w:t>
      </w:r>
      <w:r>
        <w:rPr>
          <w:rFonts w:eastAsiaTheme="minorEastAsia" w:cs="Arial" w:hint="eastAsia"/>
          <w:kern w:val="20"/>
          <w:szCs w:val="20"/>
          <w:lang w:val="en-US" w:eastAsia="zh-CN"/>
        </w:rPr>
        <w:t>statements</w:t>
      </w:r>
      <w:r w:rsidRPr="00B476F2">
        <w:rPr>
          <w:rFonts w:eastAsia="華康中明體(P)" w:cs="Arial"/>
          <w:kern w:val="20"/>
          <w:szCs w:val="20"/>
          <w:lang w:val="en-US" w:eastAsia="zh-CN"/>
        </w:rPr>
        <w:t xml:space="preserve"> for the year ended 31 December 202</w:t>
      </w:r>
      <w:r>
        <w:rPr>
          <w:rFonts w:eastAsia="華康中明體(P)" w:cs="Arial"/>
          <w:kern w:val="20"/>
          <w:szCs w:val="20"/>
          <w:lang w:val="en-US" w:eastAsia="zh-CN"/>
        </w:rPr>
        <w:t>5.</w:t>
      </w:r>
    </w:p>
    <w:p w14:paraId="74AB8533" w14:textId="77777777" w:rsidR="00406215" w:rsidRDefault="00406215" w:rsidP="00406215">
      <w:pPr>
        <w:spacing w:line="276" w:lineRule="auto"/>
        <w:jc w:val="both"/>
        <w:rPr>
          <w:rFonts w:cs="Arial"/>
          <w:szCs w:val="20"/>
        </w:rPr>
      </w:pPr>
      <w:r w:rsidRPr="000546D0">
        <w:rPr>
          <w:rFonts w:cs="Arial"/>
          <w:spacing w:val="-3"/>
        </w:rPr>
        <w:t xml:space="preserve">On </w:t>
      </w:r>
      <w:r w:rsidRPr="007F3241">
        <w:rPr>
          <w:rFonts w:cs="Arial" w:hint="eastAsia"/>
          <w:szCs w:val="20"/>
        </w:rPr>
        <w:t>23 February 2026</w:t>
      </w:r>
      <w:r w:rsidRPr="007F3241">
        <w:rPr>
          <w:rFonts w:cs="Arial"/>
          <w:szCs w:val="20"/>
        </w:rPr>
        <w:t>, the share capital of Societe Generale changed to EUR 939,654,993.75, divided into 751,723,995</w:t>
      </w:r>
      <w:r w:rsidRPr="007F3241">
        <w:rPr>
          <w:rFonts w:cs="Arial" w:hint="eastAsia"/>
          <w:szCs w:val="20"/>
        </w:rPr>
        <w:t xml:space="preserve"> </w:t>
      </w:r>
      <w:r w:rsidRPr="007F3241">
        <w:rPr>
          <w:rFonts w:cs="Arial"/>
          <w:szCs w:val="20"/>
        </w:rPr>
        <w:t>ordinary shares with a nominal value of EUR 1.25 each</w:t>
      </w:r>
      <w:bookmarkEnd w:id="83"/>
      <w:r w:rsidRPr="000546D0">
        <w:rPr>
          <w:rFonts w:cs="Arial"/>
          <w:szCs w:val="20"/>
        </w:rPr>
        <w:t>.</w:t>
      </w:r>
    </w:p>
    <w:p w14:paraId="72A2DD42" w14:textId="5157E3C8" w:rsidR="006C5463" w:rsidRPr="00E65655" w:rsidRDefault="006C5463" w:rsidP="00B5184B">
      <w:pPr>
        <w:jc w:val="both"/>
        <w:rPr>
          <w:rFonts w:cs="Arial"/>
          <w:b/>
        </w:rPr>
      </w:pPr>
      <w:r w:rsidRPr="00E65655">
        <w:rPr>
          <w:rFonts w:cs="Arial"/>
          <w:b/>
        </w:rPr>
        <w:br w:type="page"/>
      </w:r>
    </w:p>
    <w:p w14:paraId="4B023DE1" w14:textId="0AE447CB" w:rsidR="004A3AC7" w:rsidRPr="00E65655" w:rsidRDefault="004A3AC7" w:rsidP="004A3AC7">
      <w:pPr>
        <w:pStyle w:val="PlainText"/>
        <w:spacing w:after="140" w:line="290" w:lineRule="auto"/>
        <w:jc w:val="center"/>
        <w:rPr>
          <w:rFonts w:ascii="Arial" w:hAnsi="Arial" w:cs="Arial"/>
          <w:b/>
        </w:rPr>
      </w:pPr>
      <w:r w:rsidRPr="00E65655">
        <w:rPr>
          <w:rFonts w:ascii="Arial" w:hAnsi="Arial" w:cs="Arial"/>
          <w:b/>
        </w:rPr>
        <w:lastRenderedPageBreak/>
        <w:t>SUPPLEMENTAL GENERAL INFORMATION</w:t>
      </w:r>
    </w:p>
    <w:p w14:paraId="300CAB4B" w14:textId="77777777" w:rsidR="004A3AC7" w:rsidRPr="00E65655" w:rsidRDefault="004A3AC7" w:rsidP="004A3AC7">
      <w:pPr>
        <w:pStyle w:val="PlainText"/>
        <w:spacing w:after="140" w:line="290" w:lineRule="auto"/>
        <w:jc w:val="center"/>
        <w:rPr>
          <w:rFonts w:ascii="Arial" w:hAnsi="Arial"/>
        </w:rPr>
      </w:pPr>
    </w:p>
    <w:p w14:paraId="71142BD1" w14:textId="333DC0E7" w:rsidR="004A3AC7" w:rsidRPr="00E65655" w:rsidRDefault="004A3AC7" w:rsidP="004A3AC7">
      <w:pPr>
        <w:pStyle w:val="PlainText"/>
        <w:spacing w:after="140" w:line="290" w:lineRule="auto"/>
        <w:ind w:firstLine="720"/>
        <w:jc w:val="both"/>
        <w:rPr>
          <w:rFonts w:ascii="Arial" w:hAnsi="Arial"/>
        </w:rPr>
      </w:pPr>
      <w:r w:rsidRPr="00E65655">
        <w:rPr>
          <w:rFonts w:ascii="Arial" w:hAnsi="Arial"/>
        </w:rPr>
        <w:t xml:space="preserve">The information set out herein is supplemental </w:t>
      </w:r>
      <w:proofErr w:type="gramStart"/>
      <w:r w:rsidRPr="00E65655">
        <w:rPr>
          <w:rFonts w:ascii="Arial" w:hAnsi="Arial"/>
        </w:rPr>
        <w:t>to, and</w:t>
      </w:r>
      <w:proofErr w:type="gramEnd"/>
      <w:r w:rsidRPr="00E65655">
        <w:rPr>
          <w:rFonts w:ascii="Arial" w:hAnsi="Arial"/>
        </w:rPr>
        <w:t xml:space="preserve"> should be read in conjunction with the information set out </w:t>
      </w:r>
      <w:r w:rsidR="00680E8B" w:rsidRPr="00E65655">
        <w:rPr>
          <w:rFonts w:ascii="Arial" w:hAnsi="Arial"/>
        </w:rPr>
        <w:t>in</w:t>
      </w:r>
      <w:r w:rsidRPr="00E65655">
        <w:rPr>
          <w:rFonts w:ascii="Arial" w:hAnsi="Arial"/>
        </w:rPr>
        <w:t xml:space="preserve"> the Base Listing Document.</w:t>
      </w:r>
    </w:p>
    <w:p w14:paraId="2DE1ED62" w14:textId="1557D60B" w:rsidR="004A3AC7" w:rsidRPr="00E65655" w:rsidRDefault="004A3AC7" w:rsidP="004A3AC7">
      <w:pPr>
        <w:spacing w:after="140" w:line="290" w:lineRule="auto"/>
        <w:ind w:left="720" w:hanging="720"/>
        <w:jc w:val="both"/>
      </w:pPr>
      <w:r w:rsidRPr="00E65655">
        <w:t>1.</w:t>
      </w:r>
      <w:r w:rsidRPr="00E65655">
        <w:tab/>
        <w:t xml:space="preserve">Save as disclosed in this document and the Base Listing Document, neither the Issuer nor the Guarantor is involved in any legal or arbitration proceedings (including any proceedings which are pending or threatened of which the Issuer or the Guarantor is aware) which may have or have had in the previous 12 months a significant effect on the financial position of the Issuer or the Guarantor in the context of the issuance of the Certificates. </w:t>
      </w:r>
    </w:p>
    <w:p w14:paraId="4F5C9733" w14:textId="7475A57B" w:rsidR="004A3AC7" w:rsidRPr="00E65655" w:rsidRDefault="004A3AC7" w:rsidP="004A3AC7">
      <w:pPr>
        <w:spacing w:after="140" w:line="290" w:lineRule="auto"/>
        <w:ind w:left="720" w:hanging="720"/>
        <w:jc w:val="both"/>
      </w:pPr>
      <w:r w:rsidRPr="00E65655">
        <w:t>2.</w:t>
      </w:r>
      <w:r w:rsidRPr="00E65655">
        <w:tab/>
        <w:t>Settlement of trades done on a normal “ready basis” on the SGX-ST g</w:t>
      </w:r>
      <w:r w:rsidR="009622DB" w:rsidRPr="00E65655">
        <w:t>enerally take place on the second</w:t>
      </w:r>
      <w:r w:rsidRPr="00E65655">
        <w:t xml:space="preserve"> Business Day following the transaction. Dealing in the Certificates will take place in Board Lots in Singapore dollars. For further details on the transfer of Certificates and their exercise, please refer to the section headed “Summary of the Issue” above.</w:t>
      </w:r>
    </w:p>
    <w:p w14:paraId="2E216E1F" w14:textId="77777777" w:rsidR="004A3AC7" w:rsidRPr="00E65655" w:rsidRDefault="004A3AC7" w:rsidP="004A3AC7">
      <w:pPr>
        <w:spacing w:after="140" w:line="290" w:lineRule="auto"/>
        <w:ind w:left="720" w:hanging="720"/>
        <w:jc w:val="both"/>
      </w:pPr>
      <w:r w:rsidRPr="00E65655">
        <w:t>3.</w:t>
      </w:r>
      <w:r w:rsidRPr="00E65655">
        <w:tab/>
        <w:t>It is not the current intention of the Issuer to apply for a listing of the Certificates on any stock exchange other than the SGX-ST.</w:t>
      </w:r>
    </w:p>
    <w:p w14:paraId="538A78FF" w14:textId="31EEC81D" w:rsidR="004A3AC7" w:rsidRPr="00E65655" w:rsidRDefault="004A3AC7" w:rsidP="004A3AC7">
      <w:pPr>
        <w:spacing w:after="140" w:line="290" w:lineRule="auto"/>
        <w:ind w:left="720" w:hanging="720"/>
        <w:jc w:val="both"/>
        <w:rPr>
          <w:szCs w:val="20"/>
        </w:rPr>
      </w:pPr>
      <w:r w:rsidRPr="00E65655">
        <w:t>4.</w:t>
      </w:r>
      <w:r w:rsidRPr="00E65655">
        <w:tab/>
      </w:r>
      <w:r w:rsidR="00604BCD" w:rsidRPr="00853C03">
        <w:rPr>
          <w:szCs w:val="20"/>
        </w:rPr>
        <w:t>Save as disclosed in the Base Listing Document and herein, there has been no material adverse change in the financial position or prospects of the Issuer since 30 June 2025</w:t>
      </w:r>
      <w:r w:rsidR="00604BCD" w:rsidRPr="00853C03">
        <w:rPr>
          <w:rFonts w:hint="eastAsia"/>
          <w:szCs w:val="20"/>
          <w:lang w:eastAsia="zh-CN"/>
        </w:rPr>
        <w:t xml:space="preserve"> </w:t>
      </w:r>
      <w:r w:rsidR="00604BCD" w:rsidRPr="00853C03">
        <w:rPr>
          <w:szCs w:val="20"/>
        </w:rPr>
        <w:t>or the Guarantor</w:t>
      </w:r>
      <w:r w:rsidR="00604BCD" w:rsidRPr="00853C03">
        <w:rPr>
          <w:rFonts w:hint="eastAsia"/>
          <w:szCs w:val="20"/>
          <w:lang w:eastAsia="zh-CN"/>
        </w:rPr>
        <w:t xml:space="preserve"> since 31 December 2025</w:t>
      </w:r>
      <w:r w:rsidR="00604BCD" w:rsidRPr="00853C03">
        <w:rPr>
          <w:szCs w:val="20"/>
        </w:rPr>
        <w:t>, in the context of the issuance of Certificates hereunder</w:t>
      </w:r>
      <w:r w:rsidRPr="00E65655">
        <w:rPr>
          <w:szCs w:val="20"/>
        </w:rPr>
        <w:t>.</w:t>
      </w:r>
    </w:p>
    <w:p w14:paraId="0250B165" w14:textId="77777777" w:rsidR="004A3AC7" w:rsidRPr="00E65655" w:rsidRDefault="004A3AC7" w:rsidP="004A3AC7">
      <w:pPr>
        <w:spacing w:after="140" w:line="290" w:lineRule="auto"/>
        <w:ind w:left="720" w:hanging="720"/>
        <w:jc w:val="both"/>
      </w:pPr>
      <w:r w:rsidRPr="00E65655">
        <w:t>5.</w:t>
      </w:r>
      <w:r w:rsidRPr="00E65655">
        <w:tab/>
        <w:t>The following contracts, relating to the issue of the Certificates, have been or will be entered into by the Issuer and/or the Guarantor and may be material to the issue of the Certificates:</w:t>
      </w:r>
    </w:p>
    <w:p w14:paraId="6CB2329A" w14:textId="77777777" w:rsidR="004A3AC7" w:rsidRPr="00E65655" w:rsidRDefault="004A3AC7" w:rsidP="004A3AC7">
      <w:pPr>
        <w:numPr>
          <w:ilvl w:val="0"/>
          <w:numId w:val="1"/>
        </w:numPr>
        <w:spacing w:after="140" w:line="290" w:lineRule="auto"/>
        <w:jc w:val="both"/>
      </w:pPr>
      <w:r w:rsidRPr="00E65655">
        <w:t xml:space="preserve">the </w:t>
      </w:r>
      <w:proofErr w:type="gramStart"/>
      <w:r w:rsidRPr="00E65655">
        <w:t>Guarantee;</w:t>
      </w:r>
      <w:proofErr w:type="gramEnd"/>
      <w:r w:rsidRPr="00E65655">
        <w:t xml:space="preserve"> </w:t>
      </w:r>
    </w:p>
    <w:p w14:paraId="0B4C1FA8" w14:textId="77777777" w:rsidR="004A3AC7" w:rsidRPr="00E65655" w:rsidRDefault="004A3AC7" w:rsidP="004A3AC7">
      <w:pPr>
        <w:numPr>
          <w:ilvl w:val="0"/>
          <w:numId w:val="1"/>
        </w:numPr>
        <w:spacing w:after="140" w:line="290" w:lineRule="auto"/>
        <w:jc w:val="both"/>
      </w:pPr>
      <w:r w:rsidRPr="00E65655">
        <w:t>the Master Instrument; and</w:t>
      </w:r>
    </w:p>
    <w:p w14:paraId="0267350B" w14:textId="77777777" w:rsidR="004A3AC7" w:rsidRPr="00E65655" w:rsidRDefault="004A3AC7" w:rsidP="004A3AC7">
      <w:pPr>
        <w:spacing w:after="140" w:line="290" w:lineRule="auto"/>
        <w:ind w:left="720"/>
        <w:jc w:val="both"/>
      </w:pPr>
      <w:r w:rsidRPr="00E65655">
        <w:t>(c)</w:t>
      </w:r>
      <w:r w:rsidRPr="00E65655">
        <w:tab/>
        <w:t xml:space="preserve">the Master Warrant Agent Agreement. </w:t>
      </w:r>
    </w:p>
    <w:p w14:paraId="4C6AA5A3" w14:textId="77777777" w:rsidR="004A3AC7" w:rsidRPr="00E65655" w:rsidRDefault="004A3AC7" w:rsidP="004A3AC7">
      <w:pPr>
        <w:spacing w:after="140" w:line="290" w:lineRule="auto"/>
        <w:ind w:left="720"/>
        <w:jc w:val="both"/>
      </w:pPr>
      <w:r w:rsidRPr="00E65655">
        <w:t>None of the directors of the Issuer and the Guarantor has any direct or indirect interest in any of the above contracts.</w:t>
      </w:r>
    </w:p>
    <w:p w14:paraId="3261325D" w14:textId="55356AB5" w:rsidR="004A3AC7" w:rsidRPr="00E65655" w:rsidRDefault="004A3AC7" w:rsidP="004A3AC7">
      <w:pPr>
        <w:spacing w:after="140" w:line="290" w:lineRule="auto"/>
        <w:ind w:left="720" w:hanging="720"/>
        <w:jc w:val="both"/>
      </w:pPr>
      <w:r w:rsidRPr="00E65655">
        <w:t>6.</w:t>
      </w:r>
      <w:r w:rsidRPr="00E65655">
        <w:tab/>
        <w:t xml:space="preserve">The </w:t>
      </w:r>
      <w:r w:rsidR="004206B3" w:rsidRPr="00E65655">
        <w:t xml:space="preserve">reports of the </w:t>
      </w:r>
      <w:r w:rsidRPr="00E65655">
        <w:t xml:space="preserve">Auditors of the Issuer and the Guarantor </w:t>
      </w:r>
      <w:r w:rsidR="004206B3" w:rsidRPr="00E65655">
        <w:t>were</w:t>
      </w:r>
      <w:r w:rsidRPr="00E65655">
        <w:t xml:space="preserve"> not prepared exclusively for incorporation into this document.</w:t>
      </w:r>
    </w:p>
    <w:p w14:paraId="55D5E397" w14:textId="5653FC1B" w:rsidR="004A3AC7" w:rsidRPr="00E65655" w:rsidRDefault="004A3AC7" w:rsidP="006D7C01">
      <w:pPr>
        <w:spacing w:after="140" w:line="290" w:lineRule="auto"/>
        <w:ind w:left="720"/>
        <w:jc w:val="both"/>
      </w:pPr>
      <w:r w:rsidRPr="00E65655">
        <w:t>The Auditors of the Issuer and the Guarantor have no shareholding in the Issuer or the Guarantor or any of its subsidiaries, nor do they have the right (whether legally enforceable or not) to subscribe for or to nominate persons to subscribe for securities of the Issuer or the Guarantor or any of its subsidiaries.</w:t>
      </w:r>
    </w:p>
    <w:p w14:paraId="0988EE7A" w14:textId="77777777" w:rsidR="004A3AC7" w:rsidRPr="00E65655" w:rsidRDefault="004A3AC7" w:rsidP="004A3AC7">
      <w:pPr>
        <w:spacing w:after="140" w:line="290" w:lineRule="auto"/>
        <w:ind w:left="720" w:hanging="720"/>
        <w:jc w:val="both"/>
      </w:pPr>
      <w:r w:rsidRPr="00E65655">
        <w:t>7.</w:t>
      </w:r>
      <w:r w:rsidRPr="00E65655">
        <w:tab/>
        <w:t xml:space="preserve">The Certificates are not fully covered by the Underlying Stock held by Issuer or a trustee for and on behalf of the Issuer. The Issuer has appropriate risk management capabilities to manage the issue of the Certificates. </w:t>
      </w:r>
    </w:p>
    <w:p w14:paraId="653170E5" w14:textId="11F0F54B" w:rsidR="004A3AC7" w:rsidRPr="00E65655" w:rsidRDefault="004A3AC7" w:rsidP="004A3AC7">
      <w:pPr>
        <w:spacing w:after="140" w:line="290" w:lineRule="auto"/>
        <w:ind w:left="720" w:hanging="720"/>
        <w:jc w:val="both"/>
      </w:pPr>
      <w:r w:rsidRPr="00E65655">
        <w:t>8.</w:t>
      </w:r>
      <w:r w:rsidRPr="00E65655">
        <w:tab/>
      </w:r>
      <w:r w:rsidR="007F6676" w:rsidRPr="00E65655">
        <w:rPr>
          <w:rFonts w:cs="Arial"/>
        </w:rPr>
        <w:t>Societe Generale</w:t>
      </w:r>
      <w:r w:rsidRPr="00E65655">
        <w:rPr>
          <w:rFonts w:cs="Arial"/>
          <w:color w:val="000000"/>
        </w:rPr>
        <w:t xml:space="preserve">, Singapore Branch, currently of 8 Marina Boulevard, #12-01 Marina Bay Financial Centre Tower 1, Singapore 018981, has been authorised to accept, on behalf of the Issuer and the Guarantor, service of process and any other notices required to be served on the Issuer or the Guarantor. Any notices required to be served on the </w:t>
      </w:r>
      <w:proofErr w:type="gramStart"/>
      <w:r w:rsidRPr="00E65655">
        <w:rPr>
          <w:rFonts w:cs="Arial"/>
          <w:color w:val="000000"/>
        </w:rPr>
        <w:t>Issuer</w:t>
      </w:r>
      <w:proofErr w:type="gramEnd"/>
      <w:r w:rsidRPr="00E65655">
        <w:rPr>
          <w:rFonts w:cs="Arial"/>
          <w:color w:val="000000"/>
        </w:rPr>
        <w:t xml:space="preserve"> or the Guarantor should be sent to </w:t>
      </w:r>
      <w:r w:rsidR="007F6676" w:rsidRPr="00E65655">
        <w:rPr>
          <w:rFonts w:cs="Arial"/>
        </w:rPr>
        <w:t>Societe Generale</w:t>
      </w:r>
      <w:r w:rsidRPr="00E65655">
        <w:t xml:space="preserve"> </w:t>
      </w:r>
      <w:r w:rsidRPr="00E65655">
        <w:rPr>
          <w:rFonts w:cs="Arial"/>
          <w:color w:val="000000"/>
        </w:rPr>
        <w:t xml:space="preserve">at the above address for the attention of </w:t>
      </w:r>
      <w:r w:rsidR="007F6676" w:rsidRPr="00E65655">
        <w:rPr>
          <w:w w:val="0"/>
          <w:szCs w:val="20"/>
        </w:rPr>
        <w:t>Societe Generale</w:t>
      </w:r>
      <w:r w:rsidRPr="00E65655">
        <w:rPr>
          <w:w w:val="0"/>
          <w:szCs w:val="20"/>
        </w:rPr>
        <w:t xml:space="preserve"> Legal Department</w:t>
      </w:r>
      <w:r w:rsidRPr="00E65655">
        <w:rPr>
          <w:rFonts w:cs="Arial"/>
          <w:color w:val="000000"/>
        </w:rPr>
        <w:t>.</w:t>
      </w:r>
    </w:p>
    <w:p w14:paraId="34C4F256" w14:textId="473E4FDC" w:rsidR="004A3AC7" w:rsidRPr="00E65655" w:rsidRDefault="004A3AC7" w:rsidP="004A3AC7">
      <w:pPr>
        <w:pStyle w:val="PlainText"/>
        <w:spacing w:after="140" w:line="290" w:lineRule="auto"/>
        <w:ind w:left="720" w:hanging="720"/>
        <w:jc w:val="both"/>
        <w:rPr>
          <w:rFonts w:ascii="Arial" w:hAnsi="Arial"/>
        </w:rPr>
      </w:pPr>
      <w:r w:rsidRPr="00E65655">
        <w:rPr>
          <w:rFonts w:ascii="Arial" w:hAnsi="Arial"/>
        </w:rPr>
        <w:t>9.</w:t>
      </w:r>
      <w:r w:rsidRPr="00E65655">
        <w:rPr>
          <w:rFonts w:ascii="Arial" w:hAnsi="Arial"/>
        </w:rPr>
        <w:tab/>
        <w:t>Copies of the following documents may be inspected during usual business hours on any weekday (Saturdays, Sundays and holidays excepted) at the offices of</w:t>
      </w:r>
      <w:r w:rsidRPr="00E65655">
        <w:rPr>
          <w:rFonts w:ascii="Arial" w:hAnsi="Arial" w:cs="Arial"/>
        </w:rPr>
        <w:t xml:space="preserve"> </w:t>
      </w:r>
      <w:r w:rsidR="007F6676" w:rsidRPr="00E65655">
        <w:rPr>
          <w:rFonts w:ascii="Arial" w:hAnsi="Arial" w:cs="Arial"/>
        </w:rPr>
        <w:t>Societe Generale</w:t>
      </w:r>
      <w:r w:rsidRPr="00E65655">
        <w:rPr>
          <w:rFonts w:ascii="Arial" w:hAnsi="Arial" w:cs="Arial"/>
        </w:rPr>
        <w:t xml:space="preserve">, </w:t>
      </w:r>
      <w:r w:rsidRPr="00E65655">
        <w:rPr>
          <w:rFonts w:ascii="Arial" w:hAnsi="Arial" w:cs="Arial"/>
        </w:rPr>
        <w:lastRenderedPageBreak/>
        <w:t>Singapore Branch at 8 Marina Boulevard, #12-01 Marina Bay Financial Centre Tower 1, Singapore 018981</w:t>
      </w:r>
      <w:r w:rsidRPr="00E65655">
        <w:rPr>
          <w:rFonts w:ascii="Arial" w:hAnsi="Arial" w:cs="Arial"/>
          <w:color w:val="000000"/>
        </w:rPr>
        <w:t>,</w:t>
      </w:r>
      <w:r w:rsidRPr="00E65655">
        <w:rPr>
          <w:rFonts w:ascii="Arial" w:hAnsi="Arial"/>
        </w:rPr>
        <w:t xml:space="preserve"> during the period of 14 days from the date of this document:</w:t>
      </w:r>
    </w:p>
    <w:p w14:paraId="4585EF22" w14:textId="77777777" w:rsidR="001E0A33" w:rsidRPr="00E65655" w:rsidRDefault="001E0A33" w:rsidP="001E0A33">
      <w:pPr>
        <w:spacing w:after="140" w:line="290" w:lineRule="auto"/>
        <w:ind w:left="1440" w:hanging="720"/>
        <w:jc w:val="both"/>
      </w:pPr>
      <w:r w:rsidRPr="00E65655">
        <w:t>(a)</w:t>
      </w:r>
      <w:r w:rsidRPr="00E65655">
        <w:tab/>
        <w:t xml:space="preserve">the Memorandum and Articles of Association of the Issuer and the Constitutional Documents of the </w:t>
      </w:r>
      <w:proofErr w:type="gramStart"/>
      <w:r w:rsidRPr="00E65655">
        <w:t>Guarantor;</w:t>
      </w:r>
      <w:proofErr w:type="gramEnd"/>
    </w:p>
    <w:p w14:paraId="3E33BEAC" w14:textId="77777777" w:rsidR="001E0A33" w:rsidRPr="00E65655" w:rsidRDefault="001E0A33" w:rsidP="001E0A33">
      <w:pPr>
        <w:spacing w:after="140" w:line="290" w:lineRule="auto"/>
        <w:ind w:left="720"/>
        <w:jc w:val="both"/>
      </w:pPr>
      <w:r w:rsidRPr="00E65655">
        <w:t>(b)</w:t>
      </w:r>
      <w:r w:rsidRPr="00E65655">
        <w:tab/>
        <w:t xml:space="preserve">the latest financial reports (including the notes thereto) of the </w:t>
      </w:r>
      <w:proofErr w:type="gramStart"/>
      <w:r w:rsidRPr="00E65655">
        <w:t>Issuer;</w:t>
      </w:r>
      <w:proofErr w:type="gramEnd"/>
    </w:p>
    <w:p w14:paraId="6226A5B9" w14:textId="77777777" w:rsidR="001E0A33" w:rsidRPr="00E65655" w:rsidRDefault="001E0A33" w:rsidP="001E0A33">
      <w:pPr>
        <w:numPr>
          <w:ilvl w:val="0"/>
          <w:numId w:val="1"/>
        </w:numPr>
        <w:spacing w:after="140" w:line="290" w:lineRule="auto"/>
        <w:jc w:val="both"/>
      </w:pPr>
      <w:r w:rsidRPr="00E65655">
        <w:t xml:space="preserve">the latest financial reports (including the notes thereto) of the </w:t>
      </w:r>
      <w:proofErr w:type="gramStart"/>
      <w:r w:rsidRPr="00E65655">
        <w:t>Guarantor;</w:t>
      </w:r>
      <w:proofErr w:type="gramEnd"/>
    </w:p>
    <w:p w14:paraId="33B21BEB" w14:textId="0AC41D0A" w:rsidR="001E0A33" w:rsidRPr="00E65655" w:rsidRDefault="001E0A33" w:rsidP="00414361">
      <w:pPr>
        <w:pStyle w:val="ListParagraph"/>
        <w:numPr>
          <w:ilvl w:val="0"/>
          <w:numId w:val="1"/>
        </w:numPr>
        <w:spacing w:after="140" w:line="290" w:lineRule="auto"/>
        <w:jc w:val="both"/>
      </w:pPr>
      <w:r w:rsidRPr="00E65655">
        <w:t>the Base Listing Document</w:t>
      </w:r>
      <w:r w:rsidR="00414361" w:rsidRPr="00E65655">
        <w:t xml:space="preserve"> (which can also be viewed at: </w:t>
      </w:r>
      <w:hyperlink r:id="rId22" w:history="1">
        <w:r w:rsidR="00414361" w:rsidRPr="00E65655">
          <w:rPr>
            <w:rStyle w:val="Hyperlink"/>
          </w:rPr>
          <w:t>https://www.sgx.com/securities/prospectus-circulars-offer-documents</w:t>
        </w:r>
      </w:hyperlink>
      <w:r w:rsidR="00414361" w:rsidRPr="00E65655">
        <w:t>)</w:t>
      </w:r>
      <w:r w:rsidRPr="00E65655">
        <w:t>;</w:t>
      </w:r>
    </w:p>
    <w:p w14:paraId="52E5D1AC" w14:textId="1505948B" w:rsidR="001E0A33" w:rsidRPr="00E65655" w:rsidRDefault="001E0A33" w:rsidP="001E0A33">
      <w:pPr>
        <w:spacing w:after="140" w:line="290" w:lineRule="auto"/>
        <w:ind w:left="720"/>
        <w:jc w:val="both"/>
      </w:pPr>
      <w:r w:rsidRPr="00E65655">
        <w:t>(</w:t>
      </w:r>
      <w:r w:rsidR="00184764" w:rsidRPr="00E65655">
        <w:t>e</w:t>
      </w:r>
      <w:r w:rsidRPr="00E65655">
        <w:t>)</w:t>
      </w:r>
      <w:r w:rsidRPr="00E65655">
        <w:tab/>
        <w:t>this document; and</w:t>
      </w:r>
    </w:p>
    <w:p w14:paraId="70948811" w14:textId="001192F7" w:rsidR="004A3AC7" w:rsidRPr="00E65655" w:rsidRDefault="001E0A33" w:rsidP="00DA5B27">
      <w:pPr>
        <w:spacing w:after="140" w:line="290" w:lineRule="auto"/>
        <w:ind w:left="720"/>
        <w:jc w:val="both"/>
        <w:rPr>
          <w:rFonts w:cs="Arial"/>
          <w:szCs w:val="20"/>
        </w:rPr>
      </w:pPr>
      <w:r w:rsidRPr="00E65655">
        <w:t>(</w:t>
      </w:r>
      <w:r w:rsidR="00184764" w:rsidRPr="00E65655">
        <w:t>f</w:t>
      </w:r>
      <w:r w:rsidRPr="00E65655">
        <w:t>)</w:t>
      </w:r>
      <w:r w:rsidRPr="00E65655">
        <w:tab/>
        <w:t>the Guarantee.</w:t>
      </w:r>
    </w:p>
    <w:p w14:paraId="0CC55119" w14:textId="77777777" w:rsidR="00BA2020" w:rsidRPr="00E65655" w:rsidRDefault="00BA2020" w:rsidP="00BA2020">
      <w:pPr>
        <w:pageBreakBefore/>
        <w:spacing w:line="290" w:lineRule="auto"/>
        <w:jc w:val="center"/>
        <w:rPr>
          <w:rFonts w:cs="Arial"/>
          <w:b/>
          <w:szCs w:val="20"/>
        </w:rPr>
      </w:pPr>
      <w:r w:rsidRPr="00E65655">
        <w:rPr>
          <w:rFonts w:cs="Arial"/>
          <w:b/>
          <w:szCs w:val="20"/>
        </w:rPr>
        <w:lastRenderedPageBreak/>
        <w:t>PLACING AND SALE</w:t>
      </w:r>
    </w:p>
    <w:p w14:paraId="23962E6C" w14:textId="77777777" w:rsidR="00B10BD3" w:rsidRPr="00E65655" w:rsidRDefault="00B10BD3" w:rsidP="00B10BD3">
      <w:pPr>
        <w:pStyle w:val="Heading3"/>
        <w:keepNext w:val="0"/>
        <w:spacing w:after="140" w:line="290" w:lineRule="auto"/>
        <w:jc w:val="both"/>
        <w:rPr>
          <w:rFonts w:ascii="Arial" w:hAnsi="Arial" w:cs="Arial"/>
        </w:rPr>
      </w:pPr>
    </w:p>
    <w:p w14:paraId="5A697BD0" w14:textId="246075DC" w:rsidR="00B10BD3" w:rsidRPr="00E65655" w:rsidRDefault="00B10BD3" w:rsidP="00B10BD3">
      <w:pPr>
        <w:pStyle w:val="Heading3"/>
        <w:keepNext w:val="0"/>
        <w:spacing w:after="140" w:line="290" w:lineRule="auto"/>
        <w:jc w:val="both"/>
        <w:rPr>
          <w:rFonts w:ascii="Arial" w:hAnsi="Arial" w:cs="Arial"/>
        </w:rPr>
      </w:pPr>
      <w:r w:rsidRPr="00E65655">
        <w:rPr>
          <w:rFonts w:ascii="Arial" w:hAnsi="Arial" w:cs="Arial"/>
        </w:rPr>
        <w:t>General</w:t>
      </w:r>
    </w:p>
    <w:p w14:paraId="1BBFB467" w14:textId="77777777" w:rsidR="00B10BD3" w:rsidRPr="00E65655" w:rsidRDefault="00B10BD3" w:rsidP="00B10BD3">
      <w:pPr>
        <w:pStyle w:val="Heading3"/>
        <w:keepNext w:val="0"/>
        <w:spacing w:after="140" w:line="290" w:lineRule="auto"/>
        <w:ind w:firstLine="720"/>
        <w:jc w:val="both"/>
        <w:rPr>
          <w:rFonts w:ascii="Arial" w:hAnsi="Arial" w:cs="Arial"/>
          <w:b w:val="0"/>
        </w:rPr>
      </w:pPr>
      <w:r w:rsidRPr="00E65655">
        <w:rPr>
          <w:rFonts w:ascii="Arial" w:hAnsi="Arial" w:cs="Arial"/>
          <w:b w:val="0"/>
        </w:rPr>
        <w:t xml:space="preserve">No action has been or will be taken by the Issuer that would permit a public offering of the Certificates or possession or distribution of any offering material in relation to the Certificates in any jurisdiction where action for that purpose is required. No offers, sales or deliveries of any Certificates, or distribution of any offering material relating to the Certificates may be made in or from any jurisdiction except in circumstances which will result in compliance with any applicable laws or regulations and will not impose any obligation on the Issuer. </w:t>
      </w:r>
      <w:proofErr w:type="gramStart"/>
      <w:r w:rsidRPr="00E65655">
        <w:rPr>
          <w:rFonts w:ascii="Arial" w:hAnsi="Arial" w:cs="Arial"/>
          <w:b w:val="0"/>
        </w:rPr>
        <w:t>In the event that</w:t>
      </w:r>
      <w:proofErr w:type="gramEnd"/>
      <w:r w:rsidRPr="00E65655">
        <w:rPr>
          <w:rFonts w:ascii="Arial" w:hAnsi="Arial" w:cs="Arial"/>
          <w:b w:val="0"/>
        </w:rPr>
        <w:t xml:space="preserve"> the Issuer contemplates a placing, placing fees may be payable in connection with the issue and the Issuer may at its discretion allow discounts to placees.</w:t>
      </w:r>
    </w:p>
    <w:p w14:paraId="2478A518" w14:textId="77777777" w:rsidR="00B10BD3" w:rsidRPr="00E65655" w:rsidRDefault="00B10BD3" w:rsidP="00B10BD3">
      <w:pPr>
        <w:pStyle w:val="Heading3"/>
        <w:keepNext w:val="0"/>
        <w:spacing w:after="140" w:line="290" w:lineRule="auto"/>
        <w:ind w:firstLine="720"/>
        <w:jc w:val="both"/>
        <w:rPr>
          <w:rFonts w:ascii="Arial" w:hAnsi="Arial" w:cs="Arial"/>
          <w:b w:val="0"/>
        </w:rPr>
      </w:pPr>
      <w:r w:rsidRPr="00E65655">
        <w:rPr>
          <w:rFonts w:ascii="Arial" w:hAnsi="Arial" w:cs="Arial"/>
          <w:b w:val="0"/>
        </w:rPr>
        <w:t>Each Certificate Holder undertakes that it will inform any subsequent purchaser of the terms and conditions of the Certificates and all such subsequent purchasers as may purchase such securities from time to time shall deemed to be a Certificate Holder for the purposes of the Certificates and shall be bound by the terms and conditions of the Certificates.</w:t>
      </w:r>
    </w:p>
    <w:p w14:paraId="43623CBF" w14:textId="77777777" w:rsidR="00B10BD3" w:rsidRPr="00E65655" w:rsidRDefault="00B10BD3" w:rsidP="00B10BD3">
      <w:pPr>
        <w:pStyle w:val="Heading3"/>
        <w:keepNext w:val="0"/>
        <w:spacing w:after="140" w:line="290" w:lineRule="auto"/>
        <w:jc w:val="both"/>
        <w:rPr>
          <w:rFonts w:ascii="Arial" w:hAnsi="Arial" w:cs="Arial"/>
        </w:rPr>
      </w:pPr>
      <w:r w:rsidRPr="00E65655">
        <w:rPr>
          <w:rFonts w:ascii="Arial" w:hAnsi="Arial" w:cs="Arial"/>
        </w:rPr>
        <w:t>Singapore</w:t>
      </w:r>
    </w:p>
    <w:p w14:paraId="2AC1399D" w14:textId="77777777" w:rsidR="00B10BD3" w:rsidRPr="00E65655" w:rsidRDefault="00B10BD3" w:rsidP="00B10BD3">
      <w:pPr>
        <w:pStyle w:val="Heading3"/>
        <w:keepNext w:val="0"/>
        <w:spacing w:after="140" w:line="290" w:lineRule="auto"/>
        <w:ind w:firstLine="720"/>
        <w:jc w:val="both"/>
        <w:rPr>
          <w:rFonts w:ascii="Arial" w:hAnsi="Arial" w:cs="Arial"/>
          <w:b w:val="0"/>
        </w:rPr>
      </w:pPr>
      <w:r w:rsidRPr="00E65655">
        <w:rPr>
          <w:rFonts w:ascii="Arial" w:hAnsi="Arial" w:cs="Arial"/>
          <w:b w:val="0"/>
        </w:rPr>
        <w:t>This document has not been registered as a prospectus with the Monetary Authority of Singapore. Accordingly, this document and any other document or material in connection with the offer or sale, or invitation for subscription or purchase, of Certificates may not be circulated or distributed, nor may Certificates be offered or sold, or be made the subject of an invitation for subscription or purchase, whether directly or indirectly, to persons in Singapore other than pursuant to, and in accordance with the conditions of, any applicable provision of the Securities and Futures Act 2001 of Singapore.</w:t>
      </w:r>
    </w:p>
    <w:p w14:paraId="51CC07C9" w14:textId="77777777" w:rsidR="00B10BD3" w:rsidRPr="00E65655" w:rsidRDefault="00B10BD3" w:rsidP="00B10BD3">
      <w:pPr>
        <w:pStyle w:val="Heading3"/>
        <w:keepNext w:val="0"/>
        <w:widowControl w:val="0"/>
        <w:spacing w:after="140" w:line="290" w:lineRule="auto"/>
        <w:jc w:val="both"/>
        <w:rPr>
          <w:rFonts w:ascii="Arial" w:hAnsi="Arial" w:cs="Arial"/>
        </w:rPr>
      </w:pPr>
      <w:r w:rsidRPr="00E65655">
        <w:rPr>
          <w:rFonts w:ascii="Arial" w:hAnsi="Arial" w:cs="Arial"/>
        </w:rPr>
        <w:t>Hong Kong</w:t>
      </w:r>
    </w:p>
    <w:p w14:paraId="1B539C5D" w14:textId="77777777" w:rsidR="00B10BD3" w:rsidRPr="00E65655" w:rsidRDefault="00B10BD3" w:rsidP="00B10BD3">
      <w:pPr>
        <w:pStyle w:val="Heading3"/>
        <w:keepNext w:val="0"/>
        <w:widowControl w:val="0"/>
        <w:spacing w:after="140" w:line="290" w:lineRule="auto"/>
        <w:ind w:firstLine="720"/>
        <w:jc w:val="both"/>
        <w:rPr>
          <w:rFonts w:ascii="Arial" w:hAnsi="Arial" w:cs="Arial"/>
          <w:b w:val="0"/>
        </w:rPr>
      </w:pPr>
      <w:r w:rsidRPr="00E65655">
        <w:rPr>
          <w:rFonts w:ascii="Arial" w:hAnsi="Arial" w:cs="Arial"/>
          <w:b w:val="0"/>
        </w:rPr>
        <w:t>Each dealer has represented and agreed, and each further dealer appointed in respect of the Certificates and each other purchaser will be required to represent and agree, that:</w:t>
      </w:r>
    </w:p>
    <w:p w14:paraId="71A2564D" w14:textId="77777777" w:rsidR="00B10BD3" w:rsidRPr="00E65655" w:rsidRDefault="00B10BD3">
      <w:pPr>
        <w:pStyle w:val="Heading3"/>
        <w:keepNext w:val="0"/>
        <w:widowControl w:val="0"/>
        <w:numPr>
          <w:ilvl w:val="0"/>
          <w:numId w:val="26"/>
        </w:numPr>
        <w:spacing w:after="140" w:line="290" w:lineRule="auto"/>
        <w:ind w:left="720" w:hanging="720"/>
        <w:jc w:val="both"/>
        <w:rPr>
          <w:rFonts w:ascii="Arial" w:hAnsi="Arial" w:cs="Arial"/>
          <w:b w:val="0"/>
        </w:rPr>
      </w:pPr>
      <w:r w:rsidRPr="00E65655">
        <w:rPr>
          <w:rFonts w:ascii="Arial" w:hAnsi="Arial" w:cs="Arial"/>
          <w:b w:val="0"/>
        </w:rPr>
        <w:t>it has not offered or sold and will not offer or sell in Hong Kong, by means of any document, any Certificates (except for Certificates which are a "structured product" as defined in the Securities and Futures Ordinance (Cap.571) of Hong Kong</w:t>
      </w:r>
      <w:bookmarkStart w:id="84" w:name="_cp_change_129"/>
      <w:bookmarkEnd w:id="84"/>
      <w:r w:rsidRPr="00E65655">
        <w:rPr>
          <w:rFonts w:ascii="Arial" w:hAnsi="Arial" w:cs="Arial"/>
          <w:b w:val="0"/>
        </w:rPr>
        <w:t xml:space="preserve"> (“</w:t>
      </w:r>
      <w:r w:rsidRPr="00E65655">
        <w:rPr>
          <w:rFonts w:ascii="Arial" w:hAnsi="Arial" w:cs="Arial"/>
        </w:rPr>
        <w:t>SFO</w:t>
      </w:r>
      <w:r w:rsidRPr="00E65655">
        <w:rPr>
          <w:rFonts w:ascii="Arial" w:hAnsi="Arial" w:cs="Arial"/>
          <w:b w:val="0"/>
        </w:rPr>
        <w:t>”)) other than (i) to "professional investors" as defined in the SFO and any rules made under the SFO; or (ii) in other circumstances which do not result in the document being a "prospectus", as defined in the Companies (Winding Up and Miscellaneous Provisions) Ordinance (Cap. 32) of Hong Kong (“</w:t>
      </w:r>
      <w:r w:rsidRPr="00E65655">
        <w:rPr>
          <w:rFonts w:ascii="Arial" w:hAnsi="Arial" w:cs="Arial"/>
        </w:rPr>
        <w:t>CWUMPO</w:t>
      </w:r>
      <w:r w:rsidRPr="00E65655">
        <w:rPr>
          <w:rFonts w:ascii="Arial" w:hAnsi="Arial" w:cs="Arial"/>
          <w:b w:val="0"/>
        </w:rPr>
        <w:t xml:space="preserve">”) or which do not constitute an offer to the public within the meaning </w:t>
      </w:r>
      <w:bookmarkStart w:id="85" w:name="_cp_change_136"/>
      <w:bookmarkStart w:id="86" w:name="_cp_change_137"/>
      <w:bookmarkEnd w:id="85"/>
      <w:bookmarkEnd w:id="86"/>
      <w:r w:rsidRPr="00E65655">
        <w:rPr>
          <w:rFonts w:ascii="Arial" w:hAnsi="Arial" w:cs="Arial"/>
          <w:b w:val="0"/>
        </w:rPr>
        <w:t>of the CWUMPO; and</w:t>
      </w:r>
    </w:p>
    <w:p w14:paraId="7BD5C2DA" w14:textId="77777777" w:rsidR="00B10BD3" w:rsidRPr="00E65655" w:rsidRDefault="00B10BD3">
      <w:pPr>
        <w:pStyle w:val="Heading3"/>
        <w:keepNext w:val="0"/>
        <w:widowControl w:val="0"/>
        <w:numPr>
          <w:ilvl w:val="0"/>
          <w:numId w:val="26"/>
        </w:numPr>
        <w:spacing w:after="140" w:line="290" w:lineRule="auto"/>
        <w:ind w:left="720" w:hanging="720"/>
        <w:jc w:val="both"/>
        <w:rPr>
          <w:rFonts w:ascii="Arial" w:hAnsi="Arial" w:cs="Arial"/>
          <w:b w:val="0"/>
        </w:rPr>
      </w:pPr>
      <w:r w:rsidRPr="00E65655">
        <w:rPr>
          <w:rFonts w:ascii="Arial" w:hAnsi="Arial" w:cs="Arial"/>
          <w:b w:val="0"/>
        </w:rPr>
        <w:t>it has not issued or had in its possession for the purposes of issue, and will not issue or have in its possession for the purposes of issue, whether in Hong Kong or elsewhere, any advertisement, invitation or document relating to the Certificates, which is directed at, or the contents of which are likely to be accessed or read by, the public of Hong Kong (except if permitted to do so under the securities laws of Hong Kong) other than with respect to Certificates which are or are intended to be disposed of only to persons outside Hong Kong or only to "professional investors" as defined in the SFO and any rules made under the SFO.</w:t>
      </w:r>
    </w:p>
    <w:p w14:paraId="52A12133" w14:textId="77777777" w:rsidR="00B10BD3" w:rsidRPr="00E65655" w:rsidRDefault="00B10BD3" w:rsidP="00B10BD3">
      <w:pPr>
        <w:pStyle w:val="Heading3"/>
        <w:keepNext w:val="0"/>
        <w:widowControl w:val="0"/>
        <w:spacing w:after="140" w:line="290" w:lineRule="auto"/>
        <w:jc w:val="both"/>
        <w:rPr>
          <w:rFonts w:ascii="Arial" w:hAnsi="Arial" w:cs="Arial"/>
        </w:rPr>
      </w:pPr>
      <w:r w:rsidRPr="00E65655">
        <w:rPr>
          <w:rFonts w:ascii="Arial" w:hAnsi="Arial" w:cs="Arial"/>
        </w:rPr>
        <w:t xml:space="preserve">European Economic Area </w:t>
      </w:r>
    </w:p>
    <w:p w14:paraId="0A83930C" w14:textId="77777777" w:rsidR="00B10BD3" w:rsidRPr="00E65655" w:rsidRDefault="00B10BD3" w:rsidP="00B10BD3">
      <w:pPr>
        <w:pStyle w:val="PlainText"/>
        <w:widowControl w:val="0"/>
        <w:spacing w:after="140" w:line="290" w:lineRule="auto"/>
        <w:ind w:firstLine="720"/>
        <w:jc w:val="both"/>
        <w:rPr>
          <w:rFonts w:ascii="Arial" w:hAnsi="Arial" w:cs="Arial"/>
        </w:rPr>
      </w:pPr>
      <w:r w:rsidRPr="00E65655">
        <w:rPr>
          <w:rFonts w:ascii="Arial" w:hAnsi="Arial" w:cs="Arial"/>
        </w:rPr>
        <w:t xml:space="preserve">Each dealer represents and agrees, and each further dealer appointed in respect of the Certificates will be required to represent and agree, that it has not offered, sold or otherwise made </w:t>
      </w:r>
      <w:r w:rsidRPr="00E65655">
        <w:rPr>
          <w:rFonts w:ascii="Arial" w:hAnsi="Arial" w:cs="Arial"/>
        </w:rPr>
        <w:lastRenderedPageBreak/>
        <w:t>available and will not offer, sell, or otherwise make available any Certificates which are the subject of the offering as contemplated by this document to any retail investor in the European Economic Area. For the purposes of this provision:</w:t>
      </w:r>
    </w:p>
    <w:p w14:paraId="74ACEDF3" w14:textId="77777777" w:rsidR="00B10BD3" w:rsidRPr="00E65655" w:rsidRDefault="00B10BD3" w:rsidP="00B10BD3">
      <w:pPr>
        <w:pStyle w:val="PlainText"/>
        <w:widowControl w:val="0"/>
        <w:spacing w:after="140" w:line="290" w:lineRule="auto"/>
        <w:ind w:left="720" w:hanging="720"/>
        <w:jc w:val="both"/>
        <w:rPr>
          <w:rFonts w:ascii="Arial" w:hAnsi="Arial" w:cs="Arial"/>
        </w:rPr>
      </w:pPr>
      <w:r w:rsidRPr="00E65655">
        <w:rPr>
          <w:rFonts w:ascii="Arial" w:hAnsi="Arial" w:cs="Arial"/>
        </w:rPr>
        <w:t>(a)</w:t>
      </w:r>
      <w:r w:rsidRPr="00E65655">
        <w:rPr>
          <w:rFonts w:ascii="Arial" w:hAnsi="Arial" w:cs="Arial"/>
        </w:rPr>
        <w:tab/>
        <w:t>the expression “</w:t>
      </w:r>
      <w:r w:rsidRPr="00E65655">
        <w:rPr>
          <w:rFonts w:ascii="Arial" w:hAnsi="Arial" w:cs="Arial"/>
          <w:b/>
        </w:rPr>
        <w:t>retail investor</w:t>
      </w:r>
      <w:r w:rsidRPr="00E65655">
        <w:rPr>
          <w:rFonts w:ascii="Arial" w:hAnsi="Arial" w:cs="Arial"/>
        </w:rPr>
        <w:t>” means a person who is one (or more) of the following:</w:t>
      </w:r>
    </w:p>
    <w:p w14:paraId="29318521" w14:textId="77777777" w:rsidR="00B10BD3" w:rsidRPr="00E65655" w:rsidRDefault="00B10BD3" w:rsidP="00B10BD3">
      <w:pPr>
        <w:widowControl w:val="0"/>
        <w:spacing w:after="140" w:line="290" w:lineRule="auto"/>
        <w:ind w:left="1440" w:hanging="720"/>
        <w:jc w:val="both"/>
        <w:rPr>
          <w:rFonts w:cs="Arial"/>
          <w:szCs w:val="20"/>
        </w:rPr>
      </w:pPr>
      <w:r w:rsidRPr="00E65655">
        <w:rPr>
          <w:rFonts w:cs="Arial"/>
          <w:szCs w:val="20"/>
        </w:rPr>
        <w:t>(i)</w:t>
      </w:r>
      <w:r w:rsidRPr="00E65655">
        <w:rPr>
          <w:rFonts w:cs="Arial"/>
          <w:szCs w:val="20"/>
        </w:rPr>
        <w:tab/>
        <w:t>a retail client as defined in point (11) of Article 4(1) of Directive 2014/65/EU (as amended, “</w:t>
      </w:r>
      <w:r w:rsidRPr="00E65655">
        <w:rPr>
          <w:rFonts w:cs="Arial"/>
          <w:b/>
          <w:szCs w:val="20"/>
        </w:rPr>
        <w:t>MiFID II</w:t>
      </w:r>
      <w:r w:rsidRPr="00E65655">
        <w:rPr>
          <w:rFonts w:cs="Arial"/>
          <w:szCs w:val="20"/>
        </w:rPr>
        <w:t>”); or</w:t>
      </w:r>
    </w:p>
    <w:p w14:paraId="6BCD1495" w14:textId="77777777" w:rsidR="00B10BD3" w:rsidRPr="00E65655" w:rsidRDefault="00B10BD3" w:rsidP="00B10BD3">
      <w:pPr>
        <w:widowControl w:val="0"/>
        <w:spacing w:after="140" w:line="290" w:lineRule="auto"/>
        <w:ind w:left="1440" w:hanging="720"/>
        <w:jc w:val="both"/>
        <w:rPr>
          <w:rFonts w:cs="Arial"/>
          <w:szCs w:val="20"/>
        </w:rPr>
      </w:pPr>
      <w:r w:rsidRPr="00E65655">
        <w:rPr>
          <w:rFonts w:cs="Arial"/>
          <w:szCs w:val="20"/>
        </w:rPr>
        <w:t>(ii)</w:t>
      </w:r>
      <w:r w:rsidRPr="00E65655">
        <w:rPr>
          <w:rFonts w:cs="Arial"/>
          <w:szCs w:val="20"/>
        </w:rPr>
        <w:tab/>
        <w:t>a customer within the meaning of Directive (EU) 2016/97 (as amended, the Insurance Distribution Directive), where that customer would not qualify as a professional client as defined in point (10) of Article 4(1) of MiFID II; or</w:t>
      </w:r>
    </w:p>
    <w:p w14:paraId="359B90EA" w14:textId="77777777" w:rsidR="00B10BD3" w:rsidRPr="00E65655" w:rsidRDefault="00B10BD3" w:rsidP="00B10BD3">
      <w:pPr>
        <w:widowControl w:val="0"/>
        <w:spacing w:after="140" w:line="290" w:lineRule="auto"/>
        <w:ind w:left="1440" w:hanging="720"/>
        <w:jc w:val="both"/>
        <w:rPr>
          <w:rFonts w:cs="Arial"/>
          <w:szCs w:val="20"/>
        </w:rPr>
      </w:pPr>
      <w:r w:rsidRPr="00E65655">
        <w:rPr>
          <w:rFonts w:cs="Arial"/>
          <w:szCs w:val="20"/>
        </w:rPr>
        <w:t>(iii)</w:t>
      </w:r>
      <w:r w:rsidRPr="00E65655">
        <w:rPr>
          <w:rFonts w:cs="Arial"/>
          <w:szCs w:val="20"/>
        </w:rPr>
        <w:tab/>
        <w:t xml:space="preserve">not a qualified investor as defined in </w:t>
      </w:r>
      <w:r w:rsidRPr="00E65655">
        <w:rPr>
          <w:rFonts w:eastAsia="Times New Roman"/>
          <w:w w:val="0"/>
          <w:szCs w:val="20"/>
        </w:rPr>
        <w:t xml:space="preserve">Regulation (EU) 2017/1129 (as amended and superseded, </w:t>
      </w:r>
      <w:r w:rsidRPr="00E65655">
        <w:rPr>
          <w:rFonts w:cs="Arial"/>
          <w:szCs w:val="20"/>
        </w:rPr>
        <w:t>the Prospectus Regulation); and</w:t>
      </w:r>
    </w:p>
    <w:p w14:paraId="2C13335B" w14:textId="77777777" w:rsidR="00B10BD3" w:rsidRPr="00E65655" w:rsidRDefault="00B10BD3" w:rsidP="00B10BD3">
      <w:pPr>
        <w:widowControl w:val="0"/>
        <w:spacing w:after="140" w:line="290" w:lineRule="auto"/>
        <w:ind w:left="720" w:hanging="720"/>
        <w:jc w:val="both"/>
        <w:rPr>
          <w:rFonts w:cs="Arial"/>
          <w:szCs w:val="20"/>
        </w:rPr>
      </w:pPr>
      <w:r w:rsidRPr="00E65655">
        <w:rPr>
          <w:rFonts w:eastAsia="Times New Roman" w:cs="Arial"/>
          <w:w w:val="0"/>
          <w:szCs w:val="20"/>
        </w:rPr>
        <w:t>(b)</w:t>
      </w:r>
      <w:r w:rsidRPr="00E65655">
        <w:rPr>
          <w:rFonts w:eastAsia="Times New Roman" w:cs="Arial"/>
          <w:w w:val="0"/>
          <w:szCs w:val="20"/>
        </w:rPr>
        <w:tab/>
      </w:r>
      <w:r w:rsidRPr="00E65655">
        <w:rPr>
          <w:rFonts w:cs="Arial"/>
          <w:szCs w:val="20"/>
        </w:rPr>
        <w:t>the expression “</w:t>
      </w:r>
      <w:r w:rsidRPr="00E65655">
        <w:rPr>
          <w:rFonts w:cs="Arial"/>
          <w:b/>
          <w:szCs w:val="20"/>
        </w:rPr>
        <w:t>offer</w:t>
      </w:r>
      <w:r w:rsidRPr="00E65655">
        <w:rPr>
          <w:rFonts w:cs="Arial"/>
          <w:szCs w:val="20"/>
        </w:rPr>
        <w:t xml:space="preserve">” includes the communication in any form and by any means of sufficient information on the terms of the offer and the Certificates to be offered </w:t>
      </w:r>
      <w:proofErr w:type="gramStart"/>
      <w:r w:rsidRPr="00E65655">
        <w:rPr>
          <w:rFonts w:cs="Arial"/>
          <w:szCs w:val="20"/>
        </w:rPr>
        <w:t>so as to</w:t>
      </w:r>
      <w:proofErr w:type="gramEnd"/>
      <w:r w:rsidRPr="00E65655">
        <w:rPr>
          <w:rFonts w:cs="Arial"/>
          <w:szCs w:val="20"/>
        </w:rPr>
        <w:t xml:space="preserve"> enable an investor to decide to purchase or subscribe for the Certificates.</w:t>
      </w:r>
    </w:p>
    <w:p w14:paraId="77A5F56F" w14:textId="77777777" w:rsidR="00B10BD3" w:rsidRPr="00E65655" w:rsidRDefault="00B10BD3" w:rsidP="00B10BD3">
      <w:pPr>
        <w:pStyle w:val="Heading3"/>
        <w:keepNext w:val="0"/>
        <w:widowControl w:val="0"/>
        <w:spacing w:after="140" w:line="290" w:lineRule="auto"/>
        <w:jc w:val="both"/>
        <w:rPr>
          <w:rFonts w:ascii="Arial" w:hAnsi="Arial" w:cs="Arial"/>
          <w:w w:val="0"/>
          <w:shd w:val="clear" w:color="auto" w:fill="FFFFFF"/>
        </w:rPr>
      </w:pPr>
      <w:bookmarkStart w:id="87" w:name="_cp_change_148"/>
      <w:bookmarkEnd w:id="87"/>
      <w:r w:rsidRPr="00E65655">
        <w:rPr>
          <w:rFonts w:ascii="Arial" w:hAnsi="Arial" w:cs="Arial"/>
          <w:w w:val="0"/>
          <w:shd w:val="clear" w:color="auto" w:fill="FFFFFF"/>
        </w:rPr>
        <w:t>United Kingdom</w:t>
      </w:r>
    </w:p>
    <w:p w14:paraId="34C59930" w14:textId="77777777" w:rsidR="00B10BD3" w:rsidRPr="00E65655" w:rsidRDefault="00B10BD3" w:rsidP="00B10BD3">
      <w:pPr>
        <w:pStyle w:val="Heading3"/>
        <w:keepNext w:val="0"/>
        <w:widowControl w:val="0"/>
        <w:spacing w:after="140" w:line="290" w:lineRule="auto"/>
        <w:ind w:firstLine="720"/>
        <w:jc w:val="both"/>
        <w:rPr>
          <w:rFonts w:ascii="Arial" w:eastAsia="Times New Roman" w:hAnsi="Arial" w:cs="Arial"/>
          <w:b w:val="0"/>
          <w:w w:val="0"/>
        </w:rPr>
      </w:pPr>
      <w:bookmarkStart w:id="88" w:name="_cp_change_147"/>
      <w:bookmarkStart w:id="89" w:name="_cp_change_150"/>
      <w:bookmarkEnd w:id="88"/>
      <w:bookmarkEnd w:id="89"/>
      <w:r w:rsidRPr="00E65655">
        <w:rPr>
          <w:rFonts w:ascii="Arial" w:eastAsia="Times New Roman" w:hAnsi="Arial" w:cs="Arial"/>
          <w:b w:val="0"/>
          <w:w w:val="0"/>
        </w:rPr>
        <w:t xml:space="preserve">Each dealer represents and agrees, and each further dealer appointed in respect of the </w:t>
      </w:r>
      <w:r w:rsidRPr="00E65655">
        <w:rPr>
          <w:rFonts w:cs="Arial"/>
          <w:b w:val="0"/>
        </w:rPr>
        <w:t>Certificates</w:t>
      </w:r>
      <w:r w:rsidRPr="00E65655">
        <w:rPr>
          <w:rFonts w:ascii="Arial" w:eastAsia="Times New Roman" w:hAnsi="Arial" w:cs="Arial"/>
          <w:b w:val="0"/>
          <w:w w:val="0"/>
        </w:rPr>
        <w:t xml:space="preserve"> will be required to represent and agree, that it has not offered, sold or otherwise made available and will not offer, sell or otherwise make available any </w:t>
      </w:r>
      <w:r w:rsidRPr="00E65655">
        <w:rPr>
          <w:rFonts w:cs="Arial"/>
          <w:b w:val="0"/>
        </w:rPr>
        <w:t>Certificates</w:t>
      </w:r>
      <w:r w:rsidRPr="00E65655">
        <w:rPr>
          <w:rFonts w:ascii="Arial" w:eastAsia="Times New Roman" w:hAnsi="Arial" w:cs="Arial"/>
          <w:b w:val="0"/>
          <w:w w:val="0"/>
        </w:rPr>
        <w:t xml:space="preserve"> which are the subject of the offering as contemplated by this document to any retail investor in the United Kingdom. For the purposes of this provision:</w:t>
      </w:r>
    </w:p>
    <w:p w14:paraId="1B9295A4" w14:textId="77777777" w:rsidR="00B10BD3" w:rsidRPr="00E65655" w:rsidRDefault="00B10BD3">
      <w:pPr>
        <w:pStyle w:val="Heading3"/>
        <w:keepNext w:val="0"/>
        <w:widowControl w:val="0"/>
        <w:numPr>
          <w:ilvl w:val="0"/>
          <w:numId w:val="31"/>
        </w:numPr>
        <w:spacing w:after="140" w:line="290" w:lineRule="auto"/>
        <w:ind w:left="720" w:hanging="720"/>
        <w:jc w:val="both"/>
        <w:rPr>
          <w:rFonts w:ascii="Arial" w:eastAsia="Times New Roman" w:hAnsi="Arial" w:cs="Arial"/>
          <w:b w:val="0"/>
          <w:w w:val="0"/>
        </w:rPr>
      </w:pPr>
      <w:bookmarkStart w:id="90" w:name="_cp_change_152"/>
      <w:bookmarkEnd w:id="90"/>
      <w:r w:rsidRPr="00E65655">
        <w:rPr>
          <w:rFonts w:ascii="Arial" w:eastAsia="Times New Roman" w:hAnsi="Arial" w:cs="Arial"/>
          <w:b w:val="0"/>
          <w:w w:val="0"/>
        </w:rPr>
        <w:t>the expression “</w:t>
      </w:r>
      <w:r w:rsidRPr="00E65655">
        <w:rPr>
          <w:rFonts w:ascii="Arial" w:eastAsia="Times New Roman" w:hAnsi="Arial" w:cs="Arial"/>
          <w:w w:val="0"/>
        </w:rPr>
        <w:t>retail investor</w:t>
      </w:r>
      <w:r w:rsidRPr="00E65655">
        <w:rPr>
          <w:rFonts w:ascii="Arial" w:eastAsia="Times New Roman" w:hAnsi="Arial" w:cs="Arial"/>
          <w:b w:val="0"/>
          <w:w w:val="0"/>
        </w:rPr>
        <w:t>” means a person who is one (or more) of the following:</w:t>
      </w:r>
    </w:p>
    <w:p w14:paraId="618367D4" w14:textId="77777777" w:rsidR="00B10BD3" w:rsidRPr="00E65655" w:rsidRDefault="00B10BD3">
      <w:pPr>
        <w:pStyle w:val="Heading3"/>
        <w:keepNext w:val="0"/>
        <w:widowControl w:val="0"/>
        <w:numPr>
          <w:ilvl w:val="0"/>
          <w:numId w:val="32"/>
        </w:numPr>
        <w:spacing w:after="140" w:line="290" w:lineRule="auto"/>
        <w:jc w:val="both"/>
        <w:rPr>
          <w:rFonts w:ascii="Arial" w:eastAsia="Times New Roman" w:hAnsi="Arial" w:cs="Arial"/>
          <w:b w:val="0"/>
          <w:w w:val="0"/>
        </w:rPr>
      </w:pPr>
      <w:bookmarkStart w:id="91" w:name="_cp_change_154"/>
      <w:bookmarkEnd w:id="91"/>
      <w:r w:rsidRPr="00E65655">
        <w:rPr>
          <w:rFonts w:ascii="Arial" w:eastAsia="Times New Roman" w:hAnsi="Arial" w:cs="Arial"/>
          <w:b w:val="0"/>
          <w:w w:val="0"/>
        </w:rPr>
        <w:t>a retail client, as defined in point (8) of Article 2 of Regulation (EU) No 2017/565 as it forms part of domestic law by virtue of the European Union (Withdrawal) Act 2018 (“EUWA”); or</w:t>
      </w:r>
      <w:bookmarkStart w:id="92" w:name="_cp_change_153"/>
      <w:bookmarkStart w:id="93" w:name="_cp_change_156"/>
      <w:bookmarkEnd w:id="92"/>
      <w:bookmarkEnd w:id="93"/>
    </w:p>
    <w:p w14:paraId="09331326" w14:textId="77777777" w:rsidR="00B10BD3" w:rsidRPr="00E65655" w:rsidRDefault="00B10BD3">
      <w:pPr>
        <w:pStyle w:val="Heading3"/>
        <w:keepNext w:val="0"/>
        <w:widowControl w:val="0"/>
        <w:numPr>
          <w:ilvl w:val="0"/>
          <w:numId w:val="32"/>
        </w:numPr>
        <w:spacing w:after="140" w:line="290" w:lineRule="auto"/>
        <w:jc w:val="both"/>
        <w:rPr>
          <w:rFonts w:ascii="Arial" w:eastAsia="Times New Roman" w:hAnsi="Arial" w:cs="Arial"/>
          <w:b w:val="0"/>
          <w:w w:val="0"/>
        </w:rPr>
      </w:pPr>
      <w:r w:rsidRPr="00E65655">
        <w:rPr>
          <w:rFonts w:ascii="Arial" w:eastAsia="Times New Roman" w:hAnsi="Arial" w:cs="Arial"/>
          <w:b w:val="0"/>
          <w:w w:val="0"/>
        </w:rPr>
        <w:t>a customer within the meaning of the provisions of the Financial Services and Markets Act, as amended (the “</w:t>
      </w:r>
      <w:r w:rsidRPr="00E65655">
        <w:rPr>
          <w:rFonts w:ascii="Arial" w:eastAsia="Times New Roman" w:hAnsi="Arial" w:cs="Arial"/>
          <w:w w:val="0"/>
        </w:rPr>
        <w:t>FSMA</w:t>
      </w:r>
      <w:r w:rsidRPr="00E65655">
        <w:rPr>
          <w:rFonts w:ascii="Arial" w:eastAsia="Times New Roman" w:hAnsi="Arial" w:cs="Arial"/>
          <w:b w:val="0"/>
          <w:w w:val="0"/>
        </w:rPr>
        <w:t>”) and any rules or regulations made under the FSMA to implement Directive (EU) 2016/97, where that customer would not qualify as a professional client, as defined in point (8) of Article 2(1) of Regulation (EU) No 600/2014 as it forms part of domestic law by virtue of the EUWA; or</w:t>
      </w:r>
      <w:bookmarkStart w:id="94" w:name="_cp_change_155"/>
      <w:bookmarkStart w:id="95" w:name="_cp_change_158"/>
      <w:bookmarkEnd w:id="94"/>
      <w:bookmarkEnd w:id="95"/>
    </w:p>
    <w:p w14:paraId="07725833" w14:textId="77777777" w:rsidR="00B10BD3" w:rsidRPr="00E65655" w:rsidRDefault="00B10BD3">
      <w:pPr>
        <w:pStyle w:val="Heading3"/>
        <w:keepNext w:val="0"/>
        <w:widowControl w:val="0"/>
        <w:numPr>
          <w:ilvl w:val="0"/>
          <w:numId w:val="32"/>
        </w:numPr>
        <w:spacing w:after="140" w:line="290" w:lineRule="auto"/>
        <w:jc w:val="both"/>
        <w:rPr>
          <w:rFonts w:ascii="Arial" w:eastAsia="Times New Roman" w:hAnsi="Arial" w:cs="Arial"/>
          <w:b w:val="0"/>
          <w:w w:val="0"/>
        </w:rPr>
      </w:pPr>
      <w:r w:rsidRPr="00E65655">
        <w:rPr>
          <w:rFonts w:ascii="Arial" w:eastAsia="Times New Roman" w:hAnsi="Arial" w:cs="Arial"/>
          <w:b w:val="0"/>
          <w:w w:val="0"/>
        </w:rPr>
        <w:t>not a qualified investor as defined in Article 2 of Regulation (EU) 2017/1129 as it forms part of domestic law by virtue of the EUWA; and</w:t>
      </w:r>
      <w:bookmarkStart w:id="96" w:name="_cp_change_157"/>
      <w:bookmarkStart w:id="97" w:name="_cp_change_160"/>
      <w:bookmarkEnd w:id="96"/>
      <w:bookmarkEnd w:id="97"/>
    </w:p>
    <w:p w14:paraId="48AE4344" w14:textId="77777777" w:rsidR="00B10BD3" w:rsidRPr="00E65655" w:rsidRDefault="00B10BD3">
      <w:pPr>
        <w:pStyle w:val="Heading3"/>
        <w:keepNext w:val="0"/>
        <w:widowControl w:val="0"/>
        <w:numPr>
          <w:ilvl w:val="0"/>
          <w:numId w:val="31"/>
        </w:numPr>
        <w:spacing w:after="140" w:line="290" w:lineRule="auto"/>
        <w:ind w:left="720" w:hanging="720"/>
        <w:jc w:val="both"/>
        <w:rPr>
          <w:rFonts w:ascii="Arial" w:eastAsia="Times New Roman" w:hAnsi="Arial" w:cs="Arial"/>
          <w:b w:val="0"/>
          <w:w w:val="0"/>
        </w:rPr>
      </w:pPr>
      <w:r w:rsidRPr="00E65655">
        <w:rPr>
          <w:rFonts w:ascii="Arial" w:eastAsia="Times New Roman" w:hAnsi="Arial" w:cs="Arial"/>
          <w:b w:val="0"/>
          <w:w w:val="0"/>
        </w:rPr>
        <w:t>the expression an “</w:t>
      </w:r>
      <w:r w:rsidRPr="00E65655">
        <w:rPr>
          <w:rFonts w:ascii="Arial" w:eastAsia="Times New Roman" w:hAnsi="Arial" w:cs="Arial"/>
          <w:w w:val="0"/>
        </w:rPr>
        <w:t>offer</w:t>
      </w:r>
      <w:r w:rsidRPr="00E65655">
        <w:rPr>
          <w:rFonts w:ascii="Arial" w:eastAsia="Times New Roman" w:hAnsi="Arial" w:cs="Arial"/>
          <w:b w:val="0"/>
          <w:w w:val="0"/>
        </w:rPr>
        <w:t xml:space="preserve">” includes the communication in any form and by any means of sufficient information on the terms of the offer and the </w:t>
      </w:r>
      <w:r w:rsidRPr="00E65655">
        <w:rPr>
          <w:rFonts w:cs="Arial"/>
          <w:b w:val="0"/>
        </w:rPr>
        <w:t>Certificates</w:t>
      </w:r>
      <w:r w:rsidRPr="00E65655">
        <w:rPr>
          <w:rFonts w:ascii="Arial" w:eastAsia="Times New Roman" w:hAnsi="Arial" w:cs="Arial"/>
          <w:b w:val="0"/>
          <w:w w:val="0"/>
        </w:rPr>
        <w:t xml:space="preserve"> to be offered </w:t>
      </w:r>
      <w:proofErr w:type="gramStart"/>
      <w:r w:rsidRPr="00E65655">
        <w:rPr>
          <w:rFonts w:ascii="Arial" w:eastAsia="Times New Roman" w:hAnsi="Arial" w:cs="Arial"/>
          <w:b w:val="0"/>
          <w:w w:val="0"/>
        </w:rPr>
        <w:t>so as to</w:t>
      </w:r>
      <w:proofErr w:type="gramEnd"/>
      <w:r w:rsidRPr="00E65655">
        <w:rPr>
          <w:rFonts w:ascii="Arial" w:eastAsia="Times New Roman" w:hAnsi="Arial" w:cs="Arial"/>
          <w:b w:val="0"/>
          <w:w w:val="0"/>
        </w:rPr>
        <w:t xml:space="preserve"> enable an investor to decide to purchase or subscribe for the </w:t>
      </w:r>
      <w:r w:rsidRPr="00E65655">
        <w:rPr>
          <w:rFonts w:cs="Arial"/>
          <w:b w:val="0"/>
        </w:rPr>
        <w:t>Certificates.</w:t>
      </w:r>
    </w:p>
    <w:p w14:paraId="60575E05" w14:textId="77777777" w:rsidR="00B10BD3" w:rsidRPr="00E65655" w:rsidRDefault="00B10BD3" w:rsidP="00B10BD3">
      <w:pPr>
        <w:pStyle w:val="Heading3"/>
        <w:keepNext w:val="0"/>
        <w:widowControl w:val="0"/>
        <w:spacing w:after="140" w:line="290" w:lineRule="auto"/>
        <w:ind w:firstLine="720"/>
        <w:jc w:val="both"/>
        <w:rPr>
          <w:rFonts w:ascii="Arial" w:hAnsi="Arial" w:cs="Arial"/>
          <w:b w:val="0"/>
        </w:rPr>
      </w:pPr>
      <w:r w:rsidRPr="00E65655">
        <w:rPr>
          <w:rFonts w:ascii="Arial" w:eastAsia="Times New Roman" w:hAnsi="Arial" w:cs="Arial"/>
          <w:b w:val="0"/>
          <w:w w:val="0"/>
        </w:rPr>
        <w:t>Each dealer further represents and agrees, and each further dealer appointed in respect of the Certificates will be required to further represent and agree, that:</w:t>
      </w:r>
    </w:p>
    <w:p w14:paraId="12BEC940" w14:textId="77777777" w:rsidR="00B10BD3" w:rsidRPr="00E65655" w:rsidRDefault="00B10BD3" w:rsidP="00B10BD3">
      <w:pPr>
        <w:spacing w:after="140" w:line="290" w:lineRule="auto"/>
        <w:ind w:left="720" w:hanging="720"/>
        <w:jc w:val="both"/>
        <w:rPr>
          <w:rFonts w:eastAsia="Times New Roman" w:cs="Arial"/>
          <w:w w:val="0"/>
          <w:szCs w:val="20"/>
        </w:rPr>
      </w:pPr>
      <w:r w:rsidRPr="00E65655">
        <w:rPr>
          <w:rFonts w:eastAsia="Times New Roman" w:cs="Arial"/>
          <w:w w:val="0"/>
          <w:szCs w:val="20"/>
        </w:rPr>
        <w:t>(a)</w:t>
      </w:r>
      <w:r w:rsidRPr="00E65655">
        <w:rPr>
          <w:rFonts w:eastAsia="Times New Roman" w:cs="Arial"/>
          <w:w w:val="0"/>
          <w:szCs w:val="20"/>
        </w:rPr>
        <w:tab/>
        <w:t xml:space="preserve">in respect to Certificates having a maturity of less than one year: (i) it is a person whose ordinary activities involve it in acquiring, holding, managing or disposing of investments (as principal or agent) for the purposes of  its business; and (ii) it has not offered or sold and will not offer or sell any Certificates other than to persons whose ordinary activities involve them in acquiring, holding, managing or disposing of investments (as principal or agent) for the purposes of their businesses or who it is reasonable to expect will acquire, hold, manage or dispose of </w:t>
      </w:r>
      <w:r w:rsidRPr="00E65655">
        <w:rPr>
          <w:rFonts w:eastAsia="Times New Roman" w:cs="Arial"/>
          <w:w w:val="0"/>
          <w:szCs w:val="20"/>
        </w:rPr>
        <w:lastRenderedPageBreak/>
        <w:t>investments (as principal or agent) for the purposes of their businesses where the issue of the Certificates would otherwise constitute a contravention of Section 19 of the FSMA by the Issuer;</w:t>
      </w:r>
    </w:p>
    <w:p w14:paraId="3C3B5126" w14:textId="77777777" w:rsidR="00B10BD3" w:rsidRPr="00E65655" w:rsidRDefault="00B10BD3" w:rsidP="00B10BD3">
      <w:pPr>
        <w:widowControl w:val="0"/>
        <w:spacing w:after="140" w:line="290" w:lineRule="auto"/>
        <w:ind w:left="720" w:hanging="706"/>
        <w:jc w:val="both"/>
        <w:rPr>
          <w:rFonts w:eastAsia="Times New Roman" w:cs="Arial"/>
          <w:w w:val="0"/>
          <w:szCs w:val="20"/>
        </w:rPr>
      </w:pPr>
      <w:r w:rsidRPr="00E65655">
        <w:rPr>
          <w:rFonts w:eastAsia="Times New Roman" w:cs="Arial"/>
          <w:w w:val="0"/>
          <w:szCs w:val="20"/>
        </w:rPr>
        <w:t>(b)</w:t>
      </w:r>
      <w:r w:rsidRPr="00E65655">
        <w:rPr>
          <w:rFonts w:eastAsia="Times New Roman" w:cs="Arial"/>
          <w:w w:val="0"/>
          <w:szCs w:val="20"/>
        </w:rPr>
        <w:tab/>
        <w:t>it has only communicated or caused to be communicated and will only communicate or cause to be communicated an invitation or inducement to engage in investment activity (within the meaning of section 21 of the FSMA) received by it in connection with the issue or sale of any Certificates in circumstances in which section 21(1) of the FSMA does not apply to the Issuer or the Guarantor; and</w:t>
      </w:r>
    </w:p>
    <w:p w14:paraId="4AA501C9" w14:textId="77777777" w:rsidR="00B10BD3" w:rsidRPr="00E65655" w:rsidRDefault="00B10BD3" w:rsidP="00B10BD3">
      <w:pPr>
        <w:widowControl w:val="0"/>
        <w:spacing w:after="140" w:line="290" w:lineRule="auto"/>
        <w:ind w:left="720" w:hanging="720"/>
        <w:jc w:val="both"/>
        <w:rPr>
          <w:rFonts w:eastAsia="Times New Roman" w:cs="Arial"/>
          <w:w w:val="0"/>
        </w:rPr>
      </w:pPr>
      <w:r w:rsidRPr="00E65655">
        <w:rPr>
          <w:rFonts w:eastAsia="Times New Roman" w:cs="Arial"/>
          <w:w w:val="0"/>
          <w:szCs w:val="20"/>
        </w:rPr>
        <w:t>(c)</w:t>
      </w:r>
      <w:r w:rsidRPr="00E65655">
        <w:rPr>
          <w:rFonts w:eastAsia="Times New Roman" w:cs="Arial"/>
          <w:w w:val="0"/>
          <w:szCs w:val="20"/>
        </w:rPr>
        <w:tab/>
        <w:t>it has complied and will comply with all applicable provisions of the FSMA with respect to anything done by it in relation to any Certificates in, from or otherwise involving the United Kingdom.</w:t>
      </w:r>
    </w:p>
    <w:p w14:paraId="374253D6" w14:textId="77777777" w:rsidR="00B10BD3" w:rsidRPr="00E65655" w:rsidRDefault="00B10BD3" w:rsidP="00B10BD3">
      <w:pPr>
        <w:pStyle w:val="Heading3"/>
        <w:keepNext w:val="0"/>
        <w:widowControl w:val="0"/>
        <w:spacing w:after="140" w:line="290" w:lineRule="auto"/>
        <w:jc w:val="both"/>
        <w:rPr>
          <w:rFonts w:ascii="Arial" w:hAnsi="Arial" w:cs="Arial"/>
        </w:rPr>
      </w:pPr>
      <w:r w:rsidRPr="00E65655">
        <w:rPr>
          <w:rFonts w:ascii="Arial" w:hAnsi="Arial" w:cs="Arial"/>
        </w:rPr>
        <w:t>United States</w:t>
      </w:r>
    </w:p>
    <w:p w14:paraId="06970E17" w14:textId="0BDA9B11" w:rsidR="00B10BD3" w:rsidRPr="00E65655" w:rsidRDefault="00B10BD3" w:rsidP="00B10BD3">
      <w:pPr>
        <w:pStyle w:val="BodyText20"/>
        <w:widowControl w:val="0"/>
        <w:spacing w:after="140" w:line="290" w:lineRule="auto"/>
        <w:ind w:firstLine="720"/>
        <w:rPr>
          <w:rFonts w:ascii="Arial" w:hAnsi="Arial" w:cs="Arial"/>
        </w:rPr>
      </w:pPr>
      <w:r w:rsidRPr="00E65655">
        <w:rPr>
          <w:rFonts w:ascii="Arial" w:hAnsi="Arial" w:cs="Arial"/>
        </w:rPr>
        <w:t>The Certificates and the Guarantee have not been and will not be registered under the United States Securities Act of 1933, as amended (the “</w:t>
      </w:r>
      <w:r w:rsidRPr="00E65655">
        <w:rPr>
          <w:rFonts w:ascii="Arial" w:hAnsi="Arial" w:cs="Arial"/>
          <w:b/>
        </w:rPr>
        <w:t>Securities Act</w:t>
      </w:r>
      <w:r w:rsidRPr="00E65655">
        <w:rPr>
          <w:rFonts w:ascii="Arial" w:hAnsi="Arial" w:cs="Arial"/>
        </w:rPr>
        <w:t>”) or any state securities law, and trading in the Certificates has not been approved by the United States Commodity Futures Trading Commission (the “</w:t>
      </w:r>
      <w:r w:rsidRPr="00E65655">
        <w:rPr>
          <w:rFonts w:ascii="Arial" w:hAnsi="Arial" w:cs="Arial"/>
          <w:b/>
        </w:rPr>
        <w:t>CFTC</w:t>
      </w:r>
      <w:r w:rsidRPr="00E65655">
        <w:rPr>
          <w:rFonts w:ascii="Arial" w:hAnsi="Arial" w:cs="Arial"/>
        </w:rPr>
        <w:t>”) under the United States Commodity Exchange Act of 1936, as amended (the “</w:t>
      </w:r>
      <w:r w:rsidRPr="00E65655">
        <w:rPr>
          <w:rFonts w:ascii="Arial" w:hAnsi="Arial" w:cs="Arial"/>
          <w:b/>
        </w:rPr>
        <w:t>Commodity Exchange Act</w:t>
      </w:r>
      <w:r w:rsidRPr="00E65655">
        <w:rPr>
          <w:rFonts w:ascii="Arial" w:hAnsi="Arial" w:cs="Arial"/>
        </w:rPr>
        <w:t xml:space="preserve">”) and the Issuer </w:t>
      </w:r>
      <w:r w:rsidR="00753E53" w:rsidRPr="00E65655">
        <w:rPr>
          <w:rFonts w:ascii="Arial" w:hAnsi="Arial"/>
        </w:rPr>
        <w:t>has not been and</w:t>
      </w:r>
      <w:r w:rsidR="00753E53" w:rsidRPr="00E65655">
        <w:rPr>
          <w:rFonts w:ascii="Arial" w:hAnsi="Arial" w:cs="Arial"/>
        </w:rPr>
        <w:t xml:space="preserve"> </w:t>
      </w:r>
      <w:r w:rsidRPr="00E65655">
        <w:rPr>
          <w:rFonts w:ascii="Arial" w:hAnsi="Arial" w:cs="Arial"/>
        </w:rPr>
        <w:t>will not be registered as an investment company under the United States Investment Company Act of 1940, as amended, and the rules and regulations thereunder. None of the Securities and Exchange Commission, any state securities commission or regulatory authority or any other United States, French or other regulatory authority has approved or disapproved of the Certificates or the Guarantee or passed upon the accuracy or adequacy of this document. Accordingly, Certificates, or interests therein, may not at any time be offered, sold, resold, traded, pledged, exercised, redeemed, transferred or delivered, directly or indirectly, in the United States or to, or for the account or benefit of, U.S. persons, nor may any U.S. person at any time trade, own, hold or maintain a position in the Certificates or any interests therein. In addition, in the absence of relief from the CFTC, offers, sales, re-sales, trades, pledges, exercises, redemptions, transfers or deliveries of Certificates, or interests therein, directly or indirectly, in the United States or to, or for the account or benefit of, U.S. persons, may constitute a violation of United States law governing commodities trading and commodity pools. Consequently, any offer, sale, resale, trade, pledge, exercise, redemption, transfer or delivery made, directly or indirectly, within the United States or to, or for the account or benefit of, a U.S. person will not be recognised.</w:t>
      </w:r>
    </w:p>
    <w:p w14:paraId="6C04378F" w14:textId="77777777" w:rsidR="00B10BD3" w:rsidRPr="00E65655" w:rsidRDefault="00B10BD3" w:rsidP="00B10BD3">
      <w:pPr>
        <w:pStyle w:val="BodyText20"/>
        <w:widowControl w:val="0"/>
        <w:spacing w:after="140" w:line="290" w:lineRule="auto"/>
        <w:ind w:firstLine="720"/>
        <w:rPr>
          <w:rFonts w:ascii="Arial" w:hAnsi="Arial" w:cs="Arial"/>
        </w:rPr>
      </w:pPr>
      <w:r w:rsidRPr="00E65655">
        <w:rPr>
          <w:rFonts w:ascii="Arial" w:hAnsi="Arial" w:cs="Arial"/>
        </w:rPr>
        <w:t>Each dealer has represented and agreed, and each further dealer will be required to represent and agree, that it has not and will not at any time offer, sell, resell, trade, pledge, exercise, redeem, transfer or deliver, directly or indirectly, Certificates in the United States or to, or for the account or benefit of, any U.S. person or to others for offer, sale, resale, trade, pledge, exercise, redeem, transfer or delivery, directly or indirectly, in the United States or to, or for the account or benefit of, any such U.S. person. Any person purchasing Certificates of any tranches must agree with the relevant dealer or the seller of such Certificates that (i) it is not a U.S. Person, (ii) it will not at any time offer, sell, resell, trade, pledge, exercise, redeem, transfer or deliver, directly or indirectly, any Certificates in the United States or to, or for the account or benefit of, any U.S. person or to others for offer, sale, resale, trade, pledge, exercise, redemption, transfer or delivery, directly or indirectly, in the United States or to, or for the account or benefit of, any U.S. person, and (iii) it is not purchasing any Certificates, directly or indirectly, in the United States or for the account or benefit of any U.S. person.</w:t>
      </w:r>
    </w:p>
    <w:p w14:paraId="78D4536B" w14:textId="77777777" w:rsidR="00B10BD3" w:rsidRPr="00E65655" w:rsidRDefault="00B10BD3" w:rsidP="00B10BD3">
      <w:pPr>
        <w:pStyle w:val="BodyText20"/>
        <w:widowControl w:val="0"/>
        <w:spacing w:after="140" w:line="290" w:lineRule="auto"/>
        <w:ind w:firstLine="720"/>
        <w:rPr>
          <w:rFonts w:ascii="Arial" w:hAnsi="Arial" w:cs="Arial"/>
        </w:rPr>
      </w:pPr>
      <w:r w:rsidRPr="00E65655">
        <w:rPr>
          <w:rFonts w:ascii="Arial" w:hAnsi="Arial" w:cs="Arial"/>
        </w:rPr>
        <w:t>Exercise or otherwise redemption of Certificates will be conditional upon certification that each person exercising or otherwise redeeming a Certificate is not a U.S. person or in the United States and that the Certificate is not being exercised or otherwise redeemed on behalf of a U.S. person. No payment will be made to accounts of holders of the Certificates located in the United States.</w:t>
      </w:r>
    </w:p>
    <w:p w14:paraId="0491346C" w14:textId="77777777" w:rsidR="00B10BD3" w:rsidRPr="00E65655" w:rsidRDefault="00B10BD3" w:rsidP="00B10BD3">
      <w:pPr>
        <w:pStyle w:val="BodyText20"/>
        <w:widowControl w:val="0"/>
        <w:spacing w:after="140" w:line="290" w:lineRule="auto"/>
        <w:ind w:firstLine="720"/>
        <w:rPr>
          <w:rFonts w:ascii="Arial" w:hAnsi="Arial" w:cs="Arial"/>
        </w:rPr>
      </w:pPr>
    </w:p>
    <w:p w14:paraId="05174B9C" w14:textId="10DD5604" w:rsidR="00D063AF" w:rsidRPr="00E65655" w:rsidRDefault="00D063AF" w:rsidP="00D063AF">
      <w:pPr>
        <w:pStyle w:val="BodyText20"/>
        <w:keepNext/>
        <w:keepLines/>
        <w:widowControl w:val="0"/>
        <w:spacing w:after="140" w:line="290" w:lineRule="auto"/>
        <w:ind w:firstLine="720"/>
        <w:rPr>
          <w:rFonts w:ascii="Arial" w:hAnsi="Arial" w:cs="Arial"/>
        </w:rPr>
      </w:pPr>
      <w:r w:rsidRPr="00E65655">
        <w:rPr>
          <w:rFonts w:ascii="Arial" w:hAnsi="Arial" w:cs="Arial"/>
        </w:rPr>
        <w:t>As used in the preceding paragraphs, the term “</w:t>
      </w:r>
      <w:r w:rsidRPr="00E65655">
        <w:rPr>
          <w:rFonts w:ascii="Arial" w:hAnsi="Arial" w:cs="Arial"/>
          <w:b/>
        </w:rPr>
        <w:t>United States</w:t>
      </w:r>
      <w:r w:rsidRPr="00E65655">
        <w:rPr>
          <w:rFonts w:ascii="Arial" w:hAnsi="Arial" w:cs="Arial"/>
        </w:rPr>
        <w:t>” includes the territories, the possessions and all other areas subject to the jurisdiction of the United States of America, and the term “</w:t>
      </w:r>
      <w:r w:rsidRPr="00E65655">
        <w:rPr>
          <w:rFonts w:ascii="Arial" w:hAnsi="Arial" w:cs="Arial"/>
          <w:b/>
        </w:rPr>
        <w:t>U.S. person</w:t>
      </w:r>
      <w:r w:rsidRPr="00E65655">
        <w:rPr>
          <w:rFonts w:ascii="Arial" w:hAnsi="Arial" w:cs="Arial"/>
        </w:rPr>
        <w:t>” means any person who is (i) a U.S. person as defined under Regulation S under the Securities Act, (ii) a U.S. person as defined in paragraph 7701(a)(30) of the Internal Revenue Code of 1986</w:t>
      </w:r>
      <w:r w:rsidR="00740B7D" w:rsidRPr="00E65655">
        <w:rPr>
          <w:rFonts w:ascii="Arial" w:hAnsi="Arial" w:cs="Arial"/>
        </w:rPr>
        <w:t>,</w:t>
      </w:r>
      <w:r w:rsidRPr="00E65655">
        <w:rPr>
          <w:rFonts w:ascii="Arial" w:hAnsi="Arial" w:cs="Arial"/>
        </w:rPr>
        <w:t xml:space="preserve"> (iii) a person who comes within any definition of U.S. person for the purposes of the United States Commodity Exchange Act of 1936, as amended (the “</w:t>
      </w:r>
      <w:r w:rsidRPr="00E65655">
        <w:rPr>
          <w:rFonts w:ascii="Arial" w:hAnsi="Arial" w:cs="Arial"/>
          <w:b/>
        </w:rPr>
        <w:t>CEA</w:t>
      </w:r>
      <w:r w:rsidRPr="00E65655">
        <w:rPr>
          <w:rFonts w:ascii="Arial" w:hAnsi="Arial" w:cs="Arial"/>
        </w:rPr>
        <w:t>”) or any rules thereunder of the CFTC (the “</w:t>
      </w:r>
      <w:r w:rsidRPr="00E65655">
        <w:rPr>
          <w:rFonts w:ascii="Arial" w:hAnsi="Arial" w:cs="Arial"/>
          <w:b/>
        </w:rPr>
        <w:t>CFTC Rules</w:t>
      </w:r>
      <w:r w:rsidRPr="00E65655">
        <w:rPr>
          <w:rFonts w:ascii="Arial" w:hAnsi="Arial" w:cs="Arial"/>
        </w:rPr>
        <w:t>”), guidance or order proposed or issued under the CEA (for the avoidance of doubt, any person who is not a “Non-United States person” defined under CFTC Rule 4.7(a)(1)(iv), but excluding, for purposes of subsection (D) thereof, the exception for qualified eligible persons who are not “Non-United States persons”, shall be considered a U.S. person), or (iv) a U.S. Person for purposes of the final rules implementing the credit risk retention requirements of Section 15G of the U.S. Securities Exchange Act of 1934, as amended.</w:t>
      </w:r>
    </w:p>
    <w:p w14:paraId="08C4E9FA" w14:textId="77777777" w:rsidR="00BA2020" w:rsidRPr="00E65655" w:rsidRDefault="00BA2020" w:rsidP="00BA2020">
      <w:pPr>
        <w:pStyle w:val="Heading2"/>
        <w:keepNext w:val="0"/>
        <w:spacing w:after="140" w:line="290" w:lineRule="auto"/>
        <w:jc w:val="left"/>
        <w:rPr>
          <w:rFonts w:ascii="Arial" w:hAnsi="Arial" w:cs="Arial"/>
          <w:b w:val="0"/>
        </w:rPr>
      </w:pPr>
    </w:p>
    <w:p w14:paraId="336D119A" w14:textId="35FEE981" w:rsidR="00B10BD3" w:rsidRPr="00E65655" w:rsidRDefault="00B10BD3" w:rsidP="0035736B">
      <w:pPr>
        <w:pStyle w:val="PlainText"/>
        <w:keepNext/>
        <w:pageBreakBefore/>
        <w:spacing w:line="290" w:lineRule="auto"/>
        <w:jc w:val="center"/>
        <w:rPr>
          <w:rFonts w:ascii="Arial" w:hAnsi="Arial" w:cs="Arial"/>
          <w:b/>
        </w:rPr>
        <w:sectPr w:rsidR="00B10BD3" w:rsidRPr="00E65655" w:rsidSect="00F03E04">
          <w:footerReference w:type="default" r:id="rId23"/>
          <w:pgSz w:w="11909" w:h="16834" w:code="9"/>
          <w:pgMar w:top="1440" w:right="1440" w:bottom="1440" w:left="1440" w:header="720" w:footer="720" w:gutter="0"/>
          <w:paperSrc w:first="265" w:other="265"/>
          <w:pgNumType w:start="1"/>
          <w:cols w:space="720"/>
          <w:titlePg/>
        </w:sectPr>
      </w:pPr>
    </w:p>
    <w:p w14:paraId="76A4DCFF" w14:textId="05416865" w:rsidR="00F13693" w:rsidRPr="00E65655" w:rsidRDefault="00F13693" w:rsidP="00F13693">
      <w:pPr>
        <w:pStyle w:val="BodyText20"/>
        <w:widowControl w:val="0"/>
        <w:spacing w:after="140" w:line="288" w:lineRule="auto"/>
        <w:jc w:val="center"/>
        <w:rPr>
          <w:rFonts w:ascii="Arial" w:eastAsiaTheme="minorEastAsia" w:hAnsi="Arial" w:cs="Arial"/>
        </w:rPr>
      </w:pPr>
      <w:r w:rsidRPr="00E65655">
        <w:rPr>
          <w:rFonts w:ascii="Arial" w:hAnsi="Arial" w:cs="Arial"/>
          <w:b/>
        </w:rPr>
        <w:lastRenderedPageBreak/>
        <w:t>APPENDIX</w:t>
      </w:r>
      <w:r w:rsidR="006F5652" w:rsidRPr="00E65655">
        <w:rPr>
          <w:rFonts w:ascii="Arial" w:eastAsiaTheme="minorEastAsia" w:hAnsi="Arial" w:cs="Arial" w:hint="eastAsia"/>
          <w:b/>
        </w:rPr>
        <w:t xml:space="preserve"> I</w:t>
      </w:r>
    </w:p>
    <w:p w14:paraId="561DD6F4" w14:textId="77777777" w:rsidR="00D45314" w:rsidRPr="00B3757B" w:rsidRDefault="00D45314" w:rsidP="00D45314">
      <w:pPr>
        <w:pStyle w:val="PlainText"/>
        <w:spacing w:line="290" w:lineRule="auto"/>
        <w:jc w:val="center"/>
        <w:rPr>
          <w:rFonts w:ascii="Arial" w:hAnsi="Arial" w:cs="Arial"/>
          <w:b/>
        </w:rPr>
      </w:pPr>
      <w:r w:rsidRPr="00B3757B">
        <w:rPr>
          <w:rFonts w:ascii="Arial" w:hAnsi="Arial" w:cs="Arial"/>
          <w:b/>
        </w:rPr>
        <w:t xml:space="preserve">REPRODUCTION OF </w:t>
      </w:r>
    </w:p>
    <w:p w14:paraId="51CC3DD5" w14:textId="77777777" w:rsidR="00D45314" w:rsidRPr="00B3757B" w:rsidRDefault="00D45314" w:rsidP="00D45314">
      <w:pPr>
        <w:pStyle w:val="PlainText"/>
        <w:spacing w:line="290" w:lineRule="auto"/>
        <w:jc w:val="center"/>
        <w:rPr>
          <w:rFonts w:ascii="Arial" w:hAnsi="Arial" w:cs="Arial"/>
          <w:b/>
          <w:lang w:eastAsia="zh-CN"/>
        </w:rPr>
      </w:pPr>
      <w:r w:rsidRPr="00B3757B">
        <w:rPr>
          <w:rFonts w:ascii="Arial" w:hAnsi="Arial" w:cs="Arial"/>
          <w:b/>
        </w:rPr>
        <w:t>THE</w:t>
      </w:r>
      <w:r w:rsidRPr="00B3757B">
        <w:rPr>
          <w:rFonts w:ascii="Arial" w:hAnsi="Arial" w:cs="Arial" w:hint="eastAsia"/>
          <w:b/>
          <w:lang w:eastAsia="zh-CN"/>
        </w:rPr>
        <w:t xml:space="preserve"> AUDITED</w:t>
      </w:r>
      <w:r w:rsidRPr="00B3757B">
        <w:rPr>
          <w:rFonts w:ascii="Arial" w:hAnsi="Arial" w:cs="Arial"/>
          <w:b/>
        </w:rPr>
        <w:t xml:space="preserve"> </w:t>
      </w:r>
      <w:r w:rsidRPr="00B3757B">
        <w:rPr>
          <w:rFonts w:ascii="Arial" w:hAnsi="Arial" w:cs="Arial" w:hint="eastAsia"/>
          <w:b/>
          <w:lang w:eastAsia="zh-CN"/>
        </w:rPr>
        <w:t xml:space="preserve">CONSOLIDATED </w:t>
      </w:r>
      <w:r w:rsidRPr="00B3757B">
        <w:rPr>
          <w:rFonts w:ascii="Arial" w:hAnsi="Arial" w:cs="Arial"/>
          <w:b/>
        </w:rPr>
        <w:t xml:space="preserve">FINANCIAL </w:t>
      </w:r>
      <w:r w:rsidRPr="00B3757B">
        <w:rPr>
          <w:rFonts w:ascii="Arial" w:hAnsi="Arial" w:cs="Arial" w:hint="eastAsia"/>
          <w:b/>
          <w:lang w:eastAsia="zh-CN"/>
        </w:rPr>
        <w:t>STATEMENTS</w:t>
      </w:r>
    </w:p>
    <w:p w14:paraId="236D0380" w14:textId="77777777" w:rsidR="00D45314" w:rsidRPr="00B3757B" w:rsidRDefault="00D45314" w:rsidP="00D45314">
      <w:pPr>
        <w:pStyle w:val="PlainText"/>
        <w:spacing w:line="290" w:lineRule="auto"/>
        <w:jc w:val="center"/>
        <w:rPr>
          <w:rFonts w:ascii="Arial" w:hAnsi="Arial" w:cs="Arial"/>
          <w:b/>
        </w:rPr>
      </w:pPr>
      <w:r w:rsidRPr="00B3757B">
        <w:rPr>
          <w:rFonts w:ascii="Arial" w:hAnsi="Arial" w:cs="Arial"/>
          <w:b/>
        </w:rPr>
        <w:t xml:space="preserve">FOR THE </w:t>
      </w:r>
      <w:r w:rsidRPr="00B3757B">
        <w:rPr>
          <w:rFonts w:ascii="Arial" w:hAnsi="Arial" w:cs="Arial" w:hint="eastAsia"/>
          <w:b/>
          <w:lang w:eastAsia="zh-CN"/>
        </w:rPr>
        <w:t xml:space="preserve">FINANCIAL YEAR </w:t>
      </w:r>
      <w:r w:rsidRPr="00B3757B">
        <w:rPr>
          <w:rFonts w:ascii="Arial" w:hAnsi="Arial" w:cs="Arial"/>
          <w:b/>
        </w:rPr>
        <w:t>ENDED 3</w:t>
      </w:r>
      <w:r w:rsidRPr="00B3757B">
        <w:rPr>
          <w:rFonts w:ascii="Arial" w:hAnsi="Arial" w:cs="Arial" w:hint="eastAsia"/>
          <w:b/>
          <w:lang w:eastAsia="zh-CN"/>
        </w:rPr>
        <w:t>1 DECEMBER</w:t>
      </w:r>
      <w:r w:rsidRPr="00B3757B">
        <w:rPr>
          <w:rFonts w:ascii="Arial" w:hAnsi="Arial" w:cs="Arial"/>
          <w:b/>
        </w:rPr>
        <w:t xml:space="preserve"> 2025 OF</w:t>
      </w:r>
    </w:p>
    <w:p w14:paraId="282C074A" w14:textId="77777777" w:rsidR="00D45314" w:rsidRPr="00B3757B" w:rsidRDefault="00D45314" w:rsidP="00D45314">
      <w:pPr>
        <w:pStyle w:val="PlainText"/>
        <w:spacing w:line="290" w:lineRule="auto"/>
        <w:jc w:val="center"/>
        <w:rPr>
          <w:rFonts w:ascii="Arial" w:hAnsi="Arial" w:cs="Arial"/>
          <w:b/>
        </w:rPr>
      </w:pPr>
      <w:r w:rsidRPr="00B3757B">
        <w:rPr>
          <w:rFonts w:ascii="Arial" w:hAnsi="Arial" w:cs="Arial"/>
          <w:b/>
          <w:lang w:val="en-US" w:eastAsia="zh-CN"/>
        </w:rPr>
        <w:t xml:space="preserve">YANGZIJIANG SHIPBUILDING (HOLDINGS) LTD. </w:t>
      </w:r>
      <w:r w:rsidRPr="00B3757B">
        <w:rPr>
          <w:rFonts w:ascii="Arial" w:hAnsi="Arial" w:cs="Arial"/>
          <w:b/>
        </w:rPr>
        <w:t>AND ITS SUBSIDIARIES</w:t>
      </w:r>
    </w:p>
    <w:p w14:paraId="3C2067CB" w14:textId="77777777" w:rsidR="00D45314" w:rsidRPr="00B3757B" w:rsidRDefault="00D45314" w:rsidP="00D45314">
      <w:pPr>
        <w:pStyle w:val="PlainText"/>
        <w:spacing w:line="290" w:lineRule="auto"/>
        <w:jc w:val="center"/>
        <w:rPr>
          <w:rFonts w:ascii="Arial" w:hAnsi="Arial" w:cs="Arial"/>
          <w:b/>
        </w:rPr>
      </w:pPr>
    </w:p>
    <w:p w14:paraId="423A9C48" w14:textId="77777777" w:rsidR="00D45314" w:rsidRPr="00853C03" w:rsidRDefault="00D45314" w:rsidP="00D45314">
      <w:pPr>
        <w:widowControl w:val="0"/>
        <w:spacing w:after="140" w:line="290" w:lineRule="auto"/>
        <w:jc w:val="both"/>
        <w:rPr>
          <w:rFonts w:cs="Arial"/>
        </w:rPr>
      </w:pPr>
      <w:r w:rsidRPr="00B3757B">
        <w:rPr>
          <w:rFonts w:cs="Arial"/>
        </w:rPr>
        <w:t xml:space="preserve">The information set out below is a reproduction of </w:t>
      </w:r>
      <w:r w:rsidRPr="00B3757B">
        <w:rPr>
          <w:snapToGrid w:val="0"/>
        </w:rPr>
        <w:t xml:space="preserve">the </w:t>
      </w:r>
      <w:r w:rsidRPr="00B3757B">
        <w:rPr>
          <w:rFonts w:hint="eastAsia"/>
          <w:snapToGrid w:val="0"/>
          <w:lang w:eastAsia="zh-CN"/>
        </w:rPr>
        <w:t>audited</w:t>
      </w:r>
      <w:r>
        <w:rPr>
          <w:rFonts w:hint="eastAsia"/>
          <w:snapToGrid w:val="0"/>
          <w:lang w:eastAsia="zh-CN"/>
        </w:rPr>
        <w:t xml:space="preserve"> consolidated</w:t>
      </w:r>
      <w:r w:rsidRPr="00B3757B">
        <w:rPr>
          <w:rFonts w:cs="Arial"/>
          <w:bCs/>
        </w:rPr>
        <w:t xml:space="preserve"> financial </w:t>
      </w:r>
      <w:r w:rsidRPr="00B3757B">
        <w:rPr>
          <w:rFonts w:cs="Arial" w:hint="eastAsia"/>
          <w:bCs/>
          <w:lang w:eastAsia="zh-CN"/>
        </w:rPr>
        <w:t>statements</w:t>
      </w:r>
      <w:r w:rsidRPr="00B3757B">
        <w:rPr>
          <w:snapToGrid w:val="0"/>
        </w:rPr>
        <w:t xml:space="preserve"> of the Company and its subsidiaries</w:t>
      </w:r>
      <w:r w:rsidRPr="00B3757B">
        <w:rPr>
          <w:rFonts w:hint="eastAsia"/>
          <w:snapToGrid w:val="0"/>
          <w:lang w:eastAsia="zh-CN"/>
        </w:rPr>
        <w:t xml:space="preserve"> for the</w:t>
      </w:r>
      <w:r w:rsidRPr="00B3757B">
        <w:rPr>
          <w:snapToGrid w:val="0"/>
        </w:rPr>
        <w:t xml:space="preserve"> </w:t>
      </w:r>
      <w:r w:rsidRPr="00B3757B">
        <w:rPr>
          <w:rFonts w:hint="eastAsia"/>
          <w:snapToGrid w:val="0"/>
          <w:lang w:eastAsia="zh-CN"/>
        </w:rPr>
        <w:t xml:space="preserve">financial year </w:t>
      </w:r>
      <w:r w:rsidRPr="00B3757B">
        <w:rPr>
          <w:rFonts w:cs="Arial"/>
          <w:bCs/>
        </w:rPr>
        <w:t>ended 3</w:t>
      </w:r>
      <w:r w:rsidRPr="00B3757B">
        <w:rPr>
          <w:rFonts w:cs="Arial" w:hint="eastAsia"/>
          <w:bCs/>
          <w:lang w:eastAsia="zh-CN"/>
        </w:rPr>
        <w:t>1 December</w:t>
      </w:r>
      <w:r w:rsidRPr="00B3757B" w:rsidDel="002E1255">
        <w:rPr>
          <w:snapToGrid w:val="0"/>
        </w:rPr>
        <w:t xml:space="preserve"> </w:t>
      </w:r>
      <w:r w:rsidRPr="00B3757B">
        <w:rPr>
          <w:snapToGrid w:val="0"/>
        </w:rPr>
        <w:t xml:space="preserve">2025 and has been extracted and reproduced from an announcement by the Company </w:t>
      </w:r>
      <w:r>
        <w:rPr>
          <w:rFonts w:hint="eastAsia"/>
          <w:snapToGrid w:val="0"/>
          <w:lang w:eastAsia="zh-CN"/>
        </w:rPr>
        <w:t>released on</w:t>
      </w:r>
      <w:r w:rsidRPr="00B3757B">
        <w:rPr>
          <w:rFonts w:hint="eastAsia"/>
          <w:snapToGrid w:val="0"/>
          <w:lang w:eastAsia="zh-CN"/>
        </w:rPr>
        <w:t xml:space="preserve"> </w:t>
      </w:r>
      <w:r>
        <w:rPr>
          <w:rFonts w:hint="eastAsia"/>
          <w:snapToGrid w:val="0"/>
          <w:lang w:eastAsia="zh-CN"/>
        </w:rPr>
        <w:t>9</w:t>
      </w:r>
      <w:r w:rsidRPr="00B3757B">
        <w:rPr>
          <w:rFonts w:hint="eastAsia"/>
          <w:snapToGrid w:val="0"/>
          <w:lang w:eastAsia="zh-CN"/>
        </w:rPr>
        <w:t xml:space="preserve"> April</w:t>
      </w:r>
      <w:r w:rsidRPr="00B3757B">
        <w:rPr>
          <w:snapToGrid w:val="0"/>
        </w:rPr>
        <w:t xml:space="preserve"> 2026 in relation to the same</w:t>
      </w:r>
      <w:r w:rsidRPr="00B3757B">
        <w:rPr>
          <w:rFonts w:cs="Arial"/>
        </w:rPr>
        <w:t>.</w:t>
      </w:r>
    </w:p>
    <w:p w14:paraId="59C69581" w14:textId="77777777" w:rsidR="006F5652" w:rsidRPr="00E65655" w:rsidRDefault="006F5652">
      <w:pPr>
        <w:rPr>
          <w:snapToGrid w:val="0"/>
        </w:rPr>
      </w:pPr>
      <w:r w:rsidRPr="00E65655">
        <w:rPr>
          <w:snapToGrid w:val="0"/>
        </w:rPr>
        <w:br w:type="page"/>
      </w:r>
    </w:p>
    <w:p w14:paraId="3EBA3CA9" w14:textId="77777777" w:rsidR="00303F4A" w:rsidRPr="00E65655" w:rsidRDefault="00303F4A" w:rsidP="00303F4A">
      <w:pPr>
        <w:pageBreakBefore/>
        <w:widowControl w:val="0"/>
        <w:spacing w:line="290" w:lineRule="auto"/>
        <w:jc w:val="center"/>
        <w:rPr>
          <w:rFonts w:cs="Arial"/>
          <w:b/>
          <w:lang w:eastAsia="zh-CN"/>
        </w:rPr>
      </w:pPr>
      <w:r w:rsidRPr="00E65655">
        <w:rPr>
          <w:rFonts w:cs="Arial" w:hint="eastAsia"/>
          <w:b/>
          <w:lang w:eastAsia="zh-CN"/>
        </w:rPr>
        <w:lastRenderedPageBreak/>
        <w:t>A</w:t>
      </w:r>
      <w:r w:rsidRPr="00E65655">
        <w:rPr>
          <w:rFonts w:cs="Arial"/>
          <w:b/>
          <w:lang w:eastAsia="zh-CN"/>
        </w:rPr>
        <w:t>PPENDIX II</w:t>
      </w:r>
    </w:p>
    <w:p w14:paraId="09B607B3" w14:textId="77777777" w:rsidR="00303F4A" w:rsidRPr="00E65655" w:rsidRDefault="00303F4A" w:rsidP="00303F4A">
      <w:pPr>
        <w:pStyle w:val="BodyText20"/>
        <w:widowControl w:val="0"/>
        <w:spacing w:line="290" w:lineRule="auto"/>
        <w:rPr>
          <w:rFonts w:ascii="Arial" w:eastAsia="SimSun" w:hAnsi="Arial" w:cs="Arial"/>
          <w:bCs/>
          <w:kern w:val="0"/>
          <w:szCs w:val="24"/>
          <w:lang w:val="en-GB" w:eastAsia="en-US"/>
        </w:rPr>
      </w:pPr>
    </w:p>
    <w:p w14:paraId="27520B83" w14:textId="77777777" w:rsidR="00303F4A" w:rsidRPr="00E65655" w:rsidRDefault="00303F4A" w:rsidP="00303F4A">
      <w:pPr>
        <w:spacing w:line="290" w:lineRule="auto"/>
        <w:jc w:val="center"/>
        <w:rPr>
          <w:rFonts w:cs="Arial"/>
          <w:b/>
        </w:rPr>
      </w:pPr>
      <w:r w:rsidRPr="00E65655">
        <w:rPr>
          <w:rFonts w:cs="Arial"/>
          <w:b/>
        </w:rPr>
        <w:t xml:space="preserve">REPRODUCTION OF THE ISSUER’S CONDENSED INTERIM FINANCIAL STATEMENTS </w:t>
      </w:r>
    </w:p>
    <w:p w14:paraId="11905DE2" w14:textId="77777777" w:rsidR="00303F4A" w:rsidRPr="00E65655" w:rsidRDefault="00303F4A" w:rsidP="00303F4A">
      <w:pPr>
        <w:spacing w:line="290" w:lineRule="auto"/>
        <w:jc w:val="center"/>
        <w:rPr>
          <w:rFonts w:cs="Arial"/>
          <w:b/>
        </w:rPr>
      </w:pPr>
      <w:r w:rsidRPr="00E65655">
        <w:rPr>
          <w:rFonts w:cs="Arial"/>
          <w:b/>
        </w:rPr>
        <w:t>AS AT AND FOR THE SIX-MONTH PERIOD ENDED 30 JUNE 2025</w:t>
      </w:r>
    </w:p>
    <w:p w14:paraId="6A6E70E7" w14:textId="77777777" w:rsidR="00303F4A" w:rsidRPr="00E65655" w:rsidRDefault="00303F4A" w:rsidP="00303F4A">
      <w:pPr>
        <w:rPr>
          <w:rFonts w:cs="Arial"/>
        </w:rPr>
      </w:pPr>
    </w:p>
    <w:p w14:paraId="29EE4AE6" w14:textId="77777777" w:rsidR="00303F4A" w:rsidRPr="00E65655" w:rsidRDefault="00303F4A" w:rsidP="00303F4A">
      <w:pPr>
        <w:rPr>
          <w:rFonts w:cs="Arial"/>
          <w:b/>
          <w:lang w:eastAsia="zh-CN"/>
        </w:rPr>
      </w:pPr>
      <w:r w:rsidRPr="00E65655">
        <w:rPr>
          <w:rFonts w:cs="Arial"/>
        </w:rPr>
        <w:t xml:space="preserve">The information set out below is a reproduction of </w:t>
      </w:r>
      <w:r w:rsidRPr="00E65655">
        <w:rPr>
          <w:rFonts w:cs="Arial"/>
          <w:szCs w:val="20"/>
        </w:rPr>
        <w:t>the Issuer’s condensed interim financial statements as at and for the six-month period ended 30 June 2025.</w:t>
      </w:r>
    </w:p>
    <w:p w14:paraId="74062B67" w14:textId="25128D45" w:rsidR="00541F11" w:rsidRPr="00E65655" w:rsidRDefault="00541F11" w:rsidP="00796D8F">
      <w:pPr>
        <w:widowControl w:val="0"/>
        <w:spacing w:after="140" w:line="290" w:lineRule="auto"/>
        <w:jc w:val="both"/>
        <w:rPr>
          <w:rFonts w:cs="Arial"/>
        </w:rPr>
      </w:pPr>
    </w:p>
    <w:p w14:paraId="052D6CB6" w14:textId="2C810E40" w:rsidR="00303F4A" w:rsidRPr="00E65655" w:rsidRDefault="002D3192">
      <w:pPr>
        <w:rPr>
          <w:rFonts w:cs="Arial"/>
        </w:rPr>
      </w:pPr>
      <w:r w:rsidRPr="00E65655">
        <w:rPr>
          <w:rFonts w:cs="Arial"/>
        </w:rPr>
        <w:br w:type="page"/>
      </w:r>
    </w:p>
    <w:p w14:paraId="17075E99" w14:textId="77777777" w:rsidR="006C5463" w:rsidRPr="00E65655" w:rsidRDefault="006C5463" w:rsidP="006C5463">
      <w:pPr>
        <w:pageBreakBefore/>
        <w:widowControl w:val="0"/>
        <w:spacing w:line="290" w:lineRule="auto"/>
        <w:jc w:val="center"/>
        <w:rPr>
          <w:rFonts w:cs="Arial"/>
          <w:b/>
          <w:lang w:eastAsia="zh-CN"/>
        </w:rPr>
      </w:pPr>
      <w:r w:rsidRPr="00E65655">
        <w:rPr>
          <w:rFonts w:cs="Arial" w:hint="eastAsia"/>
          <w:b/>
          <w:lang w:eastAsia="zh-CN"/>
        </w:rPr>
        <w:lastRenderedPageBreak/>
        <w:t>A</w:t>
      </w:r>
      <w:r w:rsidRPr="00E65655">
        <w:rPr>
          <w:rFonts w:cs="Arial"/>
          <w:b/>
          <w:lang w:eastAsia="zh-CN"/>
        </w:rPr>
        <w:t>PPENDIX III</w:t>
      </w:r>
    </w:p>
    <w:p w14:paraId="10C4DBE4" w14:textId="77777777" w:rsidR="006C5463" w:rsidRPr="00E65655" w:rsidRDefault="006C5463" w:rsidP="006C5463">
      <w:pPr>
        <w:widowControl w:val="0"/>
        <w:spacing w:line="290" w:lineRule="auto"/>
        <w:jc w:val="center"/>
        <w:rPr>
          <w:rFonts w:cs="Arial"/>
        </w:rPr>
      </w:pPr>
    </w:p>
    <w:p w14:paraId="08B882BD" w14:textId="77777777" w:rsidR="0008120E" w:rsidRDefault="0008120E" w:rsidP="0008120E">
      <w:pPr>
        <w:spacing w:line="290" w:lineRule="auto"/>
        <w:jc w:val="center"/>
        <w:rPr>
          <w:rFonts w:cs="Arial"/>
          <w:b/>
        </w:rPr>
      </w:pPr>
      <w:r w:rsidRPr="00B476F2">
        <w:rPr>
          <w:rFonts w:cs="Arial"/>
          <w:b/>
        </w:rPr>
        <w:t xml:space="preserve">REPRODUCTION OF THE GUARANTOR’S </w:t>
      </w:r>
      <w:r>
        <w:rPr>
          <w:rFonts w:cs="Arial" w:hint="eastAsia"/>
          <w:b/>
          <w:lang w:eastAsia="zh-CN"/>
        </w:rPr>
        <w:t xml:space="preserve">AUDITED </w:t>
      </w:r>
      <w:r w:rsidRPr="00B476F2">
        <w:rPr>
          <w:rFonts w:cs="Arial"/>
          <w:b/>
        </w:rPr>
        <w:t xml:space="preserve">CONSOLIDATED </w:t>
      </w:r>
    </w:p>
    <w:p w14:paraId="297C5258" w14:textId="77777777" w:rsidR="0008120E" w:rsidRPr="00B476F2" w:rsidRDefault="0008120E" w:rsidP="0008120E">
      <w:pPr>
        <w:spacing w:line="290" w:lineRule="auto"/>
        <w:jc w:val="center"/>
        <w:rPr>
          <w:rFonts w:cs="Arial"/>
          <w:b/>
          <w:lang w:eastAsia="zh-CN"/>
        </w:rPr>
      </w:pPr>
      <w:r w:rsidRPr="00B476F2">
        <w:rPr>
          <w:rFonts w:cs="Arial"/>
          <w:b/>
        </w:rPr>
        <w:t xml:space="preserve">FINANCIAL </w:t>
      </w:r>
      <w:r>
        <w:rPr>
          <w:rFonts w:cs="Arial" w:hint="eastAsia"/>
          <w:b/>
          <w:lang w:eastAsia="zh-CN"/>
        </w:rPr>
        <w:t>STATEMENTS</w:t>
      </w:r>
      <w:r w:rsidRPr="00B476F2">
        <w:rPr>
          <w:rFonts w:cs="Arial"/>
          <w:b/>
        </w:rPr>
        <w:t xml:space="preserve"> FOR THE YEAR ENDED 31 DECEMBER 202</w:t>
      </w:r>
      <w:r>
        <w:rPr>
          <w:rFonts w:cs="Arial"/>
          <w:b/>
        </w:rPr>
        <w:t>5</w:t>
      </w:r>
    </w:p>
    <w:p w14:paraId="216FD0F6" w14:textId="77777777" w:rsidR="0008120E" w:rsidRPr="00853C03" w:rsidRDefault="0008120E" w:rsidP="0008120E">
      <w:pPr>
        <w:widowControl w:val="0"/>
        <w:spacing w:line="290" w:lineRule="auto"/>
        <w:jc w:val="both"/>
        <w:rPr>
          <w:rFonts w:cs="Arial"/>
          <w:b/>
        </w:rPr>
      </w:pPr>
    </w:p>
    <w:p w14:paraId="59B042C9" w14:textId="77777777" w:rsidR="0008120E" w:rsidRPr="00C2157E" w:rsidRDefault="0008120E" w:rsidP="0008120E">
      <w:pPr>
        <w:jc w:val="both"/>
        <w:rPr>
          <w:rFonts w:cs="Arial"/>
          <w:szCs w:val="20"/>
        </w:rPr>
      </w:pPr>
      <w:r w:rsidRPr="00C2157E">
        <w:rPr>
          <w:rFonts w:cs="Arial"/>
          <w:szCs w:val="20"/>
        </w:rPr>
        <w:t>The information set out below is a reproduction of the Guarantor’s</w:t>
      </w:r>
      <w:r>
        <w:rPr>
          <w:rFonts w:cs="Arial" w:hint="eastAsia"/>
          <w:szCs w:val="20"/>
          <w:lang w:eastAsia="zh-CN"/>
        </w:rPr>
        <w:t xml:space="preserve"> audited</w:t>
      </w:r>
      <w:r w:rsidRPr="00C2157E">
        <w:rPr>
          <w:rFonts w:cs="Arial"/>
          <w:szCs w:val="20"/>
        </w:rPr>
        <w:t xml:space="preserve"> consolidated financial </w:t>
      </w:r>
      <w:r>
        <w:rPr>
          <w:rFonts w:cs="Arial" w:hint="eastAsia"/>
          <w:szCs w:val="20"/>
          <w:lang w:eastAsia="zh-CN"/>
        </w:rPr>
        <w:t>statements</w:t>
      </w:r>
      <w:r w:rsidRPr="00C2157E">
        <w:rPr>
          <w:rFonts w:cs="Arial"/>
          <w:szCs w:val="20"/>
        </w:rPr>
        <w:t xml:space="preserve"> for the year ended 31 December 2025.</w:t>
      </w:r>
    </w:p>
    <w:p w14:paraId="6A4E2956" w14:textId="1800CF10" w:rsidR="006C5463" w:rsidRPr="00E65655" w:rsidRDefault="006C5463" w:rsidP="006C5463">
      <w:pPr>
        <w:widowControl w:val="0"/>
        <w:spacing w:after="140" w:line="290" w:lineRule="auto"/>
        <w:jc w:val="both"/>
        <w:rPr>
          <w:rFonts w:cs="Arial"/>
        </w:rPr>
      </w:pPr>
      <w:r w:rsidRPr="00E65655">
        <w:rPr>
          <w:rFonts w:cs="Arial"/>
        </w:rPr>
        <w:br w:type="page"/>
      </w:r>
    </w:p>
    <w:p w14:paraId="2E390114" w14:textId="77777777" w:rsidR="00EC74CE" w:rsidRPr="00E65655" w:rsidRDefault="00EC74CE" w:rsidP="00A75F6C">
      <w:pPr>
        <w:pageBreakBefore/>
        <w:spacing w:line="290" w:lineRule="auto"/>
        <w:jc w:val="both"/>
        <w:rPr>
          <w:rFonts w:cs="Arial"/>
          <w:lang w:eastAsia="zh-CN"/>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158"/>
        <w:gridCol w:w="1884"/>
        <w:gridCol w:w="270"/>
        <w:gridCol w:w="2718"/>
      </w:tblGrid>
      <w:tr w:rsidR="00F7372B" w:rsidRPr="00E65655" w14:paraId="68961840" w14:textId="77777777" w:rsidTr="00AF1EF3">
        <w:trPr>
          <w:cantSplit/>
          <w:trHeight w:val="2619"/>
        </w:trPr>
        <w:tc>
          <w:tcPr>
            <w:tcW w:w="4128" w:type="dxa"/>
            <w:gridSpan w:val="2"/>
            <w:tcBorders>
              <w:top w:val="nil"/>
              <w:left w:val="nil"/>
              <w:bottom w:val="nil"/>
              <w:right w:val="nil"/>
            </w:tcBorders>
          </w:tcPr>
          <w:p w14:paraId="1A8C8CF6" w14:textId="77777777" w:rsidR="00F7372B" w:rsidRPr="00E65655" w:rsidRDefault="00F7372B" w:rsidP="00AF1EF3">
            <w:pPr>
              <w:spacing w:line="290" w:lineRule="auto"/>
              <w:rPr>
                <w:color w:val="000000"/>
                <w:szCs w:val="20"/>
              </w:rPr>
            </w:pPr>
          </w:p>
          <w:p w14:paraId="1D086B59" w14:textId="77777777" w:rsidR="00F7372B" w:rsidRPr="00E65655" w:rsidRDefault="00F7372B" w:rsidP="00AF1EF3">
            <w:pPr>
              <w:pageBreakBefore/>
              <w:widowControl w:val="0"/>
              <w:autoSpaceDE w:val="0"/>
              <w:autoSpaceDN w:val="0"/>
              <w:adjustRightInd w:val="0"/>
              <w:spacing w:line="290" w:lineRule="auto"/>
              <w:jc w:val="center"/>
              <w:rPr>
                <w:rFonts w:cs="Arial"/>
                <w:color w:val="000000"/>
                <w:szCs w:val="20"/>
              </w:rPr>
            </w:pPr>
            <w:r w:rsidRPr="00E65655">
              <w:rPr>
                <w:rFonts w:cs="Arial"/>
                <w:b/>
                <w:color w:val="000000"/>
                <w:szCs w:val="20"/>
              </w:rPr>
              <w:t>REGISTERED OFFICE OF THE ISSUER</w:t>
            </w:r>
            <w:r w:rsidRPr="00E65655">
              <w:rPr>
                <w:rFonts w:cs="Arial"/>
                <w:color w:val="000000"/>
                <w:szCs w:val="20"/>
              </w:rPr>
              <w:t xml:space="preserve"> </w:t>
            </w:r>
          </w:p>
          <w:p w14:paraId="670AEEBA" w14:textId="77777777" w:rsidR="00F7372B" w:rsidRPr="00E65655" w:rsidRDefault="00F7372B" w:rsidP="00AF1EF3">
            <w:pPr>
              <w:widowControl w:val="0"/>
              <w:spacing w:line="290" w:lineRule="auto"/>
              <w:jc w:val="center"/>
              <w:rPr>
                <w:rStyle w:val="DeltaViewInsertion"/>
                <w:color w:val="000000"/>
                <w:szCs w:val="20"/>
                <w:u w:val="none"/>
                <w:lang w:val="en-US"/>
              </w:rPr>
            </w:pPr>
          </w:p>
          <w:p w14:paraId="297534A8" w14:textId="77777777" w:rsidR="00F7372B" w:rsidRPr="00E65655" w:rsidRDefault="00F7372B" w:rsidP="00AF1EF3">
            <w:pPr>
              <w:widowControl w:val="0"/>
              <w:autoSpaceDE w:val="0"/>
              <w:autoSpaceDN w:val="0"/>
              <w:adjustRightInd w:val="0"/>
              <w:spacing w:line="290" w:lineRule="auto"/>
              <w:jc w:val="center"/>
              <w:rPr>
                <w:rStyle w:val="DeltaViewInsertion"/>
                <w:b/>
                <w:color w:val="000000"/>
                <w:szCs w:val="20"/>
                <w:u w:val="none"/>
                <w:lang w:val="en-US"/>
              </w:rPr>
            </w:pPr>
            <w:r w:rsidRPr="00E65655">
              <w:rPr>
                <w:rStyle w:val="DeltaViewInsertion"/>
                <w:b/>
                <w:color w:val="000000"/>
                <w:szCs w:val="20"/>
                <w:u w:val="none"/>
                <w:lang w:val="en-US"/>
              </w:rPr>
              <w:t>SG Issuer</w:t>
            </w:r>
          </w:p>
          <w:p w14:paraId="1071D7C4" w14:textId="77777777" w:rsidR="00F7372B" w:rsidRPr="00E65655" w:rsidRDefault="00F7372B" w:rsidP="00AF1EF3">
            <w:pPr>
              <w:widowControl w:val="0"/>
              <w:jc w:val="center"/>
              <w:rPr>
                <w:color w:val="000000"/>
                <w:w w:val="0"/>
                <w:szCs w:val="20"/>
                <w:lang w:val="fr-FR"/>
              </w:rPr>
            </w:pPr>
            <w:r w:rsidRPr="00E65655">
              <w:rPr>
                <w:color w:val="000000"/>
                <w:w w:val="0"/>
                <w:szCs w:val="20"/>
                <w:lang w:val="fr-FR"/>
              </w:rPr>
              <w:t xml:space="preserve">10, Porte de France, </w:t>
            </w:r>
          </w:p>
          <w:p w14:paraId="7A6F3FA9" w14:textId="77777777" w:rsidR="00F7372B" w:rsidRPr="00E65655" w:rsidRDefault="00F7372B" w:rsidP="00AF1EF3">
            <w:pPr>
              <w:widowControl w:val="0"/>
              <w:jc w:val="center"/>
              <w:rPr>
                <w:color w:val="000000"/>
                <w:w w:val="0"/>
                <w:szCs w:val="20"/>
                <w:lang w:val="fr-FR"/>
              </w:rPr>
            </w:pPr>
            <w:r w:rsidRPr="00E65655">
              <w:rPr>
                <w:color w:val="000000"/>
                <w:w w:val="0"/>
                <w:szCs w:val="20"/>
                <w:lang w:val="fr-FR"/>
              </w:rPr>
              <w:t>L-4360 Esch-sur-Alzette,</w:t>
            </w:r>
          </w:p>
          <w:p w14:paraId="18EA1ED9" w14:textId="77777777" w:rsidR="00F7372B" w:rsidRPr="00E65655" w:rsidRDefault="00F7372B" w:rsidP="00AF1EF3">
            <w:pPr>
              <w:spacing w:line="290" w:lineRule="auto"/>
              <w:jc w:val="center"/>
              <w:rPr>
                <w:rFonts w:cs="Arial"/>
                <w:color w:val="000000"/>
                <w:szCs w:val="20"/>
              </w:rPr>
            </w:pPr>
            <w:r w:rsidRPr="00E65655">
              <w:rPr>
                <w:color w:val="000000"/>
                <w:w w:val="0"/>
                <w:szCs w:val="20"/>
                <w:lang w:val="fr-FR"/>
              </w:rPr>
              <w:t>Luxembourg</w:t>
            </w:r>
            <w:bookmarkStart w:id="98" w:name="_DV_M1594"/>
            <w:bookmarkEnd w:id="98"/>
          </w:p>
          <w:p w14:paraId="68AE2666" w14:textId="77777777" w:rsidR="00F7372B" w:rsidRPr="00E65655" w:rsidRDefault="00F7372B" w:rsidP="00AF1EF3">
            <w:pPr>
              <w:spacing w:line="290" w:lineRule="auto"/>
              <w:jc w:val="center"/>
              <w:rPr>
                <w:color w:val="000000"/>
                <w:szCs w:val="20"/>
              </w:rPr>
            </w:pPr>
          </w:p>
        </w:tc>
        <w:tc>
          <w:tcPr>
            <w:tcW w:w="4872" w:type="dxa"/>
            <w:gridSpan w:val="3"/>
            <w:tcBorders>
              <w:top w:val="nil"/>
              <w:left w:val="nil"/>
              <w:bottom w:val="nil"/>
              <w:right w:val="nil"/>
            </w:tcBorders>
          </w:tcPr>
          <w:p w14:paraId="7C040067" w14:textId="77777777" w:rsidR="00F7372B" w:rsidRPr="00E65655" w:rsidRDefault="00F7372B" w:rsidP="00AF1EF3">
            <w:pPr>
              <w:spacing w:line="290" w:lineRule="auto"/>
              <w:jc w:val="center"/>
              <w:rPr>
                <w:color w:val="000000"/>
                <w:szCs w:val="20"/>
              </w:rPr>
            </w:pPr>
          </w:p>
          <w:p w14:paraId="40905818" w14:textId="77777777" w:rsidR="00F7372B" w:rsidRPr="00E65655" w:rsidRDefault="00F7372B" w:rsidP="00AF1EF3">
            <w:pPr>
              <w:pStyle w:val="Heading5"/>
              <w:spacing w:line="290" w:lineRule="auto"/>
              <w:rPr>
                <w:rFonts w:ascii="Arial" w:hAnsi="Arial" w:cs="Arial"/>
                <w:color w:val="000000"/>
              </w:rPr>
            </w:pPr>
            <w:r w:rsidRPr="00E65655">
              <w:rPr>
                <w:rFonts w:ascii="Arial" w:hAnsi="Arial" w:cs="Arial"/>
                <w:color w:val="000000"/>
              </w:rPr>
              <w:t>REGISTERED OFFICE OF THE GUARANTOR</w:t>
            </w:r>
          </w:p>
          <w:p w14:paraId="7C90611D" w14:textId="77777777" w:rsidR="00F7372B" w:rsidRPr="00E65655" w:rsidRDefault="00F7372B" w:rsidP="00AF1EF3">
            <w:pPr>
              <w:widowControl w:val="0"/>
              <w:spacing w:line="290" w:lineRule="auto"/>
              <w:jc w:val="center"/>
              <w:rPr>
                <w:rStyle w:val="DeltaViewInsertion"/>
                <w:color w:val="000000"/>
                <w:szCs w:val="20"/>
                <w:u w:val="none"/>
              </w:rPr>
            </w:pPr>
            <w:bookmarkStart w:id="99" w:name="_DV_C98"/>
          </w:p>
          <w:p w14:paraId="49EA91EA" w14:textId="77777777" w:rsidR="00F7372B" w:rsidRPr="00E65655" w:rsidRDefault="00F7372B" w:rsidP="00AF1EF3">
            <w:pPr>
              <w:widowControl w:val="0"/>
              <w:spacing w:line="290" w:lineRule="auto"/>
              <w:jc w:val="center"/>
              <w:rPr>
                <w:b/>
                <w:color w:val="000000"/>
                <w:szCs w:val="20"/>
              </w:rPr>
            </w:pPr>
            <w:r w:rsidRPr="00E65655">
              <w:rPr>
                <w:rStyle w:val="DeltaViewInsertion"/>
                <w:b/>
                <w:color w:val="000000"/>
                <w:szCs w:val="20"/>
                <w:u w:val="none"/>
              </w:rPr>
              <w:t>Societe Generale</w:t>
            </w:r>
            <w:bookmarkEnd w:id="99"/>
          </w:p>
          <w:p w14:paraId="46ECABED" w14:textId="77777777" w:rsidR="00F7372B" w:rsidRPr="00E65655" w:rsidRDefault="00F7372B" w:rsidP="00AF1EF3">
            <w:pPr>
              <w:widowControl w:val="0"/>
              <w:autoSpaceDE w:val="0"/>
              <w:autoSpaceDN w:val="0"/>
              <w:adjustRightInd w:val="0"/>
              <w:spacing w:line="290" w:lineRule="auto"/>
              <w:jc w:val="center"/>
              <w:rPr>
                <w:rFonts w:cs="Arial"/>
                <w:b/>
                <w:color w:val="000000"/>
                <w:szCs w:val="20"/>
              </w:rPr>
            </w:pPr>
            <w:r w:rsidRPr="00E65655">
              <w:rPr>
                <w:rFonts w:cs="Arial"/>
                <w:color w:val="000000"/>
                <w:szCs w:val="20"/>
              </w:rPr>
              <w:t>29, boulevard Haussmann</w:t>
            </w:r>
          </w:p>
          <w:p w14:paraId="008C8ED9" w14:textId="77777777" w:rsidR="00F7372B" w:rsidRPr="00E65655" w:rsidRDefault="00F7372B" w:rsidP="00AF1EF3">
            <w:pPr>
              <w:widowControl w:val="0"/>
              <w:autoSpaceDE w:val="0"/>
              <w:autoSpaceDN w:val="0"/>
              <w:adjustRightInd w:val="0"/>
              <w:spacing w:line="290" w:lineRule="auto"/>
              <w:jc w:val="center"/>
              <w:rPr>
                <w:rFonts w:cs="Arial"/>
                <w:color w:val="000000"/>
                <w:szCs w:val="20"/>
              </w:rPr>
            </w:pPr>
            <w:r w:rsidRPr="00E65655">
              <w:rPr>
                <w:rFonts w:cs="Arial"/>
                <w:color w:val="000000"/>
                <w:szCs w:val="20"/>
              </w:rPr>
              <w:t>75009 Paris</w:t>
            </w:r>
          </w:p>
          <w:p w14:paraId="2B50D5F4" w14:textId="77777777" w:rsidR="00F7372B" w:rsidRPr="00E65655" w:rsidRDefault="00F7372B" w:rsidP="00AF1EF3">
            <w:pPr>
              <w:widowControl w:val="0"/>
              <w:autoSpaceDE w:val="0"/>
              <w:autoSpaceDN w:val="0"/>
              <w:adjustRightInd w:val="0"/>
              <w:spacing w:line="290" w:lineRule="auto"/>
              <w:jc w:val="center"/>
              <w:rPr>
                <w:rFonts w:ascii="Times-Bold" w:hAnsi="Times-Bold"/>
                <w:b/>
                <w:color w:val="000000"/>
                <w:szCs w:val="20"/>
              </w:rPr>
            </w:pPr>
            <w:r w:rsidRPr="00E65655">
              <w:rPr>
                <w:rFonts w:cs="Arial"/>
                <w:color w:val="000000"/>
                <w:szCs w:val="20"/>
              </w:rPr>
              <w:t>France</w:t>
            </w:r>
          </w:p>
          <w:p w14:paraId="572CB12E" w14:textId="77777777" w:rsidR="00F7372B" w:rsidRPr="00E65655" w:rsidRDefault="00F7372B" w:rsidP="00AF1EF3">
            <w:pPr>
              <w:spacing w:line="290" w:lineRule="auto"/>
              <w:jc w:val="center"/>
              <w:rPr>
                <w:color w:val="000000"/>
                <w:szCs w:val="20"/>
              </w:rPr>
            </w:pPr>
          </w:p>
        </w:tc>
      </w:tr>
      <w:tr w:rsidR="00F7372B" w:rsidRPr="00E65655" w14:paraId="32CBEF44" w14:textId="77777777" w:rsidTr="00AF1EF3">
        <w:trPr>
          <w:cantSplit/>
          <w:trHeight w:val="612"/>
        </w:trPr>
        <w:tc>
          <w:tcPr>
            <w:tcW w:w="2970" w:type="dxa"/>
            <w:vMerge w:val="restart"/>
            <w:tcBorders>
              <w:top w:val="nil"/>
              <w:left w:val="nil"/>
              <w:bottom w:val="nil"/>
              <w:right w:val="nil"/>
            </w:tcBorders>
          </w:tcPr>
          <w:p w14:paraId="612D2C02" w14:textId="77777777" w:rsidR="00F7372B" w:rsidRPr="00E65655" w:rsidRDefault="00F7372B" w:rsidP="00AF1EF3">
            <w:pPr>
              <w:spacing w:line="290" w:lineRule="auto"/>
              <w:jc w:val="center"/>
              <w:rPr>
                <w:lang w:val="en-US"/>
              </w:rPr>
            </w:pPr>
          </w:p>
          <w:p w14:paraId="1CFE43FC" w14:textId="77777777" w:rsidR="00F7372B" w:rsidRPr="00E65655" w:rsidRDefault="00F7372B" w:rsidP="00AF1EF3">
            <w:pPr>
              <w:widowControl w:val="0"/>
              <w:autoSpaceDE w:val="0"/>
              <w:autoSpaceDN w:val="0"/>
              <w:adjustRightInd w:val="0"/>
              <w:spacing w:line="290" w:lineRule="auto"/>
              <w:jc w:val="center"/>
              <w:rPr>
                <w:rFonts w:cs="Arial"/>
                <w:b/>
                <w:color w:val="000000"/>
                <w:lang w:val="en-US"/>
              </w:rPr>
            </w:pPr>
            <w:r w:rsidRPr="00E65655">
              <w:rPr>
                <w:rFonts w:cs="Arial"/>
                <w:b/>
                <w:color w:val="000000"/>
                <w:lang w:val="en-US"/>
              </w:rPr>
              <w:t>ISSUER’S AUDITORS</w:t>
            </w:r>
          </w:p>
          <w:p w14:paraId="6182ECAB" w14:textId="77777777" w:rsidR="00F7372B" w:rsidRPr="00E65655" w:rsidRDefault="00F7372B" w:rsidP="00AF1EF3">
            <w:pPr>
              <w:widowControl w:val="0"/>
              <w:autoSpaceDE w:val="0"/>
              <w:autoSpaceDN w:val="0"/>
              <w:adjustRightInd w:val="0"/>
              <w:spacing w:line="290" w:lineRule="auto"/>
              <w:jc w:val="center"/>
              <w:rPr>
                <w:rFonts w:cs="Arial"/>
                <w:b/>
                <w:color w:val="000000"/>
                <w:lang w:val="en-US"/>
              </w:rPr>
            </w:pPr>
          </w:p>
          <w:p w14:paraId="76BE38F4" w14:textId="77777777" w:rsidR="00F7372B" w:rsidRPr="00E65655" w:rsidRDefault="00F7372B" w:rsidP="00AF1EF3">
            <w:pPr>
              <w:pStyle w:val="Heading5"/>
              <w:rPr>
                <w:rFonts w:cs="Arial"/>
                <w:szCs w:val="18"/>
                <w:lang w:val="en-US"/>
              </w:rPr>
            </w:pPr>
          </w:p>
          <w:p w14:paraId="7A9BEADD" w14:textId="77777777" w:rsidR="00F7372B" w:rsidRPr="00E65655" w:rsidRDefault="00F7372B" w:rsidP="00AF1EF3">
            <w:pPr>
              <w:widowControl w:val="0"/>
              <w:spacing w:after="60"/>
              <w:jc w:val="center"/>
              <w:rPr>
                <w:b/>
                <w:bCs/>
                <w:color w:val="000000"/>
                <w:w w:val="0"/>
                <w:szCs w:val="20"/>
                <w:lang w:val="en-US"/>
              </w:rPr>
            </w:pPr>
            <w:r w:rsidRPr="00E65655">
              <w:rPr>
                <w:b/>
                <w:bCs/>
                <w:color w:val="000000"/>
                <w:w w:val="0"/>
                <w:szCs w:val="20"/>
                <w:lang w:val="en-US"/>
              </w:rPr>
              <w:t>PricewaterhouseCoopers, Société coopérative</w:t>
            </w:r>
          </w:p>
          <w:p w14:paraId="4A8E14CC" w14:textId="77777777" w:rsidR="00F7372B" w:rsidRPr="00E65655" w:rsidRDefault="00F7372B" w:rsidP="00AF1EF3">
            <w:pPr>
              <w:spacing w:line="290" w:lineRule="auto"/>
              <w:ind w:left="360"/>
              <w:rPr>
                <w:color w:val="000000"/>
                <w:w w:val="0"/>
                <w:szCs w:val="20"/>
                <w:lang w:val="en-US"/>
              </w:rPr>
            </w:pPr>
            <w:r w:rsidRPr="00E65655">
              <w:rPr>
                <w:color w:val="000000"/>
                <w:w w:val="0"/>
                <w:szCs w:val="20"/>
                <w:lang w:val="en-US"/>
              </w:rPr>
              <w:t>2, rue Gerhard Mercator</w:t>
            </w:r>
          </w:p>
          <w:p w14:paraId="47C0C155" w14:textId="77777777" w:rsidR="00F7372B" w:rsidRPr="00E65655" w:rsidRDefault="00F7372B" w:rsidP="00AF1EF3">
            <w:pPr>
              <w:jc w:val="center"/>
              <w:rPr>
                <w:lang w:val="fr-FR"/>
              </w:rPr>
            </w:pPr>
            <w:r w:rsidRPr="00E65655">
              <w:rPr>
                <w:color w:val="000000"/>
                <w:w w:val="0"/>
                <w:szCs w:val="20"/>
                <w:lang w:val="en-US"/>
              </w:rPr>
              <w:t>L-2182 Luxembourg</w:t>
            </w:r>
          </w:p>
        </w:tc>
        <w:tc>
          <w:tcPr>
            <w:tcW w:w="6030" w:type="dxa"/>
            <w:gridSpan w:val="4"/>
            <w:tcBorders>
              <w:top w:val="nil"/>
              <w:left w:val="nil"/>
              <w:bottom w:val="nil"/>
              <w:right w:val="nil"/>
            </w:tcBorders>
          </w:tcPr>
          <w:p w14:paraId="48C5B0F2" w14:textId="77777777" w:rsidR="00F7372B" w:rsidRPr="00E65655" w:rsidRDefault="00F7372B" w:rsidP="00AF1EF3">
            <w:pPr>
              <w:spacing w:line="290" w:lineRule="auto"/>
              <w:jc w:val="center"/>
              <w:rPr>
                <w:b/>
                <w:lang w:val="fr-FR"/>
              </w:rPr>
            </w:pPr>
          </w:p>
          <w:p w14:paraId="6322104C" w14:textId="77777777" w:rsidR="00F7372B" w:rsidRPr="00E65655" w:rsidRDefault="00F7372B" w:rsidP="00AF1EF3">
            <w:pPr>
              <w:spacing w:line="290" w:lineRule="auto"/>
              <w:jc w:val="center"/>
              <w:rPr>
                <w:b/>
              </w:rPr>
            </w:pPr>
            <w:r w:rsidRPr="00E65655">
              <w:rPr>
                <w:b/>
              </w:rPr>
              <w:t>GUARANTOR’S STATUTORY AUDITORS</w:t>
            </w:r>
          </w:p>
          <w:p w14:paraId="2CD83264" w14:textId="77777777" w:rsidR="00F7372B" w:rsidRPr="00E65655" w:rsidRDefault="00F7372B" w:rsidP="00AF1EF3">
            <w:pPr>
              <w:spacing w:line="290" w:lineRule="auto"/>
              <w:jc w:val="center"/>
              <w:rPr>
                <w:b/>
              </w:rPr>
            </w:pPr>
          </w:p>
          <w:p w14:paraId="7D11E6B0" w14:textId="77777777" w:rsidR="00F7372B" w:rsidRPr="00E65655" w:rsidRDefault="00F7372B" w:rsidP="00AF1EF3">
            <w:pPr>
              <w:spacing w:line="290" w:lineRule="auto"/>
              <w:jc w:val="center"/>
              <w:rPr>
                <w:b/>
              </w:rPr>
            </w:pPr>
          </w:p>
        </w:tc>
      </w:tr>
      <w:tr w:rsidR="00F7372B" w:rsidRPr="00E65655" w14:paraId="32DB8B7F" w14:textId="77777777" w:rsidTr="00AF1EF3">
        <w:trPr>
          <w:cantSplit/>
          <w:trHeight w:val="1185"/>
        </w:trPr>
        <w:tc>
          <w:tcPr>
            <w:tcW w:w="2970" w:type="dxa"/>
            <w:vMerge/>
            <w:tcBorders>
              <w:top w:val="nil"/>
              <w:left w:val="nil"/>
              <w:bottom w:val="nil"/>
              <w:right w:val="nil"/>
            </w:tcBorders>
          </w:tcPr>
          <w:p w14:paraId="54A6CAF6" w14:textId="77777777" w:rsidR="00F7372B" w:rsidRPr="00E65655" w:rsidRDefault="00F7372B" w:rsidP="00AF1EF3">
            <w:pPr>
              <w:pStyle w:val="PlainText"/>
              <w:spacing w:line="290" w:lineRule="auto"/>
              <w:jc w:val="center"/>
              <w:rPr>
                <w:rFonts w:ascii="Arial" w:hAnsi="Arial"/>
                <w:b/>
              </w:rPr>
            </w:pPr>
          </w:p>
        </w:tc>
        <w:tc>
          <w:tcPr>
            <w:tcW w:w="3042" w:type="dxa"/>
            <w:gridSpan w:val="2"/>
            <w:tcBorders>
              <w:top w:val="nil"/>
              <w:left w:val="nil"/>
              <w:bottom w:val="nil"/>
              <w:right w:val="nil"/>
            </w:tcBorders>
          </w:tcPr>
          <w:p w14:paraId="1DC50F3E" w14:textId="77777777" w:rsidR="00F7372B" w:rsidRPr="00E65655" w:rsidRDefault="00F7372B" w:rsidP="00AF1EF3">
            <w:pPr>
              <w:spacing w:line="290" w:lineRule="auto"/>
              <w:jc w:val="center"/>
              <w:rPr>
                <w:rFonts w:cs="Arial"/>
                <w:b/>
                <w:szCs w:val="20"/>
                <w:lang w:val="fr-FR"/>
              </w:rPr>
            </w:pPr>
            <w:r w:rsidRPr="00E65655">
              <w:rPr>
                <w:rFonts w:cs="Arial"/>
                <w:b/>
                <w:szCs w:val="20"/>
                <w:lang w:val="fr-FR"/>
              </w:rPr>
              <w:t>KPMG S.A</w:t>
            </w:r>
          </w:p>
          <w:p w14:paraId="2BE68921" w14:textId="77777777" w:rsidR="00F7372B" w:rsidRPr="00E65655" w:rsidRDefault="00F7372B" w:rsidP="00AF1EF3">
            <w:pPr>
              <w:spacing w:line="290" w:lineRule="auto"/>
              <w:jc w:val="center"/>
              <w:rPr>
                <w:rFonts w:cs="Arial"/>
                <w:szCs w:val="20"/>
                <w:lang w:val="fr-FR"/>
              </w:rPr>
            </w:pPr>
            <w:r w:rsidRPr="00E65655">
              <w:rPr>
                <w:rFonts w:cs="Arial"/>
                <w:szCs w:val="20"/>
                <w:lang w:val="fr-FR"/>
              </w:rPr>
              <w:t>Tour Eqho - 2 avenue Gambetta</w:t>
            </w:r>
          </w:p>
          <w:p w14:paraId="46277507" w14:textId="77777777" w:rsidR="00F7372B" w:rsidRPr="00E65655" w:rsidRDefault="00F7372B" w:rsidP="00AF1EF3">
            <w:pPr>
              <w:spacing w:line="290" w:lineRule="auto"/>
              <w:jc w:val="center"/>
              <w:rPr>
                <w:rFonts w:cs="Arial"/>
                <w:szCs w:val="20"/>
                <w:lang w:val="fr-FR"/>
              </w:rPr>
            </w:pPr>
            <w:r w:rsidRPr="00E65655">
              <w:rPr>
                <w:rFonts w:cs="Arial"/>
                <w:szCs w:val="20"/>
                <w:lang w:val="fr-FR"/>
              </w:rPr>
              <w:t>92400 Courbevoie</w:t>
            </w:r>
          </w:p>
          <w:p w14:paraId="72C176AA" w14:textId="77777777" w:rsidR="00F7372B" w:rsidRPr="00E65655" w:rsidRDefault="00F7372B" w:rsidP="00AF1EF3">
            <w:pPr>
              <w:widowControl w:val="0"/>
              <w:autoSpaceDE w:val="0"/>
              <w:autoSpaceDN w:val="0"/>
              <w:adjustRightInd w:val="0"/>
              <w:spacing w:line="290" w:lineRule="auto"/>
              <w:jc w:val="center"/>
              <w:rPr>
                <w:lang w:val="fr-FR"/>
              </w:rPr>
            </w:pPr>
            <w:r w:rsidRPr="00E65655">
              <w:rPr>
                <w:rFonts w:cs="Arial"/>
                <w:lang w:val="fr-FR"/>
              </w:rPr>
              <w:t>France</w:t>
            </w:r>
          </w:p>
        </w:tc>
        <w:tc>
          <w:tcPr>
            <w:tcW w:w="270" w:type="dxa"/>
            <w:tcBorders>
              <w:top w:val="nil"/>
              <w:left w:val="nil"/>
              <w:bottom w:val="nil"/>
              <w:right w:val="nil"/>
            </w:tcBorders>
          </w:tcPr>
          <w:p w14:paraId="02F251E5" w14:textId="77777777" w:rsidR="00F7372B" w:rsidRPr="00E65655" w:rsidRDefault="00F7372B" w:rsidP="00AF1EF3">
            <w:pPr>
              <w:pStyle w:val="PlainText"/>
              <w:spacing w:line="290" w:lineRule="auto"/>
              <w:jc w:val="center"/>
              <w:rPr>
                <w:rFonts w:ascii="Arial" w:hAnsi="Arial"/>
                <w:lang w:val="fr-FR"/>
              </w:rPr>
            </w:pPr>
          </w:p>
        </w:tc>
        <w:tc>
          <w:tcPr>
            <w:tcW w:w="2718" w:type="dxa"/>
            <w:tcBorders>
              <w:top w:val="nil"/>
              <w:left w:val="nil"/>
              <w:bottom w:val="nil"/>
              <w:right w:val="nil"/>
            </w:tcBorders>
          </w:tcPr>
          <w:p w14:paraId="253C74AB" w14:textId="77777777" w:rsidR="00F7372B" w:rsidRPr="00E65655" w:rsidRDefault="00F7372B" w:rsidP="00AF1EF3">
            <w:pPr>
              <w:widowControl w:val="0"/>
              <w:autoSpaceDE w:val="0"/>
              <w:autoSpaceDN w:val="0"/>
              <w:adjustRightInd w:val="0"/>
              <w:spacing w:line="290" w:lineRule="auto"/>
              <w:jc w:val="center"/>
              <w:rPr>
                <w:rFonts w:cs="Arial"/>
                <w:b/>
                <w:color w:val="000000"/>
                <w:lang w:val="fr-FR"/>
              </w:rPr>
            </w:pPr>
            <w:r w:rsidRPr="00E65655">
              <w:rPr>
                <w:rFonts w:cs="Arial"/>
                <w:b/>
                <w:color w:val="000000"/>
                <w:lang w:val="fr-FR"/>
              </w:rPr>
              <w:t>PricewaterhouseCoopers Audit</w:t>
            </w:r>
          </w:p>
          <w:p w14:paraId="1B5479A0" w14:textId="77777777" w:rsidR="00F7372B" w:rsidRPr="00E65655" w:rsidRDefault="00F7372B" w:rsidP="00AF1EF3">
            <w:pPr>
              <w:widowControl w:val="0"/>
              <w:spacing w:line="290" w:lineRule="auto"/>
              <w:jc w:val="center"/>
              <w:rPr>
                <w:color w:val="000000"/>
                <w:w w:val="0"/>
                <w:szCs w:val="20"/>
                <w:lang w:val="fr-FR"/>
              </w:rPr>
            </w:pPr>
            <w:r w:rsidRPr="00E65655">
              <w:rPr>
                <w:color w:val="000000"/>
                <w:w w:val="0"/>
                <w:szCs w:val="20"/>
                <w:lang w:val="fr-FR"/>
              </w:rPr>
              <w:t>63 rue de Villiers</w:t>
            </w:r>
          </w:p>
          <w:p w14:paraId="12CAADC5" w14:textId="77777777" w:rsidR="00F7372B" w:rsidRPr="00E65655" w:rsidRDefault="00F7372B" w:rsidP="00AF1EF3">
            <w:pPr>
              <w:widowControl w:val="0"/>
              <w:spacing w:line="290" w:lineRule="auto"/>
              <w:jc w:val="center"/>
              <w:rPr>
                <w:rFonts w:cs="Arial"/>
                <w:color w:val="000000"/>
                <w:w w:val="0"/>
                <w:szCs w:val="20"/>
                <w:lang w:val="fr-FR"/>
              </w:rPr>
            </w:pPr>
            <w:r w:rsidRPr="00E65655">
              <w:rPr>
                <w:rFonts w:cs="Arial"/>
                <w:color w:val="000000"/>
                <w:w w:val="0"/>
                <w:szCs w:val="20"/>
                <w:lang w:val="fr-FR"/>
              </w:rPr>
              <w:t>92200 Neuilly-sur-Seine</w:t>
            </w:r>
          </w:p>
          <w:p w14:paraId="04790C5A" w14:textId="77777777" w:rsidR="00F7372B" w:rsidRPr="00E65655" w:rsidRDefault="00F7372B" w:rsidP="00AF1EF3">
            <w:pPr>
              <w:pStyle w:val="PlainText"/>
              <w:spacing w:line="290" w:lineRule="auto"/>
              <w:jc w:val="center"/>
              <w:rPr>
                <w:rFonts w:ascii="Arial" w:hAnsi="Arial"/>
                <w:lang w:val="fr-FR"/>
              </w:rPr>
            </w:pPr>
            <w:r w:rsidRPr="00E65655">
              <w:rPr>
                <w:rFonts w:ascii="Arial" w:hAnsi="Arial" w:cs="Arial"/>
                <w:color w:val="000000"/>
                <w:w w:val="0"/>
                <w:lang w:val="fr-FR"/>
              </w:rPr>
              <w:t>France</w:t>
            </w:r>
            <w:r w:rsidRPr="00E65655" w:rsidDel="00243517">
              <w:rPr>
                <w:rFonts w:cs="Arial"/>
                <w:b/>
                <w:color w:val="000000"/>
                <w:lang w:val="fr-FR"/>
              </w:rPr>
              <w:t xml:space="preserve"> </w:t>
            </w:r>
          </w:p>
        </w:tc>
      </w:tr>
      <w:tr w:rsidR="00F7372B" w:rsidRPr="00E65655" w14:paraId="77D85304" w14:textId="77777777" w:rsidTr="00AF1EF3">
        <w:trPr>
          <w:cantSplit/>
        </w:trPr>
        <w:tc>
          <w:tcPr>
            <w:tcW w:w="9000" w:type="dxa"/>
            <w:gridSpan w:val="5"/>
            <w:tcBorders>
              <w:top w:val="nil"/>
              <w:left w:val="nil"/>
              <w:bottom w:val="nil"/>
              <w:right w:val="nil"/>
            </w:tcBorders>
          </w:tcPr>
          <w:p w14:paraId="2B8366D2" w14:textId="77777777" w:rsidR="00F7372B" w:rsidRPr="00E65655" w:rsidRDefault="00F7372B" w:rsidP="00AF1EF3">
            <w:pPr>
              <w:spacing w:line="290" w:lineRule="auto"/>
              <w:jc w:val="center"/>
              <w:rPr>
                <w:lang w:val="en-US"/>
              </w:rPr>
            </w:pPr>
          </w:p>
          <w:p w14:paraId="6B0C5E67" w14:textId="77777777" w:rsidR="00F7372B" w:rsidRPr="00E65655" w:rsidRDefault="00F7372B" w:rsidP="00AF1EF3">
            <w:pPr>
              <w:spacing w:line="290" w:lineRule="auto"/>
              <w:jc w:val="center"/>
              <w:rPr>
                <w:lang w:val="en-US"/>
              </w:rPr>
            </w:pPr>
          </w:p>
          <w:p w14:paraId="548E86A2" w14:textId="77777777" w:rsidR="00F7372B" w:rsidRPr="00E65655" w:rsidRDefault="00F7372B" w:rsidP="00AF1EF3">
            <w:pPr>
              <w:pStyle w:val="Heading2"/>
              <w:spacing w:line="290" w:lineRule="auto"/>
              <w:jc w:val="center"/>
              <w:rPr>
                <w:rFonts w:ascii="Arial" w:hAnsi="Arial"/>
              </w:rPr>
            </w:pPr>
            <w:r w:rsidRPr="00E65655">
              <w:rPr>
                <w:rFonts w:ascii="Arial" w:hAnsi="Arial"/>
              </w:rPr>
              <w:t>WARRANT AGENT</w:t>
            </w:r>
          </w:p>
          <w:p w14:paraId="7ACFE05F" w14:textId="77777777" w:rsidR="00F7372B" w:rsidRPr="00E65655" w:rsidRDefault="00F7372B" w:rsidP="00AF1EF3">
            <w:pPr>
              <w:spacing w:line="290" w:lineRule="auto"/>
              <w:jc w:val="center"/>
            </w:pPr>
          </w:p>
          <w:p w14:paraId="13DF8F74" w14:textId="77777777" w:rsidR="00F7372B" w:rsidRPr="00E65655" w:rsidRDefault="00F7372B" w:rsidP="00AF1EF3">
            <w:pPr>
              <w:spacing w:line="290" w:lineRule="auto"/>
              <w:jc w:val="center"/>
              <w:rPr>
                <w:rFonts w:cs="Arial"/>
              </w:rPr>
            </w:pPr>
            <w:r w:rsidRPr="00E65655">
              <w:rPr>
                <w:b/>
                <w:bCs/>
              </w:rPr>
              <w:t>THE CENTRAL DEPOSITORY (PTE) LIMITED</w:t>
            </w:r>
          </w:p>
          <w:p w14:paraId="028F2132" w14:textId="77777777" w:rsidR="00F7372B" w:rsidRPr="00E65655" w:rsidRDefault="00F7372B" w:rsidP="00AF1EF3">
            <w:pPr>
              <w:tabs>
                <w:tab w:val="left" w:pos="720"/>
                <w:tab w:val="left" w:pos="1440"/>
              </w:tabs>
              <w:spacing w:line="290" w:lineRule="auto"/>
              <w:jc w:val="center"/>
              <w:rPr>
                <w:rFonts w:cs="Arial"/>
              </w:rPr>
            </w:pPr>
            <w:r w:rsidRPr="00E65655">
              <w:rPr>
                <w:rFonts w:cs="Arial"/>
              </w:rPr>
              <w:t>4 Shenton Way</w:t>
            </w:r>
          </w:p>
          <w:p w14:paraId="47F93CA7" w14:textId="77777777" w:rsidR="00F7372B" w:rsidRPr="00E65655" w:rsidRDefault="00F7372B" w:rsidP="00AF1EF3">
            <w:pPr>
              <w:tabs>
                <w:tab w:val="left" w:pos="720"/>
                <w:tab w:val="left" w:pos="1440"/>
              </w:tabs>
              <w:spacing w:line="290" w:lineRule="auto"/>
              <w:jc w:val="center"/>
              <w:rPr>
                <w:rFonts w:cs="Arial"/>
              </w:rPr>
            </w:pPr>
            <w:r w:rsidRPr="00E65655">
              <w:rPr>
                <w:rFonts w:cs="Arial"/>
              </w:rPr>
              <w:t>#02-01 SGX Centre 2</w:t>
            </w:r>
          </w:p>
          <w:p w14:paraId="3F98A312" w14:textId="77777777" w:rsidR="00F7372B" w:rsidRPr="00E65655" w:rsidRDefault="00F7372B" w:rsidP="00AF1EF3">
            <w:pPr>
              <w:pStyle w:val="PlainText"/>
              <w:spacing w:line="290" w:lineRule="auto"/>
              <w:jc w:val="center"/>
              <w:rPr>
                <w:rFonts w:ascii="Arial" w:hAnsi="Arial" w:cs="Arial"/>
              </w:rPr>
            </w:pPr>
            <w:r w:rsidRPr="00E65655">
              <w:rPr>
                <w:rFonts w:ascii="Arial" w:hAnsi="Arial" w:cs="Arial"/>
              </w:rPr>
              <w:t>Singapore 068807</w:t>
            </w:r>
          </w:p>
          <w:p w14:paraId="5DB4B032" w14:textId="77777777" w:rsidR="00F7372B" w:rsidRPr="00E65655" w:rsidRDefault="00F7372B" w:rsidP="00AF1EF3">
            <w:pPr>
              <w:spacing w:line="290" w:lineRule="auto"/>
              <w:jc w:val="center"/>
            </w:pPr>
          </w:p>
        </w:tc>
      </w:tr>
      <w:tr w:rsidR="00F7372B" w:rsidRPr="00D6787E" w14:paraId="0F24E7F0" w14:textId="77777777" w:rsidTr="00AF1EF3">
        <w:trPr>
          <w:cantSplit/>
        </w:trPr>
        <w:tc>
          <w:tcPr>
            <w:tcW w:w="9000" w:type="dxa"/>
            <w:gridSpan w:val="5"/>
            <w:tcBorders>
              <w:top w:val="nil"/>
              <w:left w:val="nil"/>
              <w:bottom w:val="nil"/>
              <w:right w:val="nil"/>
            </w:tcBorders>
          </w:tcPr>
          <w:p w14:paraId="40F5AD06" w14:textId="77777777" w:rsidR="00F7372B" w:rsidRPr="00E65655" w:rsidRDefault="00F7372B" w:rsidP="00AF1EF3">
            <w:pPr>
              <w:spacing w:line="290" w:lineRule="auto"/>
              <w:jc w:val="center"/>
            </w:pPr>
          </w:p>
          <w:p w14:paraId="2BFBA0AA" w14:textId="77777777" w:rsidR="00F7372B" w:rsidRPr="00E65655" w:rsidRDefault="00F7372B" w:rsidP="00AF1EF3">
            <w:pPr>
              <w:spacing w:line="290" w:lineRule="auto"/>
              <w:jc w:val="center"/>
            </w:pPr>
          </w:p>
          <w:p w14:paraId="6F4F594B" w14:textId="77777777" w:rsidR="00F7372B" w:rsidRPr="00E65655" w:rsidRDefault="00F7372B" w:rsidP="00AF1EF3">
            <w:pPr>
              <w:spacing w:line="290" w:lineRule="auto"/>
              <w:jc w:val="center"/>
            </w:pPr>
          </w:p>
          <w:p w14:paraId="522193A5" w14:textId="77777777" w:rsidR="00F7372B" w:rsidRPr="00E65655" w:rsidRDefault="00F7372B" w:rsidP="00AF1EF3">
            <w:pPr>
              <w:spacing w:line="290" w:lineRule="auto"/>
              <w:jc w:val="center"/>
              <w:rPr>
                <w:b/>
              </w:rPr>
            </w:pPr>
            <w:r w:rsidRPr="00E65655">
              <w:rPr>
                <w:b/>
              </w:rPr>
              <w:t>LEGAL ADVISERS TO THE ISSUER</w:t>
            </w:r>
          </w:p>
          <w:p w14:paraId="6D2A1574" w14:textId="77777777" w:rsidR="00F7372B" w:rsidRPr="00E65655" w:rsidRDefault="00F7372B" w:rsidP="00AF1EF3">
            <w:pPr>
              <w:spacing w:line="290" w:lineRule="auto"/>
              <w:jc w:val="center"/>
              <w:rPr>
                <w:i/>
              </w:rPr>
            </w:pPr>
            <w:r w:rsidRPr="00E65655">
              <w:rPr>
                <w:i/>
              </w:rPr>
              <w:t>(as to Singapore law)</w:t>
            </w:r>
          </w:p>
          <w:p w14:paraId="0285EE4B" w14:textId="77777777" w:rsidR="00F7372B" w:rsidRPr="00E65655" w:rsidRDefault="00F7372B" w:rsidP="00AF1EF3">
            <w:pPr>
              <w:spacing w:line="290" w:lineRule="auto"/>
              <w:jc w:val="center"/>
            </w:pPr>
          </w:p>
          <w:p w14:paraId="67135D21" w14:textId="77777777" w:rsidR="00F7372B" w:rsidRPr="00E65655" w:rsidRDefault="00F7372B" w:rsidP="00AF1EF3">
            <w:pPr>
              <w:pStyle w:val="Heading2"/>
              <w:spacing w:line="290" w:lineRule="auto"/>
              <w:jc w:val="center"/>
              <w:rPr>
                <w:rFonts w:ascii="Arial" w:hAnsi="Arial"/>
              </w:rPr>
            </w:pPr>
            <w:r w:rsidRPr="00E65655">
              <w:rPr>
                <w:rFonts w:ascii="Arial" w:hAnsi="Arial"/>
              </w:rPr>
              <w:t>ALLEN &amp; GLEDHILL LLP</w:t>
            </w:r>
          </w:p>
          <w:p w14:paraId="6CE8A96F" w14:textId="77777777" w:rsidR="00F7372B" w:rsidRPr="00E65655" w:rsidRDefault="00F7372B" w:rsidP="00AF1EF3">
            <w:pPr>
              <w:spacing w:line="290" w:lineRule="auto"/>
              <w:jc w:val="center"/>
            </w:pPr>
            <w:r w:rsidRPr="00E65655">
              <w:t xml:space="preserve">One Marina Boulevard #28-00 </w:t>
            </w:r>
          </w:p>
          <w:p w14:paraId="34B8EE20" w14:textId="77777777" w:rsidR="00F7372B" w:rsidRPr="00D6787E" w:rsidRDefault="00F7372B" w:rsidP="00AF1EF3">
            <w:pPr>
              <w:spacing w:line="290" w:lineRule="auto"/>
              <w:jc w:val="center"/>
            </w:pPr>
            <w:r w:rsidRPr="00E65655">
              <w:t>Singapore 018989</w:t>
            </w:r>
          </w:p>
          <w:p w14:paraId="3594238F" w14:textId="77777777" w:rsidR="00F7372B" w:rsidRPr="00D6787E" w:rsidRDefault="00F7372B" w:rsidP="00AF1EF3">
            <w:pPr>
              <w:spacing w:line="290" w:lineRule="auto"/>
              <w:jc w:val="center"/>
            </w:pPr>
          </w:p>
        </w:tc>
      </w:tr>
    </w:tbl>
    <w:p w14:paraId="1F7CF28E" w14:textId="77777777" w:rsidR="004F6E28" w:rsidRPr="00123231" w:rsidRDefault="004F6E28" w:rsidP="00123231">
      <w:pPr>
        <w:widowControl w:val="0"/>
      </w:pPr>
    </w:p>
    <w:sectPr w:rsidR="004F6E28" w:rsidRPr="00123231" w:rsidSect="00F03E04">
      <w:footerReference w:type="default" r:id="rId24"/>
      <w:pgSz w:w="11909" w:h="16834" w:code="9"/>
      <w:pgMar w:top="1440" w:right="1440" w:bottom="1440" w:left="1440" w:header="720" w:footer="720" w:gutter="0"/>
      <w:paperSrc w:first="265" w:other="26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049D" w14:textId="77777777" w:rsidR="00187794" w:rsidRDefault="00187794">
      <w:r>
        <w:separator/>
      </w:r>
    </w:p>
  </w:endnote>
  <w:endnote w:type="continuationSeparator" w:id="0">
    <w:p w14:paraId="03546816" w14:textId="77777777" w:rsidR="00187794" w:rsidRDefault="0018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imes-Bold">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
    <w:altName w:val="Courier New"/>
    <w:panose1 w:val="00000000000000000000"/>
    <w:charset w:val="00"/>
    <w:family w:val="auto"/>
    <w:notTrueType/>
    <w:pitch w:val="variable"/>
    <w:sig w:usb0="00000003" w:usb1="00000000" w:usb2="00000000" w:usb3="00000000" w:csb0="00000001" w:csb1="00000000"/>
  </w:font>
  <w:font w:name="華康中明體(P)">
    <w:altName w:val="Arial Unicode MS"/>
    <w:panose1 w:val="00000000000000000000"/>
    <w:charset w:val="88"/>
    <w:family w:val="roman"/>
    <w:notTrueType/>
    <w:pitch w:val="variable"/>
    <w:sig w:usb0="00000000" w:usb1="08080000" w:usb2="00000010" w:usb3="00000000" w:csb0="00100000" w:csb1="00000000"/>
  </w:font>
  <w:font w:name="HelveticaNeueLT Com 45 L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Bold">
    <w:altName w:val="Times New Roman"/>
    <w:panose1 w:val="00000000000000000000"/>
    <w:charset w:val="00"/>
    <w:family w:val="auto"/>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600833"/>
      <w:docPartObj>
        <w:docPartGallery w:val="Page Numbers (Bottom of Page)"/>
        <w:docPartUnique/>
      </w:docPartObj>
    </w:sdtPr>
    <w:sdtEndPr>
      <w:rPr>
        <w:noProof/>
      </w:rPr>
    </w:sdtEndPr>
    <w:sdtContent>
      <w:p w14:paraId="05B2E7E1" w14:textId="43EAC3C4" w:rsidR="004211B2" w:rsidRDefault="004211B2">
        <w:pPr>
          <w:pStyle w:val="Footer"/>
          <w:jc w:val="center"/>
        </w:pPr>
        <w:r>
          <w:fldChar w:fldCharType="begin"/>
        </w:r>
        <w:r>
          <w:instrText xml:space="preserve"> PAGE   \* MERGEFORMAT </w:instrText>
        </w:r>
        <w:r>
          <w:fldChar w:fldCharType="separate"/>
        </w:r>
        <w:r w:rsidR="005200EF">
          <w:rPr>
            <w:noProof/>
          </w:rPr>
          <w:t>2</w:t>
        </w:r>
        <w:r>
          <w:rPr>
            <w:noProof/>
          </w:rPr>
          <w:fldChar w:fldCharType="end"/>
        </w:r>
      </w:p>
    </w:sdtContent>
  </w:sdt>
  <w:p w14:paraId="3297FF0E" w14:textId="77777777" w:rsidR="004211B2" w:rsidRDefault="0042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184D" w14:textId="13102A39" w:rsidR="004211B2" w:rsidRDefault="004211B2">
    <w:pPr>
      <w:pStyle w:val="Footer"/>
      <w:jc w:val="center"/>
    </w:pPr>
  </w:p>
  <w:p w14:paraId="5AD1FF90" w14:textId="77777777" w:rsidR="004211B2" w:rsidRDefault="0042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7E0A" w14:textId="77777777" w:rsidR="00187794" w:rsidRDefault="00187794">
      <w:r>
        <w:separator/>
      </w:r>
    </w:p>
  </w:footnote>
  <w:footnote w:type="continuationSeparator" w:id="0">
    <w:p w14:paraId="5221F44D" w14:textId="77777777" w:rsidR="00187794" w:rsidRDefault="00187794">
      <w:r>
        <w:continuationSeparator/>
      </w:r>
    </w:p>
  </w:footnote>
  <w:footnote w:id="1">
    <w:p w14:paraId="65269C5A" w14:textId="77777777" w:rsidR="004211B2" w:rsidRPr="00045ED6" w:rsidRDefault="004211B2" w:rsidP="00E6406A">
      <w:pPr>
        <w:pStyle w:val="FootnoteText"/>
        <w:jc w:val="both"/>
        <w:rPr>
          <w:rFonts w:cs="Arial"/>
          <w:sz w:val="16"/>
          <w:szCs w:val="16"/>
        </w:rPr>
      </w:pPr>
      <w:r w:rsidRPr="00045ED6">
        <w:rPr>
          <w:rStyle w:val="FootnoteReference"/>
          <w:sz w:val="16"/>
          <w:szCs w:val="16"/>
        </w:rPr>
        <w:footnoteRef/>
      </w:r>
      <w:r w:rsidRPr="00045ED6">
        <w:rPr>
          <w:sz w:val="16"/>
          <w:szCs w:val="16"/>
        </w:rPr>
        <w:t xml:space="preserve"> </w:t>
      </w:r>
      <w:r w:rsidRPr="00045ED6">
        <w:rPr>
          <w:rFonts w:cs="Arial"/>
          <w:sz w:val="16"/>
          <w:szCs w:val="16"/>
        </w:rPr>
        <w:t>As defined in the Securities and Futures (Capital Markets Products) Regulations 2018.</w:t>
      </w:r>
    </w:p>
  </w:footnote>
  <w:footnote w:id="2">
    <w:p w14:paraId="15490875" w14:textId="77777777" w:rsidR="004211B2" w:rsidRPr="00045ED6" w:rsidRDefault="004211B2" w:rsidP="00E6406A">
      <w:pPr>
        <w:pStyle w:val="FootnoteText"/>
        <w:jc w:val="both"/>
        <w:rPr>
          <w:rFonts w:cs="Arial"/>
          <w:sz w:val="16"/>
          <w:szCs w:val="16"/>
        </w:rPr>
      </w:pPr>
      <w:r w:rsidRPr="00045ED6">
        <w:rPr>
          <w:rFonts w:cs="Arial"/>
          <w:sz w:val="16"/>
          <w:szCs w:val="16"/>
          <w:vertAlign w:val="superscript"/>
        </w:rPr>
        <w:footnoteRef/>
      </w:r>
      <w:r w:rsidRPr="00045ED6">
        <w:rPr>
          <w:rFonts w:cs="Arial"/>
          <w:sz w:val="16"/>
          <w:szCs w:val="16"/>
        </w:rPr>
        <w:t xml:space="preserve"> </w:t>
      </w:r>
      <w:r>
        <w:rPr>
          <w:rFonts w:cs="Arial"/>
          <w:sz w:val="16"/>
          <w:szCs w:val="16"/>
        </w:rPr>
        <w:t>A</w:t>
      </w:r>
      <w:r w:rsidRPr="00045ED6">
        <w:rPr>
          <w:rFonts w:cs="Arial"/>
          <w:sz w:val="16"/>
          <w:szCs w:val="16"/>
        </w:rPr>
        <w:t>s defined in the MAS Notice SFA 04-N12: Notice on the Sale of Investment Products and MAS Notice FAA-N16: Notice on Recommendations on Investment Products</w:t>
      </w:r>
      <w:r>
        <w:rPr>
          <w:rFonts w:cs="Arial"/>
          <w:sz w:val="16"/>
          <w:szCs w:val="16"/>
        </w:rPr>
        <w:t>.</w:t>
      </w:r>
    </w:p>
  </w:footnote>
  <w:footnote w:id="3">
    <w:p w14:paraId="1C9673B7" w14:textId="038AE8D9" w:rsidR="004211B2" w:rsidRPr="000D146E" w:rsidRDefault="004211B2" w:rsidP="002C269D">
      <w:pPr>
        <w:jc w:val="both"/>
        <w:rPr>
          <w:rFonts w:cs="Arial"/>
          <w:sz w:val="16"/>
          <w:szCs w:val="16"/>
        </w:rPr>
      </w:pPr>
      <w:r w:rsidRPr="009A7112">
        <w:rPr>
          <w:rStyle w:val="FootnoteReference"/>
          <w:sz w:val="16"/>
          <w:szCs w:val="16"/>
        </w:rPr>
        <w:footnoteRef/>
      </w:r>
      <w:r w:rsidRPr="009A7112">
        <w:rPr>
          <w:sz w:val="16"/>
          <w:szCs w:val="16"/>
        </w:rPr>
        <w:t xml:space="preserve"> </w:t>
      </w:r>
      <w:r w:rsidRPr="009A7112">
        <w:rPr>
          <w:rFonts w:cs="Arial"/>
          <w:sz w:val="16"/>
          <w:szCs w:val="16"/>
        </w:rPr>
        <w:t xml:space="preserve">These figures are calculated as </w:t>
      </w:r>
      <w:proofErr w:type="gramStart"/>
      <w:r w:rsidRPr="009A7112">
        <w:rPr>
          <w:rFonts w:cs="Arial"/>
          <w:sz w:val="16"/>
          <w:szCs w:val="16"/>
        </w:rPr>
        <w:t>at, and</w:t>
      </w:r>
      <w:proofErr w:type="gramEnd"/>
      <w:r w:rsidRPr="009A7112">
        <w:rPr>
          <w:rFonts w:cs="Arial"/>
          <w:sz w:val="16"/>
          <w:szCs w:val="16"/>
        </w:rPr>
        <w:t xml:space="preserve"> based on information avail</w:t>
      </w:r>
      <w:r>
        <w:rPr>
          <w:rFonts w:cs="Arial"/>
          <w:sz w:val="16"/>
          <w:szCs w:val="16"/>
        </w:rPr>
        <w:t xml:space="preserve">able to the Issuer on or about </w:t>
      </w:r>
      <w:r w:rsidR="002D6FDB" w:rsidRPr="002D6FDB">
        <w:rPr>
          <w:rFonts w:cs="Arial"/>
          <w:sz w:val="16"/>
          <w:szCs w:val="16"/>
          <w:lang w:eastAsia="zh-CN"/>
        </w:rPr>
        <w:t>29</w:t>
      </w:r>
      <w:r w:rsidR="0028528E">
        <w:rPr>
          <w:rFonts w:cs="Arial" w:hint="eastAsia"/>
          <w:sz w:val="16"/>
          <w:szCs w:val="16"/>
          <w:lang w:eastAsia="zh-CN"/>
        </w:rPr>
        <w:t xml:space="preserve"> April </w:t>
      </w:r>
      <w:r w:rsidR="002D6FDB" w:rsidRPr="002D6FDB">
        <w:rPr>
          <w:rFonts w:cs="Arial"/>
          <w:sz w:val="16"/>
          <w:szCs w:val="16"/>
          <w:lang w:eastAsia="zh-CN"/>
        </w:rPr>
        <w:t>2026</w:t>
      </w:r>
      <w:r w:rsidRPr="009A7112">
        <w:rPr>
          <w:rFonts w:cs="Arial"/>
          <w:sz w:val="16"/>
          <w:szCs w:val="16"/>
        </w:rPr>
        <w:t>. The Issuer is not obliged, and undertakes no responsibility to any person, to update or inform any person of any changes to t</w:t>
      </w:r>
      <w:r>
        <w:rPr>
          <w:rFonts w:cs="Arial"/>
          <w:sz w:val="16"/>
          <w:szCs w:val="16"/>
        </w:rPr>
        <w:t xml:space="preserve">he figures after </w:t>
      </w:r>
      <w:r w:rsidR="002D6FDB" w:rsidRPr="002D6FDB">
        <w:rPr>
          <w:rFonts w:cs="Arial"/>
          <w:sz w:val="16"/>
          <w:szCs w:val="16"/>
          <w:lang w:eastAsia="zh-CN"/>
        </w:rPr>
        <w:t xml:space="preserve">29 </w:t>
      </w:r>
      <w:r w:rsidR="0028528E">
        <w:rPr>
          <w:rFonts w:cs="Arial" w:hint="eastAsia"/>
          <w:sz w:val="16"/>
          <w:szCs w:val="16"/>
          <w:lang w:eastAsia="zh-CN"/>
        </w:rPr>
        <w:t xml:space="preserve">April </w:t>
      </w:r>
      <w:r w:rsidR="002D6FDB" w:rsidRPr="002D6FDB">
        <w:rPr>
          <w:rFonts w:cs="Arial"/>
          <w:sz w:val="16"/>
          <w:szCs w:val="16"/>
          <w:lang w:eastAsia="zh-CN"/>
        </w:rPr>
        <w:t>2026</w:t>
      </w:r>
      <w:r w:rsidRPr="009A7112">
        <w:rPr>
          <w:rFonts w:cs="Arial"/>
          <w:sz w:val="16"/>
          <w:szCs w:val="16"/>
        </w:rPr>
        <w:t>.</w:t>
      </w:r>
    </w:p>
  </w:footnote>
  <w:footnote w:id="4">
    <w:p w14:paraId="52E1EBE7" w14:textId="77777777" w:rsidR="004211B2" w:rsidRPr="009A7112" w:rsidRDefault="004211B2" w:rsidP="00DC3823">
      <w:pPr>
        <w:pStyle w:val="FootnoteText"/>
        <w:jc w:val="both"/>
        <w:rPr>
          <w:sz w:val="16"/>
          <w:szCs w:val="16"/>
          <w:lang w:val="en-SG"/>
        </w:rPr>
      </w:pPr>
      <w:r w:rsidRPr="009A7112">
        <w:rPr>
          <w:rStyle w:val="FootnoteReference"/>
          <w:sz w:val="16"/>
          <w:szCs w:val="16"/>
        </w:rPr>
        <w:footnoteRef/>
      </w:r>
      <w:r w:rsidRPr="009A7112">
        <w:rPr>
          <w:rStyle w:val="FootnoteReference"/>
          <w:sz w:val="16"/>
          <w:szCs w:val="16"/>
        </w:rPr>
        <w:t xml:space="preserve"> </w:t>
      </w:r>
      <w:r w:rsidRPr="009A7112">
        <w:rPr>
          <w:rFonts w:cs="Arial"/>
          <w:sz w:val="16"/>
          <w:szCs w:val="16"/>
        </w:rPr>
        <w:t>Please note that the Management Fee is calculated on a 360-day basis and may be increased up to a maximum of 3% p.a. on giving one month’s notice to investors. Any increase in the Management Fee will be announced on the SGXNET. Please refer to “Fees and Charges” below for further details of the fees and charges payable and the maximum of such fees as well as other ongoing expenses that may be borne by the Certificates.</w:t>
      </w:r>
    </w:p>
  </w:footnote>
  <w:footnote w:id="5">
    <w:p w14:paraId="4023CE24" w14:textId="77777777" w:rsidR="004211B2" w:rsidRPr="009A7112" w:rsidRDefault="004211B2" w:rsidP="00DC3823">
      <w:pPr>
        <w:pStyle w:val="FootnoteText"/>
        <w:jc w:val="both"/>
        <w:rPr>
          <w:sz w:val="16"/>
          <w:szCs w:val="16"/>
          <w:lang w:val="en-SG"/>
        </w:rPr>
      </w:pPr>
      <w:r w:rsidRPr="009A7112">
        <w:rPr>
          <w:rStyle w:val="FootnoteReference"/>
          <w:sz w:val="16"/>
          <w:szCs w:val="16"/>
        </w:rPr>
        <w:footnoteRef/>
      </w:r>
      <w:r w:rsidRPr="009A7112">
        <w:rPr>
          <w:sz w:val="16"/>
          <w:szCs w:val="16"/>
        </w:rPr>
        <w:t xml:space="preserve"> </w:t>
      </w:r>
      <w:r w:rsidRPr="009A7112">
        <w:rPr>
          <w:rFonts w:cs="Arial"/>
          <w:sz w:val="16"/>
          <w:szCs w:val="16"/>
        </w:rPr>
        <w:t>Please note that the Gap Premium is calculated on a 360-day basis.</w:t>
      </w:r>
    </w:p>
  </w:footnote>
  <w:footnote w:id="6">
    <w:p w14:paraId="22A1D3C5" w14:textId="22DF7105" w:rsidR="004211B2" w:rsidRPr="009A7112" w:rsidRDefault="004211B2" w:rsidP="00DC3823">
      <w:pPr>
        <w:keepLines/>
        <w:jc w:val="both"/>
        <w:rPr>
          <w:rFonts w:cs="Arial"/>
          <w:sz w:val="16"/>
          <w:szCs w:val="16"/>
        </w:rPr>
      </w:pPr>
      <w:r w:rsidRPr="009A7112">
        <w:rPr>
          <w:rStyle w:val="FootnoteReference"/>
          <w:sz w:val="16"/>
          <w:szCs w:val="16"/>
        </w:rPr>
        <w:footnoteRef/>
      </w:r>
      <w:r w:rsidRPr="009A7112">
        <w:rPr>
          <w:sz w:val="16"/>
          <w:szCs w:val="16"/>
        </w:rPr>
        <w:t xml:space="preserve"> </w:t>
      </w:r>
      <w:r w:rsidRPr="009A7112">
        <w:rPr>
          <w:rFonts w:cs="Arial"/>
          <w:sz w:val="16"/>
          <w:szCs w:val="16"/>
        </w:rPr>
        <w:t>These costs are embedded within the Leverage Inverse Strategy. Please note that the Stock Borrowing Cost may be changed on giving 5 Business Days’ notice to investors. Any change in the Stock Borrowing Cost will be announced on the SGXNET.</w:t>
      </w:r>
    </w:p>
  </w:footnote>
  <w:footnote w:id="7">
    <w:p w14:paraId="3545F612" w14:textId="1713FD20" w:rsidR="004211B2" w:rsidRPr="009A7112" w:rsidRDefault="004211B2" w:rsidP="00DC3823">
      <w:pPr>
        <w:pStyle w:val="FootnoteText"/>
        <w:jc w:val="both"/>
        <w:rPr>
          <w:sz w:val="16"/>
          <w:szCs w:val="16"/>
          <w:lang w:val="en-SG"/>
        </w:rPr>
      </w:pPr>
      <w:r w:rsidRPr="009A7112">
        <w:rPr>
          <w:rStyle w:val="FootnoteReference"/>
          <w:sz w:val="16"/>
          <w:szCs w:val="16"/>
        </w:rPr>
        <w:footnoteRef/>
      </w:r>
      <w:r w:rsidRPr="009A7112">
        <w:rPr>
          <w:sz w:val="16"/>
          <w:szCs w:val="16"/>
        </w:rPr>
        <w:t xml:space="preserve"> “t” </w:t>
      </w:r>
      <w:r w:rsidRPr="009A7112">
        <w:rPr>
          <w:sz w:val="16"/>
          <w:szCs w:val="16"/>
          <w:lang w:val="en-SG"/>
        </w:rPr>
        <w:t>refers to “</w:t>
      </w:r>
      <w:r w:rsidRPr="009A7112">
        <w:rPr>
          <w:b/>
          <w:bCs/>
          <w:sz w:val="16"/>
          <w:szCs w:val="16"/>
          <w:lang w:val="en-SG"/>
        </w:rPr>
        <w:t>Observation Date</w:t>
      </w:r>
      <w:r w:rsidRPr="009A7112">
        <w:rPr>
          <w:sz w:val="16"/>
          <w:szCs w:val="16"/>
          <w:lang w:val="en-SG"/>
        </w:rPr>
        <w:t xml:space="preserve">” which means each </w:t>
      </w:r>
      <w:r w:rsidRPr="009A7112">
        <w:rPr>
          <w:sz w:val="16"/>
          <w:szCs w:val="16"/>
          <w:lang w:val="en-SG" w:eastAsia="zh-CN"/>
        </w:rPr>
        <w:t>Exchange</w:t>
      </w:r>
      <w:r w:rsidRPr="009A7112">
        <w:rPr>
          <w:rFonts w:hint="eastAsia"/>
          <w:sz w:val="16"/>
          <w:szCs w:val="16"/>
          <w:lang w:val="en-SG" w:eastAsia="zh-CN"/>
        </w:rPr>
        <w:t xml:space="preserve"> Business Day</w:t>
      </w:r>
      <w:r>
        <w:rPr>
          <w:sz w:val="16"/>
          <w:szCs w:val="16"/>
          <w:lang w:val="en-SG" w:eastAsia="zh-CN"/>
        </w:rPr>
        <w:t xml:space="preserve"> (subject to Market Disruption Event)</w:t>
      </w:r>
      <w:r w:rsidRPr="009A7112">
        <w:rPr>
          <w:rFonts w:hint="eastAsia"/>
          <w:sz w:val="16"/>
          <w:szCs w:val="16"/>
          <w:lang w:val="en-SG" w:eastAsia="zh-CN"/>
        </w:rPr>
        <w:t xml:space="preserve"> </w:t>
      </w:r>
      <w:r w:rsidRPr="009A7112">
        <w:rPr>
          <w:sz w:val="16"/>
          <w:szCs w:val="16"/>
          <w:lang w:val="en-SG"/>
        </w:rPr>
        <w:t xml:space="preserve">from (and including) the </w:t>
      </w:r>
      <w:r w:rsidRPr="009A7112">
        <w:rPr>
          <w:sz w:val="16"/>
          <w:szCs w:val="16"/>
          <w:lang w:val="en-SG" w:eastAsia="zh-CN"/>
        </w:rPr>
        <w:t>Exchange</w:t>
      </w:r>
      <w:r w:rsidRPr="009A7112">
        <w:rPr>
          <w:rFonts w:hint="eastAsia"/>
          <w:sz w:val="16"/>
          <w:szCs w:val="16"/>
          <w:lang w:val="en-SG" w:eastAsia="zh-CN"/>
        </w:rPr>
        <w:t xml:space="preserve"> Business Day immediately </w:t>
      </w:r>
      <w:r w:rsidRPr="009A7112">
        <w:rPr>
          <w:sz w:val="16"/>
          <w:szCs w:val="16"/>
          <w:lang w:val="en-SG"/>
        </w:rPr>
        <w:t>preceding the Expected Listing Date to the Valuation Date.</w:t>
      </w:r>
    </w:p>
  </w:footnote>
  <w:footnote w:id="8">
    <w:p w14:paraId="57FDF1A5" w14:textId="77777777" w:rsidR="004211B2" w:rsidRPr="009A7112" w:rsidRDefault="004211B2" w:rsidP="00DC3823">
      <w:pPr>
        <w:pStyle w:val="FootnoteText"/>
        <w:jc w:val="both"/>
        <w:rPr>
          <w:sz w:val="16"/>
          <w:szCs w:val="16"/>
          <w:lang w:val="en-SG"/>
        </w:rPr>
      </w:pPr>
      <w:r w:rsidRPr="009A7112">
        <w:rPr>
          <w:rStyle w:val="FootnoteReference"/>
          <w:sz w:val="16"/>
          <w:szCs w:val="16"/>
        </w:rPr>
        <w:footnoteRef/>
      </w:r>
      <w:r w:rsidRPr="009A7112">
        <w:rPr>
          <w:sz w:val="16"/>
          <w:szCs w:val="16"/>
        </w:rPr>
        <w:t xml:space="preserve"> </w:t>
      </w:r>
      <w:r w:rsidRPr="009A7112">
        <w:rPr>
          <w:sz w:val="16"/>
          <w:szCs w:val="16"/>
          <w:lang w:val="en-SG"/>
        </w:rPr>
        <w:t>Leverage Inverse Strategy daily performance is computed as the Leverage Inverse Strategy Closing Level on Business Day (t) divided by the Leverage Inverse Strategy Closing Level on Business Day (t-1).</w:t>
      </w:r>
    </w:p>
  </w:footnote>
  <w:footnote w:id="9">
    <w:p w14:paraId="28788179" w14:textId="77777777" w:rsidR="004211B2" w:rsidRPr="00776664" w:rsidRDefault="004211B2" w:rsidP="00A20749">
      <w:pPr>
        <w:pStyle w:val="FootnoteText"/>
        <w:rPr>
          <w:sz w:val="16"/>
          <w:szCs w:val="16"/>
          <w:lang w:val="en-SG"/>
        </w:rPr>
      </w:pPr>
      <w:r w:rsidRPr="00776664">
        <w:rPr>
          <w:rStyle w:val="FootnoteReference"/>
          <w:sz w:val="16"/>
          <w:szCs w:val="16"/>
        </w:rPr>
        <w:footnoteRef/>
      </w:r>
      <w:r w:rsidRPr="00776664">
        <w:rPr>
          <w:sz w:val="16"/>
          <w:szCs w:val="16"/>
        </w:rPr>
        <w:t xml:space="preserve"> </w:t>
      </w:r>
      <w:r w:rsidRPr="00776664">
        <w:rPr>
          <w:sz w:val="16"/>
          <w:szCs w:val="16"/>
          <w:lang w:val="en-SG"/>
        </w:rPr>
        <w:t>The illustrative examples are not exhaustive.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90DAE4"/>
    <w:lvl w:ilvl="0">
      <w:start w:val="1"/>
      <w:numFmt w:val="decimal"/>
      <w:pStyle w:val="ListNumber5"/>
      <w:lvlText w:val="%1."/>
      <w:lvlJc w:val="left"/>
      <w:pPr>
        <w:tabs>
          <w:tab w:val="num" w:pos="1492"/>
        </w:tabs>
        <w:ind w:left="1492" w:hanging="360"/>
      </w:pPr>
    </w:lvl>
  </w:abstractNum>
  <w:abstractNum w:abstractNumId="1" w15:restartNumberingAfterBreak="0">
    <w:nsid w:val="FFFFFF89"/>
    <w:multiLevelType w:val="singleLevel"/>
    <w:tmpl w:val="A17C8216"/>
    <w:lvl w:ilvl="0">
      <w:start w:val="1"/>
      <w:numFmt w:val="bullet"/>
      <w:pStyle w:val="ListBullet"/>
      <w:lvlText w:val=""/>
      <w:lvlJc w:val="left"/>
      <w:pPr>
        <w:tabs>
          <w:tab w:val="num" w:pos="2954"/>
        </w:tabs>
        <w:ind w:left="2954" w:hanging="360"/>
      </w:pPr>
      <w:rPr>
        <w:rFonts w:ascii="Symbol" w:hAnsi="Symbol" w:hint="default"/>
      </w:rPr>
    </w:lvl>
  </w:abstractNum>
  <w:abstractNum w:abstractNumId="2" w15:restartNumberingAfterBreak="0">
    <w:nsid w:val="00000024"/>
    <w:multiLevelType w:val="hybridMultilevel"/>
    <w:tmpl w:val="ACBAFE2C"/>
    <w:lvl w:ilvl="0" w:tplc="5F46869A">
      <w:start w:val="1"/>
      <w:numFmt w:val="bullet"/>
      <w:pStyle w:val="BulletIndent"/>
      <w:lvlText w:val=""/>
      <w:lvlJc w:val="left"/>
      <w:pPr>
        <w:tabs>
          <w:tab w:val="num" w:pos="480"/>
        </w:tabs>
        <w:ind w:left="480" w:hanging="480"/>
      </w:pPr>
      <w:rPr>
        <w:rFonts w:ascii="Wingdings" w:hAnsi="Wingdings" w:cs="Wingdings" w:hint="default"/>
        <w:spacing w:val="0"/>
        <w:sz w:val="14"/>
        <w:szCs w:val="14"/>
      </w:rPr>
    </w:lvl>
    <w:lvl w:ilvl="1" w:tplc="0C090003">
      <w:start w:val="1"/>
      <w:numFmt w:val="bullet"/>
      <w:lvlText w:val=""/>
      <w:lvlJc w:val="left"/>
      <w:pPr>
        <w:tabs>
          <w:tab w:val="num" w:pos="960"/>
        </w:tabs>
        <w:ind w:left="960" w:hanging="480"/>
      </w:pPr>
      <w:rPr>
        <w:rFonts w:ascii="Wingdings" w:hAnsi="Wingdings" w:cs="Wingdings" w:hint="default"/>
        <w:spacing w:val="0"/>
      </w:rPr>
    </w:lvl>
    <w:lvl w:ilvl="2" w:tplc="0C090005">
      <w:start w:val="1"/>
      <w:numFmt w:val="bullet"/>
      <w:lvlText w:val=""/>
      <w:lvlJc w:val="left"/>
      <w:pPr>
        <w:tabs>
          <w:tab w:val="num" w:pos="1440"/>
        </w:tabs>
        <w:ind w:left="1440" w:hanging="480"/>
      </w:pPr>
      <w:rPr>
        <w:rFonts w:ascii="Wingdings" w:hAnsi="Wingdings" w:cs="Wingdings" w:hint="default"/>
        <w:spacing w:val="0"/>
      </w:rPr>
    </w:lvl>
    <w:lvl w:ilvl="3" w:tplc="0C090001">
      <w:start w:val="1"/>
      <w:numFmt w:val="bullet"/>
      <w:lvlText w:val=""/>
      <w:lvlJc w:val="left"/>
      <w:pPr>
        <w:tabs>
          <w:tab w:val="num" w:pos="1920"/>
        </w:tabs>
        <w:ind w:left="1920" w:hanging="480"/>
      </w:pPr>
      <w:rPr>
        <w:rFonts w:ascii="Wingdings" w:hAnsi="Wingdings" w:cs="Wingdings" w:hint="default"/>
        <w:spacing w:val="0"/>
      </w:rPr>
    </w:lvl>
    <w:lvl w:ilvl="4" w:tplc="0C090003">
      <w:start w:val="1"/>
      <w:numFmt w:val="bullet"/>
      <w:lvlText w:val=""/>
      <w:lvlJc w:val="left"/>
      <w:pPr>
        <w:tabs>
          <w:tab w:val="num" w:pos="2400"/>
        </w:tabs>
        <w:ind w:left="2400" w:hanging="480"/>
      </w:pPr>
      <w:rPr>
        <w:rFonts w:ascii="Wingdings" w:hAnsi="Wingdings" w:cs="Wingdings" w:hint="default"/>
        <w:spacing w:val="0"/>
      </w:rPr>
    </w:lvl>
    <w:lvl w:ilvl="5" w:tplc="0C090005">
      <w:start w:val="1"/>
      <w:numFmt w:val="bullet"/>
      <w:lvlText w:val=""/>
      <w:lvlJc w:val="left"/>
      <w:pPr>
        <w:tabs>
          <w:tab w:val="num" w:pos="2880"/>
        </w:tabs>
        <w:ind w:left="2880" w:hanging="480"/>
      </w:pPr>
      <w:rPr>
        <w:rFonts w:ascii="Wingdings" w:hAnsi="Wingdings" w:cs="Wingdings" w:hint="default"/>
        <w:spacing w:val="0"/>
      </w:rPr>
    </w:lvl>
    <w:lvl w:ilvl="6" w:tplc="0C090001">
      <w:start w:val="1"/>
      <w:numFmt w:val="bullet"/>
      <w:lvlText w:val=""/>
      <w:lvlJc w:val="left"/>
      <w:pPr>
        <w:tabs>
          <w:tab w:val="num" w:pos="3360"/>
        </w:tabs>
        <w:ind w:left="3360" w:hanging="480"/>
      </w:pPr>
      <w:rPr>
        <w:rFonts w:ascii="Wingdings" w:hAnsi="Wingdings" w:cs="Wingdings" w:hint="default"/>
        <w:spacing w:val="0"/>
      </w:rPr>
    </w:lvl>
    <w:lvl w:ilvl="7" w:tplc="0C090003">
      <w:start w:val="1"/>
      <w:numFmt w:val="bullet"/>
      <w:lvlText w:val=""/>
      <w:lvlJc w:val="left"/>
      <w:pPr>
        <w:tabs>
          <w:tab w:val="num" w:pos="3840"/>
        </w:tabs>
        <w:ind w:left="3840" w:hanging="480"/>
      </w:pPr>
      <w:rPr>
        <w:rFonts w:ascii="Wingdings" w:hAnsi="Wingdings" w:cs="Wingdings" w:hint="default"/>
        <w:spacing w:val="0"/>
      </w:rPr>
    </w:lvl>
    <w:lvl w:ilvl="8" w:tplc="0C090005">
      <w:start w:val="1"/>
      <w:numFmt w:val="bullet"/>
      <w:lvlText w:val=""/>
      <w:lvlJc w:val="left"/>
      <w:pPr>
        <w:tabs>
          <w:tab w:val="num" w:pos="4320"/>
        </w:tabs>
        <w:ind w:left="4320" w:hanging="480"/>
      </w:pPr>
      <w:rPr>
        <w:rFonts w:ascii="Wingdings" w:hAnsi="Wingdings" w:cs="Wingdings" w:hint="default"/>
        <w:spacing w:val="0"/>
      </w:rPr>
    </w:lvl>
  </w:abstractNum>
  <w:abstractNum w:abstractNumId="3" w15:restartNumberingAfterBreak="0">
    <w:nsid w:val="052A4FA8"/>
    <w:multiLevelType w:val="singleLevel"/>
    <w:tmpl w:val="08090001"/>
    <w:name w:val="AOGen12222"/>
    <w:lvl w:ilvl="0">
      <w:start w:val="1"/>
      <w:numFmt w:val="bullet"/>
      <w:lvlText w:val="·"/>
      <w:lvlJc w:val="left"/>
      <w:pPr>
        <w:tabs>
          <w:tab w:val="num" w:pos="360"/>
        </w:tabs>
        <w:ind w:left="360" w:hanging="360"/>
      </w:pPr>
      <w:rPr>
        <w:rFonts w:ascii="Symbol" w:hAnsi="Symbol" w:hint="default"/>
        <w:spacing w:val="0"/>
      </w:rPr>
    </w:lvl>
  </w:abstractNum>
  <w:abstractNum w:abstractNumId="4" w15:restartNumberingAfterBreak="0">
    <w:nsid w:val="108C0882"/>
    <w:multiLevelType w:val="multilevel"/>
    <w:tmpl w:val="93687D1C"/>
    <w:lvl w:ilvl="0">
      <w:start w:val="1"/>
      <w:numFmt w:val="decimal"/>
      <w:pStyle w:val="Level1"/>
      <w:lvlText w:val="%1."/>
      <w:lvlJc w:val="left"/>
      <w:pPr>
        <w:tabs>
          <w:tab w:val="num" w:pos="720"/>
        </w:tabs>
        <w:ind w:left="720" w:hanging="720"/>
      </w:pPr>
      <w:rPr>
        <w:rFonts w:cs="Times New Roman" w:hint="default"/>
        <w:b/>
        <w:i w:val="0"/>
        <w:sz w:val="18"/>
        <w:szCs w:val="18"/>
      </w:rPr>
    </w:lvl>
    <w:lvl w:ilvl="1">
      <w:start w:val="1"/>
      <w:numFmt w:val="lowerLetter"/>
      <w:pStyle w:val="Level2"/>
      <w:lvlText w:val="(%2)"/>
      <w:lvlJc w:val="left"/>
      <w:pPr>
        <w:tabs>
          <w:tab w:val="num" w:pos="720"/>
        </w:tabs>
        <w:ind w:left="720" w:hanging="720"/>
      </w:pPr>
      <w:rPr>
        <w:rFonts w:ascii="Arial" w:hAnsi="Arial" w:cs="Arial" w:hint="default"/>
        <w:i w:val="0"/>
        <w:sz w:val="18"/>
        <w:szCs w:val="18"/>
      </w:rPr>
    </w:lvl>
    <w:lvl w:ilvl="2">
      <w:start w:val="1"/>
      <w:numFmt w:val="lowerRoman"/>
      <w:pStyle w:val="Level3"/>
      <w:lvlText w:val="(%3)"/>
      <w:lvlJc w:val="left"/>
      <w:pPr>
        <w:tabs>
          <w:tab w:val="num" w:pos="720"/>
        </w:tabs>
        <w:ind w:left="720" w:hanging="720"/>
      </w:pPr>
      <w:rPr>
        <w:rFonts w:ascii="Arial" w:hAnsi="Arial" w:cs="Arial" w:hint="default"/>
        <w:i w:val="0"/>
        <w:sz w:val="18"/>
        <w:szCs w:val="18"/>
      </w:rPr>
    </w:lvl>
    <w:lvl w:ilvl="3">
      <w:start w:val="1"/>
      <w:numFmt w:val="lowerLetter"/>
      <w:pStyle w:val="Level4"/>
      <w:lvlText w:val="(%4)"/>
      <w:lvlJc w:val="left"/>
      <w:pPr>
        <w:tabs>
          <w:tab w:val="num" w:pos="1440"/>
        </w:tabs>
        <w:ind w:left="1440" w:hanging="720"/>
      </w:pPr>
      <w:rPr>
        <w:rFonts w:ascii="Arial" w:hAnsi="Arial" w:cs="Arial" w:hint="default"/>
        <w:i w:val="0"/>
        <w:sz w:val="18"/>
        <w:szCs w:val="18"/>
      </w:rPr>
    </w:lvl>
    <w:lvl w:ilvl="4">
      <w:start w:val="1"/>
      <w:numFmt w:val="lowerRoman"/>
      <w:pStyle w:val="Level5"/>
      <w:lvlText w:val="(%5)"/>
      <w:lvlJc w:val="left"/>
      <w:pPr>
        <w:tabs>
          <w:tab w:val="num" w:pos="1440"/>
        </w:tabs>
        <w:ind w:left="1440" w:hanging="720"/>
      </w:pPr>
      <w:rPr>
        <w:rFonts w:ascii="Arial" w:hAnsi="Arial" w:cs="Arial" w:hint="default"/>
        <w:b w:val="0"/>
        <w:i w:val="0"/>
        <w:sz w:val="18"/>
        <w:szCs w:val="18"/>
      </w:rPr>
    </w:lvl>
    <w:lvl w:ilvl="5">
      <w:start w:val="1"/>
      <w:numFmt w:val="upperLetter"/>
      <w:pStyle w:val="Level6"/>
      <w:lvlText w:val="(%6)"/>
      <w:lvlJc w:val="left"/>
      <w:pPr>
        <w:tabs>
          <w:tab w:val="num" w:pos="1440"/>
        </w:tabs>
        <w:ind w:left="1440" w:hanging="720"/>
      </w:pPr>
      <w:rPr>
        <w:rFonts w:ascii="Arial" w:hAnsi="Arial" w:cs="Arial" w:hint="default"/>
        <w:sz w:val="18"/>
        <w:szCs w:val="18"/>
      </w:rPr>
    </w:lvl>
    <w:lvl w:ilvl="6">
      <w:start w:val="1"/>
      <w:numFmt w:val="decimal"/>
      <w:pStyle w:val="Level7"/>
      <w:lvlText w:val="(%7)"/>
      <w:lvlJc w:val="left"/>
      <w:pPr>
        <w:tabs>
          <w:tab w:val="num" w:pos="1440"/>
        </w:tabs>
        <w:ind w:left="1440" w:hanging="720"/>
      </w:pPr>
      <w:rPr>
        <w:rFonts w:ascii="Arial" w:hAnsi="Arial" w:cs="Arial" w:hint="default"/>
        <w:i w:val="0"/>
        <w:sz w:val="18"/>
        <w:szCs w:val="18"/>
      </w:rPr>
    </w:lvl>
    <w:lvl w:ilvl="7">
      <w:start w:val="1"/>
      <w:numFmt w:val="lowerRoman"/>
      <w:pStyle w:val="Level8"/>
      <w:lvlText w:val="(%8)"/>
      <w:lvlJc w:val="left"/>
      <w:pPr>
        <w:tabs>
          <w:tab w:val="num" w:pos="1440"/>
        </w:tabs>
        <w:ind w:left="1440" w:hanging="720"/>
      </w:pPr>
      <w:rPr>
        <w:rFonts w:ascii="Arial" w:hAnsi="Arial" w:cs="Arial" w:hint="default"/>
        <w:sz w:val="18"/>
        <w:szCs w:val="18"/>
      </w:rPr>
    </w:lvl>
    <w:lvl w:ilvl="8">
      <w:start w:val="1"/>
      <w:numFmt w:val="upperLetter"/>
      <w:pStyle w:val="Level9"/>
      <w:lvlText w:val="(%9)"/>
      <w:lvlJc w:val="left"/>
      <w:pPr>
        <w:tabs>
          <w:tab w:val="num" w:pos="2160"/>
        </w:tabs>
        <w:ind w:left="2160" w:hanging="720"/>
      </w:pPr>
      <w:rPr>
        <w:rFonts w:cs="Times New Roman" w:hint="default"/>
      </w:rPr>
    </w:lvl>
  </w:abstractNum>
  <w:abstractNum w:abstractNumId="5" w15:restartNumberingAfterBreak="0">
    <w:nsid w:val="168A5AE7"/>
    <w:multiLevelType w:val="hybridMultilevel"/>
    <w:tmpl w:val="C88C4C22"/>
    <w:lvl w:ilvl="0" w:tplc="D786EBD4">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F7B65B5"/>
    <w:multiLevelType w:val="hybridMultilevel"/>
    <w:tmpl w:val="1BE6B566"/>
    <w:lvl w:ilvl="0" w:tplc="7DD25D42">
      <w:start w:val="1"/>
      <w:numFmt w:val="lowerRoman"/>
      <w:lvlText w:val="(%1)"/>
      <w:lvlJc w:val="left"/>
      <w:pPr>
        <w:ind w:left="1080" w:hanging="720"/>
      </w:pPr>
      <w:rPr>
        <w:rFonts w:hint="default"/>
        <w:lang w:val="en-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B504D"/>
    <w:multiLevelType w:val="singleLevel"/>
    <w:tmpl w:val="F3B026A6"/>
    <w:lvl w:ilvl="0">
      <w:start w:val="1"/>
      <w:numFmt w:val="decimal"/>
      <w:pStyle w:val="Sideheading"/>
      <w:lvlText w:val="%1."/>
      <w:legacy w:legacy="1" w:legacySpace="0" w:legacyIndent="283"/>
      <w:lvlJc w:val="left"/>
      <w:pPr>
        <w:ind w:left="283" w:hanging="283"/>
      </w:pPr>
    </w:lvl>
  </w:abstractNum>
  <w:abstractNum w:abstractNumId="8" w15:restartNumberingAfterBreak="0">
    <w:nsid w:val="287B26DB"/>
    <w:multiLevelType w:val="hybridMultilevel"/>
    <w:tmpl w:val="632893CC"/>
    <w:lvl w:ilvl="0" w:tplc="933A91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45C85"/>
    <w:multiLevelType w:val="hybridMultilevel"/>
    <w:tmpl w:val="9F145D86"/>
    <w:lvl w:ilvl="0" w:tplc="88A6DCEA">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151A5"/>
    <w:multiLevelType w:val="hybridMultilevel"/>
    <w:tmpl w:val="C1EE54F4"/>
    <w:lvl w:ilvl="0" w:tplc="36DC0C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37A0003"/>
    <w:multiLevelType w:val="hybridMultilevel"/>
    <w:tmpl w:val="3356B9AA"/>
    <w:lvl w:ilvl="0" w:tplc="90A8074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54A16AD"/>
    <w:multiLevelType w:val="hybridMultilevel"/>
    <w:tmpl w:val="C8421CFA"/>
    <w:lvl w:ilvl="0" w:tplc="970E57EE">
      <w:start w:val="2"/>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8D92895"/>
    <w:multiLevelType w:val="hybridMultilevel"/>
    <w:tmpl w:val="29E21F3C"/>
    <w:lvl w:ilvl="0" w:tplc="2ED8A108">
      <w:start w:val="1"/>
      <w:numFmt w:val="upperLetter"/>
      <w:lvlText w:val="(%1)"/>
      <w:lvlJc w:val="left"/>
      <w:pPr>
        <w:ind w:left="2010" w:hanging="360"/>
      </w:pPr>
      <w:rPr>
        <w:rFonts w:eastAsia="Times New Roman" w:hint="default"/>
        <w:sz w:val="20"/>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5" w15:restartNumberingAfterBreak="0">
    <w:nsid w:val="43E866B9"/>
    <w:multiLevelType w:val="hybridMultilevel"/>
    <w:tmpl w:val="AB3CAF92"/>
    <w:lvl w:ilvl="0" w:tplc="C1F8EB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270E96"/>
    <w:multiLevelType w:val="hybridMultilevel"/>
    <w:tmpl w:val="9A589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8" w15:restartNumberingAfterBreak="0">
    <w:nsid w:val="47B238E7"/>
    <w:multiLevelType w:val="multilevel"/>
    <w:tmpl w:val="B9F6B264"/>
    <w:name w:val="AOGen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9A9127C"/>
    <w:multiLevelType w:val="hybridMultilevel"/>
    <w:tmpl w:val="B0ECC5DA"/>
    <w:lvl w:ilvl="0" w:tplc="E25C87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AC1D43"/>
    <w:multiLevelType w:val="hybridMultilevel"/>
    <w:tmpl w:val="586EDC70"/>
    <w:lvl w:ilvl="0" w:tplc="E4C0507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4BF6520C"/>
    <w:multiLevelType w:val="singleLevel"/>
    <w:tmpl w:val="08090001"/>
    <w:name w:val="AOGen12"/>
    <w:lvl w:ilvl="0">
      <w:start w:val="1"/>
      <w:numFmt w:val="bullet"/>
      <w:lvlText w:val="·"/>
      <w:lvlJc w:val="left"/>
      <w:pPr>
        <w:tabs>
          <w:tab w:val="num" w:pos="360"/>
        </w:tabs>
        <w:ind w:left="360" w:hanging="360"/>
      </w:pPr>
      <w:rPr>
        <w:rFonts w:ascii="Symbol" w:hAnsi="Symbol" w:hint="default"/>
        <w:spacing w:val="0"/>
      </w:rPr>
    </w:lvl>
  </w:abstractNum>
  <w:abstractNum w:abstractNumId="22" w15:restartNumberingAfterBreak="0">
    <w:nsid w:val="4E4B4E3E"/>
    <w:multiLevelType w:val="multilevel"/>
    <w:tmpl w:val="EAEE5FCA"/>
    <w:name w:val="AOHead"/>
    <w:lvl w:ilvl="0">
      <w:start w:val="24"/>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3" w15:restartNumberingAfterBreak="0">
    <w:nsid w:val="4F2335ED"/>
    <w:multiLevelType w:val="singleLevel"/>
    <w:tmpl w:val="08090001"/>
    <w:name w:val="AOGen1222"/>
    <w:lvl w:ilvl="0">
      <w:start w:val="1"/>
      <w:numFmt w:val="bullet"/>
      <w:lvlText w:val="·"/>
      <w:lvlJc w:val="left"/>
      <w:pPr>
        <w:tabs>
          <w:tab w:val="num" w:pos="360"/>
        </w:tabs>
        <w:ind w:left="360" w:hanging="360"/>
      </w:pPr>
      <w:rPr>
        <w:rFonts w:ascii="Symbol" w:hAnsi="Symbol" w:hint="default"/>
        <w:spacing w:val="0"/>
      </w:rPr>
    </w:lvl>
  </w:abstractNum>
  <w:abstractNum w:abstractNumId="24" w15:restartNumberingAfterBreak="0">
    <w:nsid w:val="58A8662A"/>
    <w:multiLevelType w:val="hybridMultilevel"/>
    <w:tmpl w:val="D8EC79C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9F547C0"/>
    <w:multiLevelType w:val="hybridMultilevel"/>
    <w:tmpl w:val="3C6C5818"/>
    <w:lvl w:ilvl="0" w:tplc="8A2AF7D4">
      <w:start w:val="2"/>
      <w:numFmt w:val="bullet"/>
      <w:lvlText w:val="-"/>
      <w:lvlJc w:val="left"/>
      <w:pPr>
        <w:ind w:left="720" w:hanging="360"/>
      </w:pPr>
      <w:rPr>
        <w:rFonts w:ascii="Arial" w:eastAsia="SimSu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86FA8"/>
    <w:multiLevelType w:val="multilevel"/>
    <w:tmpl w:val="8ADC8ECA"/>
    <w:lvl w:ilvl="0">
      <w:start w:val="1"/>
      <w:numFmt w:val="bullet"/>
      <w:pStyle w:val="AODocTxt"/>
      <w:lvlText w:val=""/>
      <w:lvlJc w:val="left"/>
      <w:pPr>
        <w:tabs>
          <w:tab w:val="num" w:pos="1080"/>
        </w:tabs>
        <w:ind w:left="1080" w:hanging="360"/>
      </w:pPr>
      <w:rPr>
        <w:rFonts w:ascii="Symbol" w:hAnsi="Symbol" w:hint="default"/>
      </w:rPr>
    </w:lvl>
    <w:lvl w:ilvl="1">
      <w:start w:val="1"/>
      <w:numFmt w:val="bullet"/>
      <w:pStyle w:val="AODocTxtL1"/>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5524F0"/>
    <w:multiLevelType w:val="singleLevel"/>
    <w:tmpl w:val="08090001"/>
    <w:name w:val="AOGen122"/>
    <w:lvl w:ilvl="0">
      <w:start w:val="1"/>
      <w:numFmt w:val="bullet"/>
      <w:lvlText w:val="·"/>
      <w:lvlJc w:val="left"/>
      <w:pPr>
        <w:tabs>
          <w:tab w:val="num" w:pos="360"/>
        </w:tabs>
        <w:ind w:left="360" w:hanging="360"/>
      </w:pPr>
      <w:rPr>
        <w:rFonts w:ascii="Symbol" w:hAnsi="Symbol" w:hint="default"/>
        <w:spacing w:val="0"/>
      </w:rPr>
    </w:lvl>
  </w:abstractNum>
  <w:abstractNum w:abstractNumId="28" w15:restartNumberingAfterBreak="0">
    <w:nsid w:val="62650B71"/>
    <w:multiLevelType w:val="hybridMultilevel"/>
    <w:tmpl w:val="75D60AF8"/>
    <w:lvl w:ilvl="0" w:tplc="48321306">
      <w:start w:val="1"/>
      <w:numFmt w:val="lowerLetter"/>
      <w:lvlText w:val="(%1)"/>
      <w:lvlJc w:val="left"/>
      <w:pPr>
        <w:tabs>
          <w:tab w:val="num" w:pos="9450"/>
        </w:tabs>
        <w:ind w:left="9450" w:hanging="360"/>
      </w:pPr>
      <w:rPr>
        <w:rFonts w:ascii="Arial" w:hAnsi="Arial" w:cs="Arial" w:hint="default"/>
        <w:b w:val="0"/>
        <w:i w:val="0"/>
      </w:rPr>
    </w:lvl>
    <w:lvl w:ilvl="1" w:tplc="04090019">
      <w:start w:val="1"/>
      <w:numFmt w:val="lowerLetter"/>
      <w:lvlText w:val="%2."/>
      <w:lvlJc w:val="left"/>
      <w:pPr>
        <w:tabs>
          <w:tab w:val="num" w:pos="8550"/>
        </w:tabs>
        <w:ind w:left="8550" w:hanging="360"/>
      </w:pPr>
    </w:lvl>
    <w:lvl w:ilvl="2" w:tplc="0409001B" w:tentative="1">
      <w:start w:val="1"/>
      <w:numFmt w:val="lowerRoman"/>
      <w:lvlText w:val="%3."/>
      <w:lvlJc w:val="right"/>
      <w:pPr>
        <w:tabs>
          <w:tab w:val="num" w:pos="9270"/>
        </w:tabs>
        <w:ind w:left="9270" w:hanging="180"/>
      </w:pPr>
    </w:lvl>
    <w:lvl w:ilvl="3" w:tplc="0409000F" w:tentative="1">
      <w:start w:val="1"/>
      <w:numFmt w:val="decimal"/>
      <w:lvlText w:val="%4."/>
      <w:lvlJc w:val="left"/>
      <w:pPr>
        <w:tabs>
          <w:tab w:val="num" w:pos="9990"/>
        </w:tabs>
        <w:ind w:left="9990" w:hanging="360"/>
      </w:pPr>
    </w:lvl>
    <w:lvl w:ilvl="4" w:tplc="04090019" w:tentative="1">
      <w:start w:val="1"/>
      <w:numFmt w:val="lowerLetter"/>
      <w:lvlText w:val="%5."/>
      <w:lvlJc w:val="left"/>
      <w:pPr>
        <w:tabs>
          <w:tab w:val="num" w:pos="10710"/>
        </w:tabs>
        <w:ind w:left="10710" w:hanging="360"/>
      </w:pPr>
    </w:lvl>
    <w:lvl w:ilvl="5" w:tplc="0409001B" w:tentative="1">
      <w:start w:val="1"/>
      <w:numFmt w:val="lowerRoman"/>
      <w:lvlText w:val="%6."/>
      <w:lvlJc w:val="right"/>
      <w:pPr>
        <w:tabs>
          <w:tab w:val="num" w:pos="11430"/>
        </w:tabs>
        <w:ind w:left="11430" w:hanging="180"/>
      </w:pPr>
    </w:lvl>
    <w:lvl w:ilvl="6" w:tplc="0409000F" w:tentative="1">
      <w:start w:val="1"/>
      <w:numFmt w:val="decimal"/>
      <w:lvlText w:val="%7."/>
      <w:lvlJc w:val="left"/>
      <w:pPr>
        <w:tabs>
          <w:tab w:val="num" w:pos="12150"/>
        </w:tabs>
        <w:ind w:left="12150" w:hanging="360"/>
      </w:pPr>
    </w:lvl>
    <w:lvl w:ilvl="7" w:tplc="04090019" w:tentative="1">
      <w:start w:val="1"/>
      <w:numFmt w:val="lowerLetter"/>
      <w:lvlText w:val="%8."/>
      <w:lvlJc w:val="left"/>
      <w:pPr>
        <w:tabs>
          <w:tab w:val="num" w:pos="12870"/>
        </w:tabs>
        <w:ind w:left="12870" w:hanging="360"/>
      </w:pPr>
    </w:lvl>
    <w:lvl w:ilvl="8" w:tplc="0409001B" w:tentative="1">
      <w:start w:val="1"/>
      <w:numFmt w:val="lowerRoman"/>
      <w:lvlText w:val="%9."/>
      <w:lvlJc w:val="right"/>
      <w:pPr>
        <w:tabs>
          <w:tab w:val="num" w:pos="13590"/>
        </w:tabs>
        <w:ind w:left="13590" w:hanging="180"/>
      </w:pPr>
    </w:lvl>
  </w:abstractNum>
  <w:abstractNum w:abstractNumId="29" w15:restartNumberingAfterBreak="0">
    <w:nsid w:val="64671DF0"/>
    <w:multiLevelType w:val="multilevel"/>
    <w:tmpl w:val="8278B326"/>
    <w:lvl w:ilvl="0">
      <w:start w:val="1"/>
      <w:numFmt w:val="bullet"/>
      <w:pStyle w:val="Bulle"/>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7492287"/>
    <w:multiLevelType w:val="hybridMultilevel"/>
    <w:tmpl w:val="5000A444"/>
    <w:lvl w:ilvl="0" w:tplc="AA087524">
      <w:start w:val="1"/>
      <w:numFmt w:val="upp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1" w15:restartNumberingAfterBreak="0">
    <w:nsid w:val="67A154F8"/>
    <w:multiLevelType w:val="hybridMultilevel"/>
    <w:tmpl w:val="BC1896D6"/>
    <w:lvl w:ilvl="0" w:tplc="DA2A34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1D1232"/>
    <w:multiLevelType w:val="multilevel"/>
    <w:tmpl w:val="8B12A7AC"/>
    <w:lvl w:ilvl="0">
      <w:start w:val="1"/>
      <w:numFmt w:val="decimal"/>
      <w:pStyle w:val="Level10"/>
      <w:lvlText w:val="%1"/>
      <w:lvlJc w:val="left"/>
      <w:pPr>
        <w:tabs>
          <w:tab w:val="num" w:pos="567"/>
        </w:tabs>
        <w:ind w:left="567" w:hanging="567"/>
      </w:pPr>
      <w:rPr>
        <w:rFonts w:hint="default"/>
        <w:b/>
        <w:i w:val="0"/>
        <w:sz w:val="22"/>
      </w:rPr>
    </w:lvl>
    <w:lvl w:ilvl="1">
      <w:start w:val="1"/>
      <w:numFmt w:val="decimal"/>
      <w:pStyle w:val="Level20"/>
      <w:lvlText w:val="%1.%2"/>
      <w:lvlJc w:val="left"/>
      <w:pPr>
        <w:tabs>
          <w:tab w:val="num" w:pos="1247"/>
        </w:tabs>
        <w:ind w:left="1247" w:hanging="680"/>
      </w:pPr>
      <w:rPr>
        <w:rFonts w:hint="default"/>
        <w:b/>
        <w:i w:val="0"/>
        <w:sz w:val="21"/>
      </w:rPr>
    </w:lvl>
    <w:lvl w:ilvl="2">
      <w:start w:val="1"/>
      <w:numFmt w:val="decimal"/>
      <w:pStyle w:val="Level30"/>
      <w:lvlText w:val="%1.%2.%3"/>
      <w:lvlJc w:val="left"/>
      <w:pPr>
        <w:tabs>
          <w:tab w:val="num" w:pos="2041"/>
        </w:tabs>
        <w:ind w:left="2041" w:hanging="794"/>
      </w:pPr>
      <w:rPr>
        <w:rFonts w:hint="default"/>
        <w:b/>
        <w:i w:val="0"/>
        <w:sz w:val="17"/>
      </w:rPr>
    </w:lvl>
    <w:lvl w:ilvl="3">
      <w:start w:val="1"/>
      <w:numFmt w:val="lowerRoman"/>
      <w:pStyle w:val="Level40"/>
      <w:lvlText w:val="(%4)"/>
      <w:lvlJc w:val="left"/>
      <w:pPr>
        <w:tabs>
          <w:tab w:val="num" w:pos="2722"/>
        </w:tabs>
        <w:ind w:left="2722" w:hanging="681"/>
      </w:pPr>
      <w:rPr>
        <w:rFonts w:hint="default"/>
      </w:rPr>
    </w:lvl>
    <w:lvl w:ilvl="4">
      <w:start w:val="1"/>
      <w:numFmt w:val="lowerLetter"/>
      <w:pStyle w:val="Level50"/>
      <w:lvlText w:val="(%5)"/>
      <w:lvlJc w:val="left"/>
      <w:pPr>
        <w:tabs>
          <w:tab w:val="num" w:pos="3289"/>
        </w:tabs>
        <w:ind w:left="3289" w:hanging="567"/>
      </w:pPr>
      <w:rPr>
        <w:rFonts w:hint="default"/>
      </w:rPr>
    </w:lvl>
    <w:lvl w:ilvl="5">
      <w:start w:val="1"/>
      <w:numFmt w:val="upperRoman"/>
      <w:pStyle w:val="Level60"/>
      <w:lvlText w:val="(%6)"/>
      <w:lvlJc w:val="left"/>
      <w:pPr>
        <w:tabs>
          <w:tab w:val="num" w:pos="3969"/>
        </w:tabs>
        <w:ind w:left="3969" w:hanging="680"/>
      </w:pPr>
      <w:rPr>
        <w:rFonts w:hint="default"/>
      </w:rPr>
    </w:lvl>
    <w:lvl w:ilvl="6">
      <w:start w:val="1"/>
      <w:numFmt w:val="none"/>
      <w:pStyle w:val="Level70"/>
      <w:lvlText w:val=""/>
      <w:lvlJc w:val="left"/>
      <w:pPr>
        <w:tabs>
          <w:tab w:val="num" w:pos="3969"/>
        </w:tabs>
        <w:ind w:left="3969" w:hanging="680"/>
      </w:pPr>
      <w:rPr>
        <w:rFonts w:hint="default"/>
      </w:rPr>
    </w:lvl>
    <w:lvl w:ilvl="7">
      <w:start w:val="1"/>
      <w:numFmt w:val="none"/>
      <w:pStyle w:val="Level80"/>
      <w:lvlText w:val=""/>
      <w:lvlJc w:val="left"/>
      <w:pPr>
        <w:tabs>
          <w:tab w:val="num" w:pos="3969"/>
        </w:tabs>
        <w:ind w:left="3969" w:hanging="680"/>
      </w:pPr>
      <w:rPr>
        <w:rFonts w:hint="default"/>
      </w:rPr>
    </w:lvl>
    <w:lvl w:ilvl="8">
      <w:start w:val="1"/>
      <w:numFmt w:val="none"/>
      <w:pStyle w:val="Level90"/>
      <w:lvlText w:val=""/>
      <w:lvlJc w:val="left"/>
      <w:pPr>
        <w:tabs>
          <w:tab w:val="num" w:pos="3969"/>
        </w:tabs>
        <w:ind w:left="3969" w:hanging="680"/>
      </w:pPr>
      <w:rPr>
        <w:rFonts w:hint="default"/>
      </w:rPr>
    </w:lvl>
  </w:abstractNum>
  <w:abstractNum w:abstractNumId="33" w15:restartNumberingAfterBreak="0">
    <w:nsid w:val="75AB67DB"/>
    <w:multiLevelType w:val="multilevel"/>
    <w:tmpl w:val="F69EAB98"/>
    <w:styleLink w:val="Style-Schedule"/>
    <w:lvl w:ilvl="0">
      <w:start w:val="1"/>
      <w:numFmt w:val="decimal"/>
      <w:pStyle w:val="Schedule-1Title"/>
      <w:suff w:val="space"/>
      <w:lvlText w:val="Schedule %1"/>
      <w:lvlJc w:val="left"/>
      <w:pPr>
        <w:ind w:left="0" w:firstLine="0"/>
      </w:pPr>
      <w:rPr>
        <w:rFonts w:ascii="Arial" w:hAnsi="Arial" w:hint="default"/>
        <w:b/>
        <w:i w:val="0"/>
        <w:sz w:val="22"/>
        <w:szCs w:val="22"/>
      </w:rPr>
    </w:lvl>
    <w:lvl w:ilvl="1">
      <w:start w:val="1"/>
      <w:numFmt w:val="decimal"/>
      <w:pStyle w:val="Schedule-2Title"/>
      <w:suff w:val="space"/>
      <w:lvlText w:val="Part %2"/>
      <w:lvlJc w:val="left"/>
      <w:pPr>
        <w:ind w:left="0" w:firstLine="0"/>
      </w:pPr>
      <w:rPr>
        <w:rFonts w:ascii="Arial Bold" w:eastAsia="SimSun" w:hAnsi="Arial Bold" w:hint="default"/>
        <w:b/>
        <w:i w:val="0"/>
        <w:sz w:val="20"/>
        <w:szCs w:val="20"/>
      </w:rPr>
    </w:lvl>
    <w:lvl w:ilvl="2">
      <w:start w:val="1"/>
      <w:numFmt w:val="decimal"/>
      <w:pStyle w:val="Schedule-3Title"/>
      <w:lvlText w:val="%2.%3"/>
      <w:lvlJc w:val="left"/>
      <w:pPr>
        <w:tabs>
          <w:tab w:val="num" w:pos="0"/>
        </w:tabs>
        <w:ind w:left="720" w:hanging="720"/>
      </w:pPr>
      <w:rPr>
        <w:rFonts w:hint="default"/>
        <w:b/>
        <w:i w:val="0"/>
        <w:sz w:val="20"/>
        <w:szCs w:val="20"/>
      </w:rPr>
    </w:lvl>
    <w:lvl w:ilvl="3">
      <w:start w:val="1"/>
      <w:numFmt w:val="decimal"/>
      <w:lvlRestart w:val="1"/>
      <w:pStyle w:val="ScheduleH1"/>
      <w:lvlText w:val="%4"/>
      <w:lvlJc w:val="left"/>
      <w:pPr>
        <w:tabs>
          <w:tab w:val="num" w:pos="0"/>
        </w:tabs>
        <w:ind w:left="720" w:hanging="720"/>
      </w:pPr>
      <w:rPr>
        <w:rFonts w:hint="default"/>
        <w:b/>
        <w:i w:val="0"/>
        <w:sz w:val="22"/>
        <w:szCs w:val="22"/>
      </w:rPr>
    </w:lvl>
    <w:lvl w:ilvl="4">
      <w:start w:val="1"/>
      <w:numFmt w:val="decimal"/>
      <w:pStyle w:val="ScheduleH2"/>
      <w:lvlText w:val="%4.%5"/>
      <w:lvlJc w:val="left"/>
      <w:pPr>
        <w:tabs>
          <w:tab w:val="num" w:pos="0"/>
        </w:tabs>
        <w:ind w:left="720" w:hanging="720"/>
      </w:pPr>
      <w:rPr>
        <w:rFonts w:hint="default"/>
        <w:b/>
        <w:i w:val="0"/>
        <w:sz w:val="21"/>
        <w:szCs w:val="21"/>
      </w:rPr>
    </w:lvl>
    <w:lvl w:ilvl="5">
      <w:start w:val="1"/>
      <w:numFmt w:val="decimal"/>
      <w:pStyle w:val="ScheduleH3"/>
      <w:lvlText w:val="%4.%5.%6"/>
      <w:lvlJc w:val="left"/>
      <w:pPr>
        <w:tabs>
          <w:tab w:val="num" w:pos="1440"/>
        </w:tabs>
        <w:ind w:left="1440" w:hanging="720"/>
      </w:pPr>
      <w:rPr>
        <w:rFonts w:hint="default"/>
        <w:b/>
        <w:i w:val="0"/>
        <w:sz w:val="17"/>
        <w:szCs w:val="17"/>
      </w:rPr>
    </w:lvl>
    <w:lvl w:ilvl="6">
      <w:start w:val="1"/>
      <w:numFmt w:val="lowerRoman"/>
      <w:pStyle w:val="ScheduleH4"/>
      <w:lvlText w:val="(%7)"/>
      <w:lvlJc w:val="left"/>
      <w:pPr>
        <w:tabs>
          <w:tab w:val="num" w:pos="2160"/>
        </w:tabs>
        <w:ind w:left="2160" w:hanging="576"/>
      </w:pPr>
      <w:rPr>
        <w:rFonts w:hint="default"/>
        <w:sz w:val="17"/>
        <w:szCs w:val="17"/>
      </w:rPr>
    </w:lvl>
    <w:lvl w:ilvl="7">
      <w:start w:val="1"/>
      <w:numFmt w:val="lowerLetter"/>
      <w:pStyle w:val="ScheduleH5"/>
      <w:lvlText w:val="(%8)"/>
      <w:lvlJc w:val="left"/>
      <w:pPr>
        <w:tabs>
          <w:tab w:val="num" w:pos="2592"/>
        </w:tabs>
        <w:ind w:left="2592" w:hanging="432"/>
      </w:pPr>
      <w:rPr>
        <w:rFonts w:hint="default"/>
        <w:sz w:val="17"/>
        <w:szCs w:val="17"/>
      </w:rPr>
    </w:lvl>
    <w:lvl w:ilvl="8">
      <w:start w:val="1"/>
      <w:numFmt w:val="upperRoman"/>
      <w:pStyle w:val="ScheduleH6"/>
      <w:lvlText w:val="(%9)"/>
      <w:lvlJc w:val="left"/>
      <w:pPr>
        <w:tabs>
          <w:tab w:val="num" w:pos="3168"/>
        </w:tabs>
        <w:ind w:left="3168" w:hanging="576"/>
      </w:pPr>
      <w:rPr>
        <w:rFonts w:hint="default"/>
        <w:sz w:val="17"/>
        <w:szCs w:val="17"/>
      </w:rPr>
    </w:lvl>
  </w:abstractNum>
  <w:abstractNum w:abstractNumId="34" w15:restartNumberingAfterBreak="0">
    <w:nsid w:val="76531112"/>
    <w:multiLevelType w:val="hybridMultilevel"/>
    <w:tmpl w:val="E070D400"/>
    <w:lvl w:ilvl="0" w:tplc="DBCA7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F372EF"/>
    <w:multiLevelType w:val="hybridMultilevel"/>
    <w:tmpl w:val="55A89DA2"/>
    <w:lvl w:ilvl="0" w:tplc="220EDC02">
      <w:start w:val="1"/>
      <w:numFmt w:val="decimal"/>
      <w:lvlText w:val="%1"/>
      <w:lvlJc w:val="left"/>
      <w:pPr>
        <w:ind w:left="360"/>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1" w:tplc="BBE032C0">
      <w:start w:val="1"/>
      <w:numFmt w:val="lowerLetter"/>
      <w:lvlText w:val="%2"/>
      <w:lvlJc w:val="left"/>
      <w:pPr>
        <w:ind w:left="719"/>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2" w:tplc="502C3E3C">
      <w:start w:val="1"/>
      <w:numFmt w:val="lowerRoman"/>
      <w:lvlText w:val="%3"/>
      <w:lvlJc w:val="left"/>
      <w:pPr>
        <w:ind w:left="1078"/>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3" w:tplc="D5628D4A">
      <w:start w:val="1"/>
      <w:numFmt w:val="decimal"/>
      <w:lvlText w:val="%4"/>
      <w:lvlJc w:val="left"/>
      <w:pPr>
        <w:ind w:left="1438"/>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4" w:tplc="E866157A">
      <w:start w:val="1"/>
      <w:numFmt w:val="decimal"/>
      <w:lvlRestart w:val="0"/>
      <w:lvlText w:val="(%5)"/>
      <w:lvlJc w:val="left"/>
      <w:pPr>
        <w:ind w:left="2395"/>
      </w:pPr>
      <w:rPr>
        <w:rFonts w:ascii="Arial" w:eastAsia="Times New Roman" w:hAnsi="Arial" w:cs="Arial" w:hint="default"/>
        <w:b w:val="0"/>
        <w:i w:val="0"/>
        <w:strike w:val="0"/>
        <w:dstrike w:val="0"/>
        <w:color w:val="231915"/>
        <w:sz w:val="20"/>
        <w:szCs w:val="20"/>
        <w:u w:val="none" w:color="000000"/>
        <w:bdr w:val="none" w:sz="0" w:space="0" w:color="auto"/>
        <w:shd w:val="clear" w:color="auto" w:fill="auto"/>
        <w:vertAlign w:val="baseline"/>
      </w:rPr>
    </w:lvl>
    <w:lvl w:ilvl="5" w:tplc="02CA6DB0">
      <w:start w:val="1"/>
      <w:numFmt w:val="lowerRoman"/>
      <w:lvlText w:val="%6"/>
      <w:lvlJc w:val="left"/>
      <w:pPr>
        <w:ind w:left="2517"/>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6" w:tplc="7FBCE44E">
      <w:start w:val="1"/>
      <w:numFmt w:val="decimal"/>
      <w:lvlText w:val="%7"/>
      <w:lvlJc w:val="left"/>
      <w:pPr>
        <w:ind w:left="3237"/>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7" w:tplc="349215F0">
      <w:start w:val="1"/>
      <w:numFmt w:val="lowerLetter"/>
      <w:lvlText w:val="%8"/>
      <w:lvlJc w:val="left"/>
      <w:pPr>
        <w:ind w:left="3957"/>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lvl w:ilvl="8" w:tplc="F69AF7FA">
      <w:start w:val="1"/>
      <w:numFmt w:val="lowerRoman"/>
      <w:lvlText w:val="%9"/>
      <w:lvlJc w:val="left"/>
      <w:pPr>
        <w:ind w:left="4677"/>
      </w:pPr>
      <w:rPr>
        <w:rFonts w:ascii="Times New Roman" w:eastAsia="Times New Roman" w:hAnsi="Times New Roman" w:cs="Times New Roman"/>
        <w:b w:val="0"/>
        <w:i w:val="0"/>
        <w:strike w:val="0"/>
        <w:dstrike w:val="0"/>
        <w:color w:val="231915"/>
        <w:sz w:val="20"/>
        <w:szCs w:val="20"/>
        <w:u w:val="none" w:color="000000"/>
        <w:bdr w:val="none" w:sz="0" w:space="0" w:color="auto"/>
        <w:shd w:val="clear" w:color="auto" w:fill="auto"/>
        <w:vertAlign w:val="baseline"/>
      </w:rPr>
    </w:lvl>
  </w:abstractNum>
  <w:num w:numId="1" w16cid:durableId="1878002305">
    <w:abstractNumId w:val="24"/>
  </w:num>
  <w:num w:numId="2" w16cid:durableId="1883983836">
    <w:abstractNumId w:val="32"/>
  </w:num>
  <w:num w:numId="3" w16cid:durableId="2146384399">
    <w:abstractNumId w:val="26"/>
  </w:num>
  <w:num w:numId="4" w16cid:durableId="169878417">
    <w:abstractNumId w:val="11"/>
  </w:num>
  <w:num w:numId="5" w16cid:durableId="830489787">
    <w:abstractNumId w:val="17"/>
  </w:num>
  <w:num w:numId="6" w16cid:durableId="578366731">
    <w:abstractNumId w:val="29"/>
  </w:num>
  <w:num w:numId="7" w16cid:durableId="1993827594">
    <w:abstractNumId w:val="7"/>
  </w:num>
  <w:num w:numId="8" w16cid:durableId="1473405118">
    <w:abstractNumId w:val="22"/>
  </w:num>
  <w:num w:numId="9" w16cid:durableId="243540169">
    <w:abstractNumId w:val="28"/>
  </w:num>
  <w:num w:numId="10" w16cid:durableId="1751077106">
    <w:abstractNumId w:val="1"/>
  </w:num>
  <w:num w:numId="11" w16cid:durableId="375856878">
    <w:abstractNumId w:val="33"/>
    <w:lvlOverride w:ilvl="0">
      <w:lvl w:ilvl="0">
        <w:start w:val="1"/>
        <w:numFmt w:val="decimal"/>
        <w:pStyle w:val="Schedule-1Title"/>
        <w:suff w:val="space"/>
        <w:lvlText w:val="Schedule %1"/>
        <w:lvlJc w:val="left"/>
        <w:pPr>
          <w:ind w:left="0" w:firstLine="0"/>
        </w:pPr>
        <w:rPr>
          <w:rFonts w:ascii="Arial Bold" w:eastAsia="SimSun" w:hAnsi="Arial Bold" w:hint="default"/>
          <w:b/>
          <w:i w:val="0"/>
          <w:sz w:val="22"/>
          <w:szCs w:val="22"/>
        </w:rPr>
      </w:lvl>
    </w:lvlOverride>
    <w:lvlOverride w:ilvl="1">
      <w:lvl w:ilvl="1">
        <w:start w:val="1"/>
        <w:numFmt w:val="decimal"/>
        <w:pStyle w:val="Schedule-2Title"/>
        <w:suff w:val="space"/>
        <w:lvlText w:val="Part %2"/>
        <w:lvlJc w:val="left"/>
        <w:pPr>
          <w:ind w:left="0" w:firstLine="0"/>
        </w:pPr>
        <w:rPr>
          <w:rFonts w:ascii="Arial Bold" w:eastAsia="SimSun" w:hAnsi="Arial Bold" w:hint="default"/>
          <w:b/>
          <w:i w:val="0"/>
          <w:sz w:val="21"/>
          <w:szCs w:val="21"/>
        </w:rPr>
      </w:lvl>
    </w:lvlOverride>
    <w:lvlOverride w:ilvl="2">
      <w:lvl w:ilvl="2">
        <w:start w:val="1"/>
        <w:numFmt w:val="decimal"/>
        <w:pStyle w:val="Schedule-3Title"/>
        <w:suff w:val="space"/>
        <w:lvlText w:val="%2.%3"/>
        <w:lvlJc w:val="left"/>
        <w:pPr>
          <w:ind w:left="720" w:hanging="720"/>
        </w:pPr>
        <w:rPr>
          <w:rFonts w:ascii="Arial Bold" w:eastAsia="SimSun" w:hAnsi="Arial Bold" w:hint="default"/>
          <w:b/>
          <w:i w:val="0"/>
          <w:sz w:val="21"/>
          <w:szCs w:val="21"/>
        </w:rPr>
      </w:lvl>
    </w:lvlOverride>
    <w:lvlOverride w:ilvl="3">
      <w:lvl w:ilvl="3">
        <w:start w:val="1"/>
        <w:numFmt w:val="decimal"/>
        <w:lvlRestart w:val="1"/>
        <w:pStyle w:val="ScheduleH1"/>
        <w:lvlText w:val="%4."/>
        <w:lvlJc w:val="left"/>
        <w:pPr>
          <w:tabs>
            <w:tab w:val="num" w:pos="0"/>
          </w:tabs>
          <w:ind w:left="720" w:hanging="720"/>
        </w:pPr>
        <w:rPr>
          <w:rFonts w:ascii="Arial Bold" w:eastAsia="SimSun" w:hAnsi="Arial Bold" w:hint="default"/>
          <w:b/>
          <w:i w:val="0"/>
          <w:sz w:val="22"/>
          <w:szCs w:val="22"/>
        </w:rPr>
      </w:lvl>
    </w:lvlOverride>
    <w:lvlOverride w:ilvl="4">
      <w:lvl w:ilvl="4">
        <w:start w:val="1"/>
        <w:numFmt w:val="decimal"/>
        <w:pStyle w:val="ScheduleH2"/>
        <w:lvlText w:val="%4.%5"/>
        <w:lvlJc w:val="left"/>
        <w:pPr>
          <w:tabs>
            <w:tab w:val="num" w:pos="0"/>
          </w:tabs>
          <w:ind w:left="720" w:hanging="720"/>
        </w:pPr>
        <w:rPr>
          <w:rFonts w:ascii="Arial Bold" w:eastAsia="SimSun" w:hAnsi="Arial Bold" w:hint="default"/>
          <w:b/>
          <w:i w:val="0"/>
          <w:sz w:val="21"/>
          <w:szCs w:val="21"/>
        </w:rPr>
      </w:lvl>
    </w:lvlOverride>
    <w:lvlOverride w:ilvl="5">
      <w:lvl w:ilvl="5">
        <w:start w:val="1"/>
        <w:numFmt w:val="decimal"/>
        <w:pStyle w:val="ScheduleH3"/>
        <w:lvlText w:val="%4.%5.%6"/>
        <w:lvlJc w:val="left"/>
        <w:pPr>
          <w:tabs>
            <w:tab w:val="num" w:pos="1440"/>
          </w:tabs>
          <w:ind w:left="1440" w:hanging="720"/>
        </w:pPr>
        <w:rPr>
          <w:rFonts w:ascii="Arial Bold" w:eastAsia="SimSun" w:hAnsi="Arial Bold" w:hint="default"/>
          <w:b/>
          <w:i w:val="0"/>
          <w:sz w:val="17"/>
          <w:szCs w:val="17"/>
        </w:rPr>
      </w:lvl>
    </w:lvlOverride>
    <w:lvlOverride w:ilvl="6">
      <w:lvl w:ilvl="6">
        <w:start w:val="1"/>
        <w:numFmt w:val="lowerRoman"/>
        <w:pStyle w:val="ScheduleH4"/>
        <w:lvlText w:val="(%7)"/>
        <w:lvlJc w:val="left"/>
        <w:pPr>
          <w:tabs>
            <w:tab w:val="num" w:pos="2160"/>
          </w:tabs>
          <w:ind w:left="2160" w:hanging="720"/>
        </w:pPr>
        <w:rPr>
          <w:rFonts w:ascii="Arial" w:eastAsia="SimSun" w:hAnsi="Arial" w:hint="default"/>
          <w:b w:val="0"/>
          <w:i w:val="0"/>
          <w:sz w:val="20"/>
          <w:szCs w:val="20"/>
        </w:rPr>
      </w:lvl>
    </w:lvlOverride>
    <w:lvlOverride w:ilvl="7">
      <w:lvl w:ilvl="7">
        <w:start w:val="1"/>
        <w:numFmt w:val="lowerLetter"/>
        <w:pStyle w:val="ScheduleH5"/>
        <w:lvlText w:val="(%8)"/>
        <w:lvlJc w:val="left"/>
        <w:pPr>
          <w:tabs>
            <w:tab w:val="num" w:pos="2592"/>
          </w:tabs>
          <w:ind w:left="2592" w:hanging="432"/>
        </w:pPr>
        <w:rPr>
          <w:rFonts w:ascii="Arial" w:eastAsia="SimSun" w:hAnsi="Arial" w:hint="default"/>
          <w:b w:val="0"/>
          <w:i w:val="0"/>
          <w:sz w:val="20"/>
          <w:szCs w:val="20"/>
        </w:rPr>
      </w:lvl>
    </w:lvlOverride>
    <w:lvlOverride w:ilvl="8">
      <w:lvl w:ilvl="8">
        <w:start w:val="1"/>
        <w:numFmt w:val="upperRoman"/>
        <w:pStyle w:val="ScheduleH6"/>
        <w:lvlText w:val="(%9)"/>
        <w:lvlJc w:val="left"/>
        <w:pPr>
          <w:tabs>
            <w:tab w:val="num" w:pos="3168"/>
          </w:tabs>
          <w:ind w:left="3168" w:hanging="576"/>
        </w:pPr>
        <w:rPr>
          <w:rFonts w:ascii="Arial" w:eastAsia="SimSun" w:hAnsi="Arial" w:hint="default"/>
          <w:b w:val="0"/>
          <w:i w:val="0"/>
          <w:sz w:val="20"/>
          <w:szCs w:val="20"/>
        </w:rPr>
      </w:lvl>
    </w:lvlOverride>
  </w:num>
  <w:num w:numId="12" w16cid:durableId="1265961952">
    <w:abstractNumId w:val="2"/>
  </w:num>
  <w:num w:numId="13" w16cid:durableId="833761505">
    <w:abstractNumId w:val="10"/>
  </w:num>
  <w:num w:numId="14" w16cid:durableId="508640872">
    <w:abstractNumId w:val="8"/>
  </w:num>
  <w:num w:numId="15" w16cid:durableId="1516575355">
    <w:abstractNumId w:val="31"/>
  </w:num>
  <w:num w:numId="16" w16cid:durableId="1430127102">
    <w:abstractNumId w:val="9"/>
  </w:num>
  <w:num w:numId="17" w16cid:durableId="734402263">
    <w:abstractNumId w:val="33"/>
  </w:num>
  <w:num w:numId="18" w16cid:durableId="1279675906">
    <w:abstractNumId w:val="4"/>
  </w:num>
  <w:num w:numId="19" w16cid:durableId="796753656">
    <w:abstractNumId w:val="25"/>
  </w:num>
  <w:num w:numId="20" w16cid:durableId="1624339980">
    <w:abstractNumId w:val="13"/>
  </w:num>
  <w:num w:numId="21" w16cid:durableId="1012142344">
    <w:abstractNumId w:val="5"/>
  </w:num>
  <w:num w:numId="22" w16cid:durableId="902064603">
    <w:abstractNumId w:val="0"/>
  </w:num>
  <w:num w:numId="23" w16cid:durableId="1683360017">
    <w:abstractNumId w:val="12"/>
  </w:num>
  <w:num w:numId="24" w16cid:durableId="1732653006">
    <w:abstractNumId w:val="30"/>
  </w:num>
  <w:num w:numId="25" w16cid:durableId="1439328373">
    <w:abstractNumId w:val="20"/>
  </w:num>
  <w:num w:numId="26" w16cid:durableId="651108210">
    <w:abstractNumId w:val="19"/>
  </w:num>
  <w:num w:numId="27" w16cid:durableId="513347194">
    <w:abstractNumId w:val="35"/>
  </w:num>
  <w:num w:numId="28" w16cid:durableId="1964919923">
    <w:abstractNumId w:val="14"/>
  </w:num>
  <w:num w:numId="29" w16cid:durableId="1564637193">
    <w:abstractNumId w:val="6"/>
  </w:num>
  <w:num w:numId="30" w16cid:durableId="1971544846">
    <w:abstractNumId w:val="16"/>
  </w:num>
  <w:num w:numId="31" w16cid:durableId="1913543435">
    <w:abstractNumId w:val="34"/>
  </w:num>
  <w:num w:numId="32" w16cid:durableId="201969640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EA"/>
    <w:rsid w:val="00000FBB"/>
    <w:rsid w:val="00002798"/>
    <w:rsid w:val="00002C12"/>
    <w:rsid w:val="00004F42"/>
    <w:rsid w:val="0000565F"/>
    <w:rsid w:val="00005BB0"/>
    <w:rsid w:val="00006E37"/>
    <w:rsid w:val="00007193"/>
    <w:rsid w:val="000107B9"/>
    <w:rsid w:val="00010B5C"/>
    <w:rsid w:val="000111D3"/>
    <w:rsid w:val="00011532"/>
    <w:rsid w:val="00012023"/>
    <w:rsid w:val="00013432"/>
    <w:rsid w:val="00014411"/>
    <w:rsid w:val="00014F6D"/>
    <w:rsid w:val="0001533A"/>
    <w:rsid w:val="00015B08"/>
    <w:rsid w:val="00015D6A"/>
    <w:rsid w:val="00017C09"/>
    <w:rsid w:val="0002011D"/>
    <w:rsid w:val="00021196"/>
    <w:rsid w:val="00021D26"/>
    <w:rsid w:val="00022ABF"/>
    <w:rsid w:val="00023058"/>
    <w:rsid w:val="00023102"/>
    <w:rsid w:val="00023B2B"/>
    <w:rsid w:val="00024410"/>
    <w:rsid w:val="000250FC"/>
    <w:rsid w:val="00025EEA"/>
    <w:rsid w:val="00026071"/>
    <w:rsid w:val="00032B80"/>
    <w:rsid w:val="00035056"/>
    <w:rsid w:val="000362B7"/>
    <w:rsid w:val="00036353"/>
    <w:rsid w:val="00036762"/>
    <w:rsid w:val="0003700B"/>
    <w:rsid w:val="000401DE"/>
    <w:rsid w:val="00040617"/>
    <w:rsid w:val="0004088A"/>
    <w:rsid w:val="000422A8"/>
    <w:rsid w:val="000431C5"/>
    <w:rsid w:val="000438B3"/>
    <w:rsid w:val="00044F85"/>
    <w:rsid w:val="00045246"/>
    <w:rsid w:val="000502AD"/>
    <w:rsid w:val="0005142D"/>
    <w:rsid w:val="000517D8"/>
    <w:rsid w:val="00052382"/>
    <w:rsid w:val="00052BF8"/>
    <w:rsid w:val="00052E96"/>
    <w:rsid w:val="00054EC8"/>
    <w:rsid w:val="000552AB"/>
    <w:rsid w:val="00061EAE"/>
    <w:rsid w:val="00062315"/>
    <w:rsid w:val="0006253F"/>
    <w:rsid w:val="00064395"/>
    <w:rsid w:val="000643E8"/>
    <w:rsid w:val="00066029"/>
    <w:rsid w:val="00067234"/>
    <w:rsid w:val="0007071A"/>
    <w:rsid w:val="00070A82"/>
    <w:rsid w:val="00070D5A"/>
    <w:rsid w:val="0007145E"/>
    <w:rsid w:val="000715DB"/>
    <w:rsid w:val="000722F2"/>
    <w:rsid w:val="000746AB"/>
    <w:rsid w:val="0007516E"/>
    <w:rsid w:val="000754E0"/>
    <w:rsid w:val="00075954"/>
    <w:rsid w:val="00076120"/>
    <w:rsid w:val="00077323"/>
    <w:rsid w:val="0008120E"/>
    <w:rsid w:val="00082B50"/>
    <w:rsid w:val="0008642A"/>
    <w:rsid w:val="00087B13"/>
    <w:rsid w:val="00091059"/>
    <w:rsid w:val="000932A7"/>
    <w:rsid w:val="00093648"/>
    <w:rsid w:val="00094D98"/>
    <w:rsid w:val="000964AE"/>
    <w:rsid w:val="000977C5"/>
    <w:rsid w:val="00097EF2"/>
    <w:rsid w:val="000A00E0"/>
    <w:rsid w:val="000A2511"/>
    <w:rsid w:val="000A28AE"/>
    <w:rsid w:val="000A3599"/>
    <w:rsid w:val="000A3BE8"/>
    <w:rsid w:val="000A4066"/>
    <w:rsid w:val="000A47E2"/>
    <w:rsid w:val="000A4DEA"/>
    <w:rsid w:val="000A5344"/>
    <w:rsid w:val="000A672A"/>
    <w:rsid w:val="000A6B2C"/>
    <w:rsid w:val="000A7796"/>
    <w:rsid w:val="000B05B3"/>
    <w:rsid w:val="000B1129"/>
    <w:rsid w:val="000B1620"/>
    <w:rsid w:val="000B1848"/>
    <w:rsid w:val="000B57F7"/>
    <w:rsid w:val="000B5E99"/>
    <w:rsid w:val="000B63D4"/>
    <w:rsid w:val="000B6AEC"/>
    <w:rsid w:val="000C0AF6"/>
    <w:rsid w:val="000C0CCF"/>
    <w:rsid w:val="000C2050"/>
    <w:rsid w:val="000C252C"/>
    <w:rsid w:val="000C25E3"/>
    <w:rsid w:val="000C2B95"/>
    <w:rsid w:val="000C4708"/>
    <w:rsid w:val="000C4FBB"/>
    <w:rsid w:val="000C5B66"/>
    <w:rsid w:val="000C7F0A"/>
    <w:rsid w:val="000D0593"/>
    <w:rsid w:val="000D0A47"/>
    <w:rsid w:val="000D11FC"/>
    <w:rsid w:val="000D146E"/>
    <w:rsid w:val="000D2630"/>
    <w:rsid w:val="000D300C"/>
    <w:rsid w:val="000D3176"/>
    <w:rsid w:val="000D342C"/>
    <w:rsid w:val="000D3F01"/>
    <w:rsid w:val="000D4AAA"/>
    <w:rsid w:val="000D4DA1"/>
    <w:rsid w:val="000D4EA1"/>
    <w:rsid w:val="000D5627"/>
    <w:rsid w:val="000D5988"/>
    <w:rsid w:val="000D5DD3"/>
    <w:rsid w:val="000D6CBE"/>
    <w:rsid w:val="000D6F6F"/>
    <w:rsid w:val="000E0CAC"/>
    <w:rsid w:val="000E19F5"/>
    <w:rsid w:val="000E2195"/>
    <w:rsid w:val="000E26B2"/>
    <w:rsid w:val="000E3D3C"/>
    <w:rsid w:val="000E606A"/>
    <w:rsid w:val="000E64E5"/>
    <w:rsid w:val="000E675B"/>
    <w:rsid w:val="000F0371"/>
    <w:rsid w:val="000F0401"/>
    <w:rsid w:val="000F0789"/>
    <w:rsid w:val="000F11AC"/>
    <w:rsid w:val="000F1C0F"/>
    <w:rsid w:val="000F1F5E"/>
    <w:rsid w:val="000F2B97"/>
    <w:rsid w:val="000F3289"/>
    <w:rsid w:val="000F479B"/>
    <w:rsid w:val="000F6398"/>
    <w:rsid w:val="000F6602"/>
    <w:rsid w:val="000F6B08"/>
    <w:rsid w:val="000F70B2"/>
    <w:rsid w:val="000F76D1"/>
    <w:rsid w:val="000F7769"/>
    <w:rsid w:val="000F7D52"/>
    <w:rsid w:val="0010046E"/>
    <w:rsid w:val="001011BC"/>
    <w:rsid w:val="00101B4F"/>
    <w:rsid w:val="001021DA"/>
    <w:rsid w:val="00111316"/>
    <w:rsid w:val="001119CF"/>
    <w:rsid w:val="00112086"/>
    <w:rsid w:val="00112CB4"/>
    <w:rsid w:val="0011358C"/>
    <w:rsid w:val="00113E80"/>
    <w:rsid w:val="00114EE6"/>
    <w:rsid w:val="00115418"/>
    <w:rsid w:val="0011641E"/>
    <w:rsid w:val="00117994"/>
    <w:rsid w:val="001204DA"/>
    <w:rsid w:val="00120654"/>
    <w:rsid w:val="00120A47"/>
    <w:rsid w:val="00120AAC"/>
    <w:rsid w:val="00121470"/>
    <w:rsid w:val="00121CED"/>
    <w:rsid w:val="00122341"/>
    <w:rsid w:val="00123079"/>
    <w:rsid w:val="00123231"/>
    <w:rsid w:val="00123598"/>
    <w:rsid w:val="0012545F"/>
    <w:rsid w:val="0012566D"/>
    <w:rsid w:val="00125D81"/>
    <w:rsid w:val="0012687E"/>
    <w:rsid w:val="00126C60"/>
    <w:rsid w:val="00126C86"/>
    <w:rsid w:val="00127449"/>
    <w:rsid w:val="0012788D"/>
    <w:rsid w:val="0013276B"/>
    <w:rsid w:val="0013287F"/>
    <w:rsid w:val="00133020"/>
    <w:rsid w:val="001338EC"/>
    <w:rsid w:val="00134DE5"/>
    <w:rsid w:val="001355F2"/>
    <w:rsid w:val="0013604A"/>
    <w:rsid w:val="0014016D"/>
    <w:rsid w:val="0014039A"/>
    <w:rsid w:val="00140CB9"/>
    <w:rsid w:val="00142343"/>
    <w:rsid w:val="00142D47"/>
    <w:rsid w:val="00142DC5"/>
    <w:rsid w:val="00142EE3"/>
    <w:rsid w:val="00143873"/>
    <w:rsid w:val="00143BCF"/>
    <w:rsid w:val="00144B68"/>
    <w:rsid w:val="0014501F"/>
    <w:rsid w:val="001459A9"/>
    <w:rsid w:val="0014719B"/>
    <w:rsid w:val="001472F7"/>
    <w:rsid w:val="001475F1"/>
    <w:rsid w:val="0015064C"/>
    <w:rsid w:val="001506F2"/>
    <w:rsid w:val="00150F24"/>
    <w:rsid w:val="0015110B"/>
    <w:rsid w:val="001518D5"/>
    <w:rsid w:val="00152248"/>
    <w:rsid w:val="00152457"/>
    <w:rsid w:val="00152C3A"/>
    <w:rsid w:val="00152CE5"/>
    <w:rsid w:val="001532E2"/>
    <w:rsid w:val="00154D58"/>
    <w:rsid w:val="00156428"/>
    <w:rsid w:val="00156B26"/>
    <w:rsid w:val="00160181"/>
    <w:rsid w:val="001602BE"/>
    <w:rsid w:val="00160E62"/>
    <w:rsid w:val="001613F6"/>
    <w:rsid w:val="0016254F"/>
    <w:rsid w:val="001632A4"/>
    <w:rsid w:val="001632C4"/>
    <w:rsid w:val="00163AD7"/>
    <w:rsid w:val="00164A49"/>
    <w:rsid w:val="00164D0B"/>
    <w:rsid w:val="0016590F"/>
    <w:rsid w:val="00167683"/>
    <w:rsid w:val="00172BD5"/>
    <w:rsid w:val="00174977"/>
    <w:rsid w:val="00174CF6"/>
    <w:rsid w:val="00175D0A"/>
    <w:rsid w:val="001768AF"/>
    <w:rsid w:val="00176EC3"/>
    <w:rsid w:val="0018011C"/>
    <w:rsid w:val="0018048D"/>
    <w:rsid w:val="0018129F"/>
    <w:rsid w:val="00181A9B"/>
    <w:rsid w:val="0018231E"/>
    <w:rsid w:val="00182EDD"/>
    <w:rsid w:val="00184764"/>
    <w:rsid w:val="00185B86"/>
    <w:rsid w:val="00185D10"/>
    <w:rsid w:val="00187129"/>
    <w:rsid w:val="00187629"/>
    <w:rsid w:val="00187794"/>
    <w:rsid w:val="00187A16"/>
    <w:rsid w:val="00191623"/>
    <w:rsid w:val="001926DA"/>
    <w:rsid w:val="00193AF9"/>
    <w:rsid w:val="001940A0"/>
    <w:rsid w:val="001944EA"/>
    <w:rsid w:val="00194793"/>
    <w:rsid w:val="00196730"/>
    <w:rsid w:val="00196F6A"/>
    <w:rsid w:val="00197AE9"/>
    <w:rsid w:val="00197CCC"/>
    <w:rsid w:val="001A01B9"/>
    <w:rsid w:val="001A0CA3"/>
    <w:rsid w:val="001A19BA"/>
    <w:rsid w:val="001A44C6"/>
    <w:rsid w:val="001A45F7"/>
    <w:rsid w:val="001A5C0D"/>
    <w:rsid w:val="001A6377"/>
    <w:rsid w:val="001A711A"/>
    <w:rsid w:val="001A75F8"/>
    <w:rsid w:val="001A7643"/>
    <w:rsid w:val="001B08DE"/>
    <w:rsid w:val="001B0D36"/>
    <w:rsid w:val="001B1531"/>
    <w:rsid w:val="001B2A6D"/>
    <w:rsid w:val="001B33C6"/>
    <w:rsid w:val="001B3A69"/>
    <w:rsid w:val="001B3C56"/>
    <w:rsid w:val="001B4AD8"/>
    <w:rsid w:val="001B5DC1"/>
    <w:rsid w:val="001B5E05"/>
    <w:rsid w:val="001B655D"/>
    <w:rsid w:val="001B6A43"/>
    <w:rsid w:val="001C0AF2"/>
    <w:rsid w:val="001C2111"/>
    <w:rsid w:val="001C2B5D"/>
    <w:rsid w:val="001C3123"/>
    <w:rsid w:val="001C4316"/>
    <w:rsid w:val="001C49E8"/>
    <w:rsid w:val="001C4CB1"/>
    <w:rsid w:val="001D1338"/>
    <w:rsid w:val="001D205B"/>
    <w:rsid w:val="001D2137"/>
    <w:rsid w:val="001D5239"/>
    <w:rsid w:val="001D532A"/>
    <w:rsid w:val="001D6198"/>
    <w:rsid w:val="001D68C1"/>
    <w:rsid w:val="001D6AFE"/>
    <w:rsid w:val="001D6D10"/>
    <w:rsid w:val="001D6F05"/>
    <w:rsid w:val="001E0A33"/>
    <w:rsid w:val="001E11BF"/>
    <w:rsid w:val="001E3484"/>
    <w:rsid w:val="001E3B58"/>
    <w:rsid w:val="001E47C2"/>
    <w:rsid w:val="001E4941"/>
    <w:rsid w:val="001E7D31"/>
    <w:rsid w:val="001F08AA"/>
    <w:rsid w:val="001F1AC6"/>
    <w:rsid w:val="001F261E"/>
    <w:rsid w:val="001F2B70"/>
    <w:rsid w:val="001F3C0D"/>
    <w:rsid w:val="001F46F9"/>
    <w:rsid w:val="001F5A52"/>
    <w:rsid w:val="001F7BBF"/>
    <w:rsid w:val="001F7ECD"/>
    <w:rsid w:val="00201672"/>
    <w:rsid w:val="00202497"/>
    <w:rsid w:val="00202DBA"/>
    <w:rsid w:val="00203C0C"/>
    <w:rsid w:val="00204A9A"/>
    <w:rsid w:val="00205600"/>
    <w:rsid w:val="00205AD5"/>
    <w:rsid w:val="00206AC4"/>
    <w:rsid w:val="00206C83"/>
    <w:rsid w:val="00207167"/>
    <w:rsid w:val="0020755F"/>
    <w:rsid w:val="002075C2"/>
    <w:rsid w:val="00207765"/>
    <w:rsid w:val="00207E33"/>
    <w:rsid w:val="002131D0"/>
    <w:rsid w:val="00213B27"/>
    <w:rsid w:val="00214D27"/>
    <w:rsid w:val="0021550A"/>
    <w:rsid w:val="00216F71"/>
    <w:rsid w:val="00220A3D"/>
    <w:rsid w:val="00220AB8"/>
    <w:rsid w:val="00220D46"/>
    <w:rsid w:val="00223EF4"/>
    <w:rsid w:val="00224664"/>
    <w:rsid w:val="002257C6"/>
    <w:rsid w:val="00225ED3"/>
    <w:rsid w:val="00226CF0"/>
    <w:rsid w:val="00226D2B"/>
    <w:rsid w:val="00227004"/>
    <w:rsid w:val="002300D6"/>
    <w:rsid w:val="00231E98"/>
    <w:rsid w:val="0023270D"/>
    <w:rsid w:val="00232B4C"/>
    <w:rsid w:val="00237501"/>
    <w:rsid w:val="00240B08"/>
    <w:rsid w:val="0024138E"/>
    <w:rsid w:val="00241FA8"/>
    <w:rsid w:val="0024293E"/>
    <w:rsid w:val="00242F7B"/>
    <w:rsid w:val="0024306D"/>
    <w:rsid w:val="00243BF8"/>
    <w:rsid w:val="00243ED6"/>
    <w:rsid w:val="002478A0"/>
    <w:rsid w:val="002504F1"/>
    <w:rsid w:val="002523C7"/>
    <w:rsid w:val="00252B32"/>
    <w:rsid w:val="00252F5E"/>
    <w:rsid w:val="00253698"/>
    <w:rsid w:val="00256678"/>
    <w:rsid w:val="00256AD8"/>
    <w:rsid w:val="00260354"/>
    <w:rsid w:val="002636CF"/>
    <w:rsid w:val="00263BB6"/>
    <w:rsid w:val="00265EC4"/>
    <w:rsid w:val="00267BB2"/>
    <w:rsid w:val="0027088B"/>
    <w:rsid w:val="002708A8"/>
    <w:rsid w:val="00270D90"/>
    <w:rsid w:val="00271255"/>
    <w:rsid w:val="002714AF"/>
    <w:rsid w:val="0027274B"/>
    <w:rsid w:val="002737F6"/>
    <w:rsid w:val="002743E7"/>
    <w:rsid w:val="00276C69"/>
    <w:rsid w:val="00276E39"/>
    <w:rsid w:val="0028285C"/>
    <w:rsid w:val="00283AB9"/>
    <w:rsid w:val="0028528E"/>
    <w:rsid w:val="00285302"/>
    <w:rsid w:val="00285715"/>
    <w:rsid w:val="0028785E"/>
    <w:rsid w:val="00287EF8"/>
    <w:rsid w:val="00291820"/>
    <w:rsid w:val="00291DE5"/>
    <w:rsid w:val="00293555"/>
    <w:rsid w:val="00294428"/>
    <w:rsid w:val="00295927"/>
    <w:rsid w:val="00297949"/>
    <w:rsid w:val="002A12FB"/>
    <w:rsid w:val="002A1538"/>
    <w:rsid w:val="002A1900"/>
    <w:rsid w:val="002A223D"/>
    <w:rsid w:val="002A2D83"/>
    <w:rsid w:val="002A3B7D"/>
    <w:rsid w:val="002A54C5"/>
    <w:rsid w:val="002A6045"/>
    <w:rsid w:val="002B29AE"/>
    <w:rsid w:val="002B2CFB"/>
    <w:rsid w:val="002B34E1"/>
    <w:rsid w:val="002B3A46"/>
    <w:rsid w:val="002B48C1"/>
    <w:rsid w:val="002B492C"/>
    <w:rsid w:val="002B4AEA"/>
    <w:rsid w:val="002B5414"/>
    <w:rsid w:val="002B58F1"/>
    <w:rsid w:val="002B5B76"/>
    <w:rsid w:val="002B5EBB"/>
    <w:rsid w:val="002C0279"/>
    <w:rsid w:val="002C0727"/>
    <w:rsid w:val="002C08D7"/>
    <w:rsid w:val="002C1082"/>
    <w:rsid w:val="002C1798"/>
    <w:rsid w:val="002C1EDA"/>
    <w:rsid w:val="002C269D"/>
    <w:rsid w:val="002C777E"/>
    <w:rsid w:val="002C77BE"/>
    <w:rsid w:val="002D1D89"/>
    <w:rsid w:val="002D2116"/>
    <w:rsid w:val="002D3108"/>
    <w:rsid w:val="002D3192"/>
    <w:rsid w:val="002D391B"/>
    <w:rsid w:val="002D5CAD"/>
    <w:rsid w:val="002D5DDB"/>
    <w:rsid w:val="002D6441"/>
    <w:rsid w:val="002D687C"/>
    <w:rsid w:val="002D6EF7"/>
    <w:rsid w:val="002D6FDB"/>
    <w:rsid w:val="002E15B5"/>
    <w:rsid w:val="002E1708"/>
    <w:rsid w:val="002E1D0D"/>
    <w:rsid w:val="002E2C3C"/>
    <w:rsid w:val="002E32CA"/>
    <w:rsid w:val="002E400F"/>
    <w:rsid w:val="002E4208"/>
    <w:rsid w:val="002E4C57"/>
    <w:rsid w:val="002E5366"/>
    <w:rsid w:val="002E5F4B"/>
    <w:rsid w:val="002E6479"/>
    <w:rsid w:val="002F0655"/>
    <w:rsid w:val="002F1674"/>
    <w:rsid w:val="002F2CB1"/>
    <w:rsid w:val="002F3CAE"/>
    <w:rsid w:val="002F5713"/>
    <w:rsid w:val="002F5A6F"/>
    <w:rsid w:val="003000E1"/>
    <w:rsid w:val="00300148"/>
    <w:rsid w:val="00300861"/>
    <w:rsid w:val="00300D05"/>
    <w:rsid w:val="0030113F"/>
    <w:rsid w:val="00302EF5"/>
    <w:rsid w:val="00303C06"/>
    <w:rsid w:val="00303F4A"/>
    <w:rsid w:val="003052DD"/>
    <w:rsid w:val="0030593E"/>
    <w:rsid w:val="00305A43"/>
    <w:rsid w:val="00310637"/>
    <w:rsid w:val="003114E7"/>
    <w:rsid w:val="003129F9"/>
    <w:rsid w:val="003134C0"/>
    <w:rsid w:val="00314F91"/>
    <w:rsid w:val="0031519B"/>
    <w:rsid w:val="00316DBB"/>
    <w:rsid w:val="00317180"/>
    <w:rsid w:val="00317520"/>
    <w:rsid w:val="003176AB"/>
    <w:rsid w:val="00317739"/>
    <w:rsid w:val="003177A2"/>
    <w:rsid w:val="00320290"/>
    <w:rsid w:val="003206EF"/>
    <w:rsid w:val="003206F7"/>
    <w:rsid w:val="00320DD1"/>
    <w:rsid w:val="00321053"/>
    <w:rsid w:val="003210B6"/>
    <w:rsid w:val="00321B24"/>
    <w:rsid w:val="00322393"/>
    <w:rsid w:val="00322C87"/>
    <w:rsid w:val="003231AB"/>
    <w:rsid w:val="00323623"/>
    <w:rsid w:val="00324284"/>
    <w:rsid w:val="003247C5"/>
    <w:rsid w:val="00324F29"/>
    <w:rsid w:val="0032762C"/>
    <w:rsid w:val="00330154"/>
    <w:rsid w:val="0033069C"/>
    <w:rsid w:val="00330AEE"/>
    <w:rsid w:val="003315B1"/>
    <w:rsid w:val="003319A4"/>
    <w:rsid w:val="00332D08"/>
    <w:rsid w:val="003343EE"/>
    <w:rsid w:val="0033500F"/>
    <w:rsid w:val="00336427"/>
    <w:rsid w:val="00341162"/>
    <w:rsid w:val="00342134"/>
    <w:rsid w:val="0034251A"/>
    <w:rsid w:val="00342ACC"/>
    <w:rsid w:val="00342ECC"/>
    <w:rsid w:val="00343B39"/>
    <w:rsid w:val="003517C4"/>
    <w:rsid w:val="00351B84"/>
    <w:rsid w:val="00352106"/>
    <w:rsid w:val="00352D5D"/>
    <w:rsid w:val="00353A94"/>
    <w:rsid w:val="00353F98"/>
    <w:rsid w:val="00355741"/>
    <w:rsid w:val="00355F0D"/>
    <w:rsid w:val="00356AFD"/>
    <w:rsid w:val="0035736B"/>
    <w:rsid w:val="00357E60"/>
    <w:rsid w:val="003611AB"/>
    <w:rsid w:val="00361506"/>
    <w:rsid w:val="0036252B"/>
    <w:rsid w:val="00362E19"/>
    <w:rsid w:val="003636E0"/>
    <w:rsid w:val="00363763"/>
    <w:rsid w:val="00366C98"/>
    <w:rsid w:val="0036773F"/>
    <w:rsid w:val="003704E9"/>
    <w:rsid w:val="0037192D"/>
    <w:rsid w:val="00371AA9"/>
    <w:rsid w:val="003727F2"/>
    <w:rsid w:val="00372DB8"/>
    <w:rsid w:val="00373ADE"/>
    <w:rsid w:val="0037522F"/>
    <w:rsid w:val="003770F5"/>
    <w:rsid w:val="00377AA4"/>
    <w:rsid w:val="00380DB3"/>
    <w:rsid w:val="00381391"/>
    <w:rsid w:val="00381C3C"/>
    <w:rsid w:val="0038268E"/>
    <w:rsid w:val="00382FCF"/>
    <w:rsid w:val="0038491F"/>
    <w:rsid w:val="003855CC"/>
    <w:rsid w:val="00391D27"/>
    <w:rsid w:val="00393A7F"/>
    <w:rsid w:val="00393B43"/>
    <w:rsid w:val="00396D87"/>
    <w:rsid w:val="00397556"/>
    <w:rsid w:val="0039758C"/>
    <w:rsid w:val="003A041D"/>
    <w:rsid w:val="003A0565"/>
    <w:rsid w:val="003A076B"/>
    <w:rsid w:val="003A2C1F"/>
    <w:rsid w:val="003A3DB4"/>
    <w:rsid w:val="003A45D9"/>
    <w:rsid w:val="003A4E00"/>
    <w:rsid w:val="003A63D6"/>
    <w:rsid w:val="003A710D"/>
    <w:rsid w:val="003A7621"/>
    <w:rsid w:val="003A7711"/>
    <w:rsid w:val="003B11EA"/>
    <w:rsid w:val="003B3060"/>
    <w:rsid w:val="003B5A69"/>
    <w:rsid w:val="003B5F9C"/>
    <w:rsid w:val="003B6461"/>
    <w:rsid w:val="003C058E"/>
    <w:rsid w:val="003C1874"/>
    <w:rsid w:val="003C1E7C"/>
    <w:rsid w:val="003C367D"/>
    <w:rsid w:val="003C463D"/>
    <w:rsid w:val="003C5306"/>
    <w:rsid w:val="003C5BAC"/>
    <w:rsid w:val="003C67B9"/>
    <w:rsid w:val="003C71D7"/>
    <w:rsid w:val="003C759B"/>
    <w:rsid w:val="003C7A6D"/>
    <w:rsid w:val="003D09C4"/>
    <w:rsid w:val="003D0A0F"/>
    <w:rsid w:val="003D2483"/>
    <w:rsid w:val="003D26F4"/>
    <w:rsid w:val="003D28DA"/>
    <w:rsid w:val="003D2EDA"/>
    <w:rsid w:val="003D3B34"/>
    <w:rsid w:val="003D43AE"/>
    <w:rsid w:val="003D67EF"/>
    <w:rsid w:val="003D6E08"/>
    <w:rsid w:val="003D7E88"/>
    <w:rsid w:val="003E0AAA"/>
    <w:rsid w:val="003F07E8"/>
    <w:rsid w:val="003F0887"/>
    <w:rsid w:val="003F09BF"/>
    <w:rsid w:val="003F0F58"/>
    <w:rsid w:val="003F1463"/>
    <w:rsid w:val="003F1EA7"/>
    <w:rsid w:val="003F498F"/>
    <w:rsid w:val="003F5997"/>
    <w:rsid w:val="003F66C9"/>
    <w:rsid w:val="003F729D"/>
    <w:rsid w:val="004025AE"/>
    <w:rsid w:val="0040270F"/>
    <w:rsid w:val="00403387"/>
    <w:rsid w:val="0040424C"/>
    <w:rsid w:val="00404603"/>
    <w:rsid w:val="00405345"/>
    <w:rsid w:val="004057D3"/>
    <w:rsid w:val="00406215"/>
    <w:rsid w:val="004063A4"/>
    <w:rsid w:val="004076CF"/>
    <w:rsid w:val="00410F6E"/>
    <w:rsid w:val="00411E94"/>
    <w:rsid w:val="0041370E"/>
    <w:rsid w:val="00414361"/>
    <w:rsid w:val="00414FD0"/>
    <w:rsid w:val="00415A19"/>
    <w:rsid w:val="004168C8"/>
    <w:rsid w:val="004206B3"/>
    <w:rsid w:val="00420ADD"/>
    <w:rsid w:val="004211B2"/>
    <w:rsid w:val="00421933"/>
    <w:rsid w:val="00421ACF"/>
    <w:rsid w:val="00422710"/>
    <w:rsid w:val="0042471D"/>
    <w:rsid w:val="00424C7F"/>
    <w:rsid w:val="00424DE2"/>
    <w:rsid w:val="004257FF"/>
    <w:rsid w:val="004258F8"/>
    <w:rsid w:val="00427C42"/>
    <w:rsid w:val="00430278"/>
    <w:rsid w:val="0043210B"/>
    <w:rsid w:val="004333DD"/>
    <w:rsid w:val="00436D24"/>
    <w:rsid w:val="004378BD"/>
    <w:rsid w:val="004405AF"/>
    <w:rsid w:val="004406D2"/>
    <w:rsid w:val="00441128"/>
    <w:rsid w:val="00442577"/>
    <w:rsid w:val="004429A6"/>
    <w:rsid w:val="00442C51"/>
    <w:rsid w:val="00444521"/>
    <w:rsid w:val="00444681"/>
    <w:rsid w:val="00444F7C"/>
    <w:rsid w:val="0044508F"/>
    <w:rsid w:val="00445C58"/>
    <w:rsid w:val="00445F5A"/>
    <w:rsid w:val="00446232"/>
    <w:rsid w:val="004463BC"/>
    <w:rsid w:val="00447EDB"/>
    <w:rsid w:val="00450011"/>
    <w:rsid w:val="004501D7"/>
    <w:rsid w:val="004504E4"/>
    <w:rsid w:val="004511F1"/>
    <w:rsid w:val="00454E52"/>
    <w:rsid w:val="00455220"/>
    <w:rsid w:val="0045641E"/>
    <w:rsid w:val="00456891"/>
    <w:rsid w:val="00456D23"/>
    <w:rsid w:val="00457164"/>
    <w:rsid w:val="00462222"/>
    <w:rsid w:val="00462ADA"/>
    <w:rsid w:val="004649AB"/>
    <w:rsid w:val="00464AA7"/>
    <w:rsid w:val="004660BB"/>
    <w:rsid w:val="004679CA"/>
    <w:rsid w:val="004707CC"/>
    <w:rsid w:val="00471B6D"/>
    <w:rsid w:val="00471CBE"/>
    <w:rsid w:val="00472B9A"/>
    <w:rsid w:val="00472DD0"/>
    <w:rsid w:val="0047339B"/>
    <w:rsid w:val="00473CB9"/>
    <w:rsid w:val="00474803"/>
    <w:rsid w:val="00474EE6"/>
    <w:rsid w:val="00475B7A"/>
    <w:rsid w:val="00476E73"/>
    <w:rsid w:val="0048140F"/>
    <w:rsid w:val="00481B43"/>
    <w:rsid w:val="004832D2"/>
    <w:rsid w:val="004837E2"/>
    <w:rsid w:val="004849E1"/>
    <w:rsid w:val="00484D15"/>
    <w:rsid w:val="004851C9"/>
    <w:rsid w:val="004855E0"/>
    <w:rsid w:val="00485BF6"/>
    <w:rsid w:val="0048621A"/>
    <w:rsid w:val="00487A86"/>
    <w:rsid w:val="00490A09"/>
    <w:rsid w:val="00491924"/>
    <w:rsid w:val="00493108"/>
    <w:rsid w:val="00493255"/>
    <w:rsid w:val="00494564"/>
    <w:rsid w:val="00494A04"/>
    <w:rsid w:val="00496688"/>
    <w:rsid w:val="00496C04"/>
    <w:rsid w:val="004978A2"/>
    <w:rsid w:val="004A0A91"/>
    <w:rsid w:val="004A14AB"/>
    <w:rsid w:val="004A19D9"/>
    <w:rsid w:val="004A2B24"/>
    <w:rsid w:val="004A3AC7"/>
    <w:rsid w:val="004A464B"/>
    <w:rsid w:val="004A484B"/>
    <w:rsid w:val="004A4E2C"/>
    <w:rsid w:val="004A53AC"/>
    <w:rsid w:val="004A6F14"/>
    <w:rsid w:val="004B0A76"/>
    <w:rsid w:val="004B1434"/>
    <w:rsid w:val="004B1A67"/>
    <w:rsid w:val="004B3BCF"/>
    <w:rsid w:val="004B446E"/>
    <w:rsid w:val="004B45C2"/>
    <w:rsid w:val="004B47F5"/>
    <w:rsid w:val="004B5C0C"/>
    <w:rsid w:val="004B5DEA"/>
    <w:rsid w:val="004B737A"/>
    <w:rsid w:val="004B77B8"/>
    <w:rsid w:val="004B7CDB"/>
    <w:rsid w:val="004C0704"/>
    <w:rsid w:val="004C16AC"/>
    <w:rsid w:val="004C211B"/>
    <w:rsid w:val="004C234F"/>
    <w:rsid w:val="004C5556"/>
    <w:rsid w:val="004D0C25"/>
    <w:rsid w:val="004D11A0"/>
    <w:rsid w:val="004D227B"/>
    <w:rsid w:val="004D2B4F"/>
    <w:rsid w:val="004D4E31"/>
    <w:rsid w:val="004D5005"/>
    <w:rsid w:val="004D5F85"/>
    <w:rsid w:val="004D6229"/>
    <w:rsid w:val="004D62F6"/>
    <w:rsid w:val="004D636F"/>
    <w:rsid w:val="004D67ED"/>
    <w:rsid w:val="004D71D0"/>
    <w:rsid w:val="004D74D1"/>
    <w:rsid w:val="004D7A56"/>
    <w:rsid w:val="004E0336"/>
    <w:rsid w:val="004E15FF"/>
    <w:rsid w:val="004E234C"/>
    <w:rsid w:val="004E30C0"/>
    <w:rsid w:val="004E43BF"/>
    <w:rsid w:val="004E479F"/>
    <w:rsid w:val="004E4EEC"/>
    <w:rsid w:val="004E5199"/>
    <w:rsid w:val="004E5511"/>
    <w:rsid w:val="004E6326"/>
    <w:rsid w:val="004E64A3"/>
    <w:rsid w:val="004E6DEA"/>
    <w:rsid w:val="004E716A"/>
    <w:rsid w:val="004E7D08"/>
    <w:rsid w:val="004F101E"/>
    <w:rsid w:val="004F18A2"/>
    <w:rsid w:val="004F2257"/>
    <w:rsid w:val="004F2671"/>
    <w:rsid w:val="004F2783"/>
    <w:rsid w:val="004F378B"/>
    <w:rsid w:val="004F44FC"/>
    <w:rsid w:val="004F4926"/>
    <w:rsid w:val="004F6474"/>
    <w:rsid w:val="004F6634"/>
    <w:rsid w:val="004F6806"/>
    <w:rsid w:val="004F6E28"/>
    <w:rsid w:val="004F737D"/>
    <w:rsid w:val="004F7E23"/>
    <w:rsid w:val="0050041D"/>
    <w:rsid w:val="00500BB5"/>
    <w:rsid w:val="0050206E"/>
    <w:rsid w:val="0050559C"/>
    <w:rsid w:val="005062C5"/>
    <w:rsid w:val="00510E18"/>
    <w:rsid w:val="0051125A"/>
    <w:rsid w:val="005118C1"/>
    <w:rsid w:val="0051304D"/>
    <w:rsid w:val="00513478"/>
    <w:rsid w:val="005137AE"/>
    <w:rsid w:val="00515EAC"/>
    <w:rsid w:val="0051618C"/>
    <w:rsid w:val="005167F8"/>
    <w:rsid w:val="0051777C"/>
    <w:rsid w:val="005200EF"/>
    <w:rsid w:val="0052501D"/>
    <w:rsid w:val="005255C7"/>
    <w:rsid w:val="00525A95"/>
    <w:rsid w:val="00525F99"/>
    <w:rsid w:val="005339D0"/>
    <w:rsid w:val="005339D3"/>
    <w:rsid w:val="00534FE9"/>
    <w:rsid w:val="005353D7"/>
    <w:rsid w:val="00537879"/>
    <w:rsid w:val="00537943"/>
    <w:rsid w:val="00537DE7"/>
    <w:rsid w:val="00540A00"/>
    <w:rsid w:val="005411CE"/>
    <w:rsid w:val="00541F11"/>
    <w:rsid w:val="00542CCE"/>
    <w:rsid w:val="00543187"/>
    <w:rsid w:val="0054411C"/>
    <w:rsid w:val="005441DC"/>
    <w:rsid w:val="005445A4"/>
    <w:rsid w:val="005453D2"/>
    <w:rsid w:val="00545DB2"/>
    <w:rsid w:val="005465E8"/>
    <w:rsid w:val="00546AB1"/>
    <w:rsid w:val="00547617"/>
    <w:rsid w:val="00547A3F"/>
    <w:rsid w:val="0055087F"/>
    <w:rsid w:val="00552329"/>
    <w:rsid w:val="00553372"/>
    <w:rsid w:val="005533D0"/>
    <w:rsid w:val="0055344A"/>
    <w:rsid w:val="00553EFC"/>
    <w:rsid w:val="005549F2"/>
    <w:rsid w:val="00554ABF"/>
    <w:rsid w:val="0055673F"/>
    <w:rsid w:val="00557503"/>
    <w:rsid w:val="00557A29"/>
    <w:rsid w:val="00560B0E"/>
    <w:rsid w:val="00560C37"/>
    <w:rsid w:val="00561092"/>
    <w:rsid w:val="00561895"/>
    <w:rsid w:val="00562D80"/>
    <w:rsid w:val="00562E15"/>
    <w:rsid w:val="00563979"/>
    <w:rsid w:val="0056528A"/>
    <w:rsid w:val="0056531F"/>
    <w:rsid w:val="005663C0"/>
    <w:rsid w:val="005667EF"/>
    <w:rsid w:val="0056684C"/>
    <w:rsid w:val="005675C4"/>
    <w:rsid w:val="0057096E"/>
    <w:rsid w:val="00570F33"/>
    <w:rsid w:val="00571994"/>
    <w:rsid w:val="00571B64"/>
    <w:rsid w:val="00575DC7"/>
    <w:rsid w:val="00580D21"/>
    <w:rsid w:val="00580D4A"/>
    <w:rsid w:val="00581C01"/>
    <w:rsid w:val="005832DF"/>
    <w:rsid w:val="005833AF"/>
    <w:rsid w:val="00583977"/>
    <w:rsid w:val="005843DC"/>
    <w:rsid w:val="00584E86"/>
    <w:rsid w:val="00584EBD"/>
    <w:rsid w:val="00584F0A"/>
    <w:rsid w:val="0058573A"/>
    <w:rsid w:val="00585F25"/>
    <w:rsid w:val="005862BB"/>
    <w:rsid w:val="00586609"/>
    <w:rsid w:val="0058757C"/>
    <w:rsid w:val="00587B10"/>
    <w:rsid w:val="00587EB0"/>
    <w:rsid w:val="005901E4"/>
    <w:rsid w:val="00590A94"/>
    <w:rsid w:val="0059279A"/>
    <w:rsid w:val="005929DB"/>
    <w:rsid w:val="005932DA"/>
    <w:rsid w:val="0059361B"/>
    <w:rsid w:val="00594A21"/>
    <w:rsid w:val="005963B6"/>
    <w:rsid w:val="00596568"/>
    <w:rsid w:val="00596886"/>
    <w:rsid w:val="00596D7D"/>
    <w:rsid w:val="005979D7"/>
    <w:rsid w:val="005A12FC"/>
    <w:rsid w:val="005A1F90"/>
    <w:rsid w:val="005A2A85"/>
    <w:rsid w:val="005A2DCA"/>
    <w:rsid w:val="005A320B"/>
    <w:rsid w:val="005A321E"/>
    <w:rsid w:val="005A3467"/>
    <w:rsid w:val="005A37C6"/>
    <w:rsid w:val="005A4656"/>
    <w:rsid w:val="005A52C5"/>
    <w:rsid w:val="005A743E"/>
    <w:rsid w:val="005B1B3B"/>
    <w:rsid w:val="005B36E4"/>
    <w:rsid w:val="005B3D02"/>
    <w:rsid w:val="005B522B"/>
    <w:rsid w:val="005B6037"/>
    <w:rsid w:val="005B6558"/>
    <w:rsid w:val="005B6987"/>
    <w:rsid w:val="005B6D26"/>
    <w:rsid w:val="005C0068"/>
    <w:rsid w:val="005C0EB9"/>
    <w:rsid w:val="005C174A"/>
    <w:rsid w:val="005C1E1C"/>
    <w:rsid w:val="005C2182"/>
    <w:rsid w:val="005C2395"/>
    <w:rsid w:val="005C24D6"/>
    <w:rsid w:val="005C49E5"/>
    <w:rsid w:val="005C546F"/>
    <w:rsid w:val="005C5777"/>
    <w:rsid w:val="005C715B"/>
    <w:rsid w:val="005C73AB"/>
    <w:rsid w:val="005C75A9"/>
    <w:rsid w:val="005D0290"/>
    <w:rsid w:val="005D1017"/>
    <w:rsid w:val="005D398B"/>
    <w:rsid w:val="005D39F6"/>
    <w:rsid w:val="005D3C0A"/>
    <w:rsid w:val="005D3C1F"/>
    <w:rsid w:val="005D46EF"/>
    <w:rsid w:val="005D4880"/>
    <w:rsid w:val="005D5D3C"/>
    <w:rsid w:val="005D675C"/>
    <w:rsid w:val="005D6A97"/>
    <w:rsid w:val="005D6D06"/>
    <w:rsid w:val="005D758B"/>
    <w:rsid w:val="005D75EB"/>
    <w:rsid w:val="005E0FF8"/>
    <w:rsid w:val="005E1B92"/>
    <w:rsid w:val="005E29E0"/>
    <w:rsid w:val="005E2DBF"/>
    <w:rsid w:val="005E397D"/>
    <w:rsid w:val="005E4775"/>
    <w:rsid w:val="005E4C29"/>
    <w:rsid w:val="005E4CD5"/>
    <w:rsid w:val="005E667A"/>
    <w:rsid w:val="005E6DC5"/>
    <w:rsid w:val="005E7678"/>
    <w:rsid w:val="005F01DC"/>
    <w:rsid w:val="005F06F9"/>
    <w:rsid w:val="005F0DA2"/>
    <w:rsid w:val="005F1520"/>
    <w:rsid w:val="005F16EA"/>
    <w:rsid w:val="005F1C3B"/>
    <w:rsid w:val="005F450C"/>
    <w:rsid w:val="005F4AD1"/>
    <w:rsid w:val="005F59F5"/>
    <w:rsid w:val="005F62C1"/>
    <w:rsid w:val="005F67CF"/>
    <w:rsid w:val="005F719B"/>
    <w:rsid w:val="005F77BF"/>
    <w:rsid w:val="005F7E92"/>
    <w:rsid w:val="005F7F89"/>
    <w:rsid w:val="0060023D"/>
    <w:rsid w:val="00600E5E"/>
    <w:rsid w:val="006016B5"/>
    <w:rsid w:val="006017C1"/>
    <w:rsid w:val="00603928"/>
    <w:rsid w:val="006044CD"/>
    <w:rsid w:val="00604BCD"/>
    <w:rsid w:val="00604D1F"/>
    <w:rsid w:val="0060619A"/>
    <w:rsid w:val="0060643D"/>
    <w:rsid w:val="006065D5"/>
    <w:rsid w:val="00606F89"/>
    <w:rsid w:val="00607DD9"/>
    <w:rsid w:val="006129D8"/>
    <w:rsid w:val="00612FD0"/>
    <w:rsid w:val="0061305D"/>
    <w:rsid w:val="00613842"/>
    <w:rsid w:val="00614BDC"/>
    <w:rsid w:val="006153A6"/>
    <w:rsid w:val="006156F3"/>
    <w:rsid w:val="00616520"/>
    <w:rsid w:val="0061751B"/>
    <w:rsid w:val="00620C97"/>
    <w:rsid w:val="00622262"/>
    <w:rsid w:val="0062377C"/>
    <w:rsid w:val="006239E5"/>
    <w:rsid w:val="006247B5"/>
    <w:rsid w:val="00625A28"/>
    <w:rsid w:val="00625D3B"/>
    <w:rsid w:val="006265B0"/>
    <w:rsid w:val="00626867"/>
    <w:rsid w:val="006269EF"/>
    <w:rsid w:val="006271C2"/>
    <w:rsid w:val="006272F0"/>
    <w:rsid w:val="0063084C"/>
    <w:rsid w:val="006308FE"/>
    <w:rsid w:val="00631A71"/>
    <w:rsid w:val="006322E3"/>
    <w:rsid w:val="006324B0"/>
    <w:rsid w:val="006324DA"/>
    <w:rsid w:val="0063511A"/>
    <w:rsid w:val="0063599D"/>
    <w:rsid w:val="00635C50"/>
    <w:rsid w:val="00635E0D"/>
    <w:rsid w:val="006362D4"/>
    <w:rsid w:val="0063649C"/>
    <w:rsid w:val="00637647"/>
    <w:rsid w:val="0064099F"/>
    <w:rsid w:val="00641094"/>
    <w:rsid w:val="0064153D"/>
    <w:rsid w:val="00641712"/>
    <w:rsid w:val="00641C3A"/>
    <w:rsid w:val="006423B5"/>
    <w:rsid w:val="00643732"/>
    <w:rsid w:val="006443AD"/>
    <w:rsid w:val="00645C42"/>
    <w:rsid w:val="00645CBD"/>
    <w:rsid w:val="006478FE"/>
    <w:rsid w:val="00647D4E"/>
    <w:rsid w:val="006502F0"/>
    <w:rsid w:val="00651F2A"/>
    <w:rsid w:val="00653B10"/>
    <w:rsid w:val="0065459E"/>
    <w:rsid w:val="00654B0A"/>
    <w:rsid w:val="0065741E"/>
    <w:rsid w:val="006601FE"/>
    <w:rsid w:val="006606F7"/>
    <w:rsid w:val="00660F0E"/>
    <w:rsid w:val="00661275"/>
    <w:rsid w:val="006618B3"/>
    <w:rsid w:val="0066192C"/>
    <w:rsid w:val="00662A1F"/>
    <w:rsid w:val="00662E6A"/>
    <w:rsid w:val="00662F18"/>
    <w:rsid w:val="00664109"/>
    <w:rsid w:val="006642E8"/>
    <w:rsid w:val="0066574B"/>
    <w:rsid w:val="00665DC2"/>
    <w:rsid w:val="006665C6"/>
    <w:rsid w:val="00666BA8"/>
    <w:rsid w:val="00667654"/>
    <w:rsid w:val="0067045E"/>
    <w:rsid w:val="0067238E"/>
    <w:rsid w:val="00672D87"/>
    <w:rsid w:val="0067308C"/>
    <w:rsid w:val="00675474"/>
    <w:rsid w:val="00675F1D"/>
    <w:rsid w:val="00676EAB"/>
    <w:rsid w:val="00680214"/>
    <w:rsid w:val="006802D4"/>
    <w:rsid w:val="00680E8B"/>
    <w:rsid w:val="006812CE"/>
    <w:rsid w:val="006818C6"/>
    <w:rsid w:val="0068258C"/>
    <w:rsid w:val="006827A0"/>
    <w:rsid w:val="006847D8"/>
    <w:rsid w:val="00684D3E"/>
    <w:rsid w:val="00685D02"/>
    <w:rsid w:val="00686A16"/>
    <w:rsid w:val="00686EFA"/>
    <w:rsid w:val="00686F26"/>
    <w:rsid w:val="00691014"/>
    <w:rsid w:val="00691201"/>
    <w:rsid w:val="006913EF"/>
    <w:rsid w:val="0069354A"/>
    <w:rsid w:val="0069434E"/>
    <w:rsid w:val="006949F0"/>
    <w:rsid w:val="00695260"/>
    <w:rsid w:val="006965A3"/>
    <w:rsid w:val="006A00FA"/>
    <w:rsid w:val="006A019A"/>
    <w:rsid w:val="006A189A"/>
    <w:rsid w:val="006A46A4"/>
    <w:rsid w:val="006A4A83"/>
    <w:rsid w:val="006A62C1"/>
    <w:rsid w:val="006A631D"/>
    <w:rsid w:val="006A7395"/>
    <w:rsid w:val="006A7430"/>
    <w:rsid w:val="006A7725"/>
    <w:rsid w:val="006A7E41"/>
    <w:rsid w:val="006B20DC"/>
    <w:rsid w:val="006B24C4"/>
    <w:rsid w:val="006B3D18"/>
    <w:rsid w:val="006B3D5C"/>
    <w:rsid w:val="006B40B9"/>
    <w:rsid w:val="006B4704"/>
    <w:rsid w:val="006B7BC5"/>
    <w:rsid w:val="006C0124"/>
    <w:rsid w:val="006C0F10"/>
    <w:rsid w:val="006C1ABA"/>
    <w:rsid w:val="006C1C13"/>
    <w:rsid w:val="006C376F"/>
    <w:rsid w:val="006C37B2"/>
    <w:rsid w:val="006C4A66"/>
    <w:rsid w:val="006C5141"/>
    <w:rsid w:val="006C545D"/>
    <w:rsid w:val="006C5463"/>
    <w:rsid w:val="006C644C"/>
    <w:rsid w:val="006D03EF"/>
    <w:rsid w:val="006D1703"/>
    <w:rsid w:val="006D386B"/>
    <w:rsid w:val="006D3AD4"/>
    <w:rsid w:val="006D4D8D"/>
    <w:rsid w:val="006D5EE9"/>
    <w:rsid w:val="006D6F6F"/>
    <w:rsid w:val="006D6F94"/>
    <w:rsid w:val="006D7C01"/>
    <w:rsid w:val="006E0244"/>
    <w:rsid w:val="006E218B"/>
    <w:rsid w:val="006E2FDB"/>
    <w:rsid w:val="006E3501"/>
    <w:rsid w:val="006E62E6"/>
    <w:rsid w:val="006E70D0"/>
    <w:rsid w:val="006F0849"/>
    <w:rsid w:val="006F2249"/>
    <w:rsid w:val="006F27C6"/>
    <w:rsid w:val="006F2ADA"/>
    <w:rsid w:val="006F2EF2"/>
    <w:rsid w:val="006F32CF"/>
    <w:rsid w:val="006F3797"/>
    <w:rsid w:val="006F4ECE"/>
    <w:rsid w:val="006F4ED9"/>
    <w:rsid w:val="006F525D"/>
    <w:rsid w:val="006F5652"/>
    <w:rsid w:val="006F575B"/>
    <w:rsid w:val="006F5AAC"/>
    <w:rsid w:val="006F5D6C"/>
    <w:rsid w:val="006F6327"/>
    <w:rsid w:val="006F6391"/>
    <w:rsid w:val="006F65D9"/>
    <w:rsid w:val="006F7739"/>
    <w:rsid w:val="00700E5C"/>
    <w:rsid w:val="00701F3D"/>
    <w:rsid w:val="00702040"/>
    <w:rsid w:val="007020F6"/>
    <w:rsid w:val="00704235"/>
    <w:rsid w:val="007055D4"/>
    <w:rsid w:val="007067FB"/>
    <w:rsid w:val="00706B93"/>
    <w:rsid w:val="00706DB1"/>
    <w:rsid w:val="00710A11"/>
    <w:rsid w:val="00710D3B"/>
    <w:rsid w:val="007110F6"/>
    <w:rsid w:val="00713553"/>
    <w:rsid w:val="0071361C"/>
    <w:rsid w:val="0071442C"/>
    <w:rsid w:val="007151F9"/>
    <w:rsid w:val="00715725"/>
    <w:rsid w:val="0071627F"/>
    <w:rsid w:val="0071697B"/>
    <w:rsid w:val="00716A09"/>
    <w:rsid w:val="0071786D"/>
    <w:rsid w:val="00720D94"/>
    <w:rsid w:val="00723012"/>
    <w:rsid w:val="00723917"/>
    <w:rsid w:val="0072534B"/>
    <w:rsid w:val="00725E44"/>
    <w:rsid w:val="00727864"/>
    <w:rsid w:val="00731CE3"/>
    <w:rsid w:val="00731D6F"/>
    <w:rsid w:val="00732A26"/>
    <w:rsid w:val="00733AAC"/>
    <w:rsid w:val="0073451A"/>
    <w:rsid w:val="00740B7D"/>
    <w:rsid w:val="00740C81"/>
    <w:rsid w:val="00741058"/>
    <w:rsid w:val="00742582"/>
    <w:rsid w:val="007440DE"/>
    <w:rsid w:val="0074417A"/>
    <w:rsid w:val="00750BDB"/>
    <w:rsid w:val="0075148A"/>
    <w:rsid w:val="00751519"/>
    <w:rsid w:val="00751FCD"/>
    <w:rsid w:val="007535B4"/>
    <w:rsid w:val="00753781"/>
    <w:rsid w:val="00753E53"/>
    <w:rsid w:val="00753F1D"/>
    <w:rsid w:val="00754087"/>
    <w:rsid w:val="007552CD"/>
    <w:rsid w:val="0075567A"/>
    <w:rsid w:val="0076336B"/>
    <w:rsid w:val="0076339B"/>
    <w:rsid w:val="00763A72"/>
    <w:rsid w:val="00764549"/>
    <w:rsid w:val="00766953"/>
    <w:rsid w:val="00766F55"/>
    <w:rsid w:val="00770C0E"/>
    <w:rsid w:val="00770FB6"/>
    <w:rsid w:val="0077199D"/>
    <w:rsid w:val="00772F7F"/>
    <w:rsid w:val="00772FF9"/>
    <w:rsid w:val="007732AD"/>
    <w:rsid w:val="007737B6"/>
    <w:rsid w:val="007737CF"/>
    <w:rsid w:val="007739A8"/>
    <w:rsid w:val="00774FBF"/>
    <w:rsid w:val="00775EAA"/>
    <w:rsid w:val="00775F47"/>
    <w:rsid w:val="00777EB5"/>
    <w:rsid w:val="0078083F"/>
    <w:rsid w:val="00780B5C"/>
    <w:rsid w:val="007832E7"/>
    <w:rsid w:val="007832F9"/>
    <w:rsid w:val="00783AE6"/>
    <w:rsid w:val="00785052"/>
    <w:rsid w:val="00785666"/>
    <w:rsid w:val="00785B73"/>
    <w:rsid w:val="00785DC1"/>
    <w:rsid w:val="007878C9"/>
    <w:rsid w:val="00787BC8"/>
    <w:rsid w:val="00792796"/>
    <w:rsid w:val="00795E0D"/>
    <w:rsid w:val="00796D8F"/>
    <w:rsid w:val="00796EA8"/>
    <w:rsid w:val="007971FF"/>
    <w:rsid w:val="007A2122"/>
    <w:rsid w:val="007A25AD"/>
    <w:rsid w:val="007A2E81"/>
    <w:rsid w:val="007A2FA9"/>
    <w:rsid w:val="007A34F6"/>
    <w:rsid w:val="007A372B"/>
    <w:rsid w:val="007A376F"/>
    <w:rsid w:val="007A3C8C"/>
    <w:rsid w:val="007A4A3B"/>
    <w:rsid w:val="007B0820"/>
    <w:rsid w:val="007B0C52"/>
    <w:rsid w:val="007B13A5"/>
    <w:rsid w:val="007B170B"/>
    <w:rsid w:val="007B2244"/>
    <w:rsid w:val="007B29BE"/>
    <w:rsid w:val="007B2A85"/>
    <w:rsid w:val="007B300B"/>
    <w:rsid w:val="007B36DB"/>
    <w:rsid w:val="007B39BC"/>
    <w:rsid w:val="007B3CE3"/>
    <w:rsid w:val="007B46DB"/>
    <w:rsid w:val="007B47EC"/>
    <w:rsid w:val="007B5F8A"/>
    <w:rsid w:val="007B6020"/>
    <w:rsid w:val="007B6169"/>
    <w:rsid w:val="007B6BDF"/>
    <w:rsid w:val="007B7690"/>
    <w:rsid w:val="007B7BA4"/>
    <w:rsid w:val="007C0AEC"/>
    <w:rsid w:val="007C2EB3"/>
    <w:rsid w:val="007C4CE4"/>
    <w:rsid w:val="007C5313"/>
    <w:rsid w:val="007C5837"/>
    <w:rsid w:val="007C6727"/>
    <w:rsid w:val="007C7FEE"/>
    <w:rsid w:val="007D0419"/>
    <w:rsid w:val="007D07B6"/>
    <w:rsid w:val="007D1266"/>
    <w:rsid w:val="007D2C2A"/>
    <w:rsid w:val="007D2FBF"/>
    <w:rsid w:val="007D32B8"/>
    <w:rsid w:val="007D370B"/>
    <w:rsid w:val="007D3C01"/>
    <w:rsid w:val="007D3D1B"/>
    <w:rsid w:val="007D4C75"/>
    <w:rsid w:val="007D62F7"/>
    <w:rsid w:val="007D6542"/>
    <w:rsid w:val="007D7DC6"/>
    <w:rsid w:val="007E0EB4"/>
    <w:rsid w:val="007E18F9"/>
    <w:rsid w:val="007E26AD"/>
    <w:rsid w:val="007E3327"/>
    <w:rsid w:val="007E35EC"/>
    <w:rsid w:val="007E5606"/>
    <w:rsid w:val="007E5A6F"/>
    <w:rsid w:val="007F0318"/>
    <w:rsid w:val="007F0367"/>
    <w:rsid w:val="007F10B7"/>
    <w:rsid w:val="007F1A86"/>
    <w:rsid w:val="007F23BA"/>
    <w:rsid w:val="007F26E2"/>
    <w:rsid w:val="007F2B76"/>
    <w:rsid w:val="007F5A6F"/>
    <w:rsid w:val="007F5F2B"/>
    <w:rsid w:val="007F60AF"/>
    <w:rsid w:val="007F664F"/>
    <w:rsid w:val="007F6676"/>
    <w:rsid w:val="00800208"/>
    <w:rsid w:val="00800789"/>
    <w:rsid w:val="008013AD"/>
    <w:rsid w:val="00801BDE"/>
    <w:rsid w:val="00801E67"/>
    <w:rsid w:val="008040ED"/>
    <w:rsid w:val="00805059"/>
    <w:rsid w:val="00807440"/>
    <w:rsid w:val="008074B4"/>
    <w:rsid w:val="008102CC"/>
    <w:rsid w:val="008108F1"/>
    <w:rsid w:val="00810C29"/>
    <w:rsid w:val="00810C82"/>
    <w:rsid w:val="008112F9"/>
    <w:rsid w:val="00813588"/>
    <w:rsid w:val="00815A92"/>
    <w:rsid w:val="00820F87"/>
    <w:rsid w:val="008211E1"/>
    <w:rsid w:val="00821875"/>
    <w:rsid w:val="00822438"/>
    <w:rsid w:val="00822C91"/>
    <w:rsid w:val="0082562F"/>
    <w:rsid w:val="00826222"/>
    <w:rsid w:val="00826F0E"/>
    <w:rsid w:val="00827FAD"/>
    <w:rsid w:val="008300CC"/>
    <w:rsid w:val="008327DE"/>
    <w:rsid w:val="00834FEA"/>
    <w:rsid w:val="00835A2C"/>
    <w:rsid w:val="00835ACD"/>
    <w:rsid w:val="00836390"/>
    <w:rsid w:val="00836C70"/>
    <w:rsid w:val="00837730"/>
    <w:rsid w:val="008378E0"/>
    <w:rsid w:val="00840DF2"/>
    <w:rsid w:val="008412F6"/>
    <w:rsid w:val="008417C3"/>
    <w:rsid w:val="0084300B"/>
    <w:rsid w:val="0084362F"/>
    <w:rsid w:val="008438D0"/>
    <w:rsid w:val="00844194"/>
    <w:rsid w:val="00844A74"/>
    <w:rsid w:val="00844BBF"/>
    <w:rsid w:val="0084514F"/>
    <w:rsid w:val="00845FBC"/>
    <w:rsid w:val="00846643"/>
    <w:rsid w:val="008472A8"/>
    <w:rsid w:val="00847CFC"/>
    <w:rsid w:val="00851686"/>
    <w:rsid w:val="00852A12"/>
    <w:rsid w:val="00853A5B"/>
    <w:rsid w:val="00853D30"/>
    <w:rsid w:val="00853D4F"/>
    <w:rsid w:val="008542DF"/>
    <w:rsid w:val="00855593"/>
    <w:rsid w:val="00856380"/>
    <w:rsid w:val="00856D76"/>
    <w:rsid w:val="008574C8"/>
    <w:rsid w:val="008600EE"/>
    <w:rsid w:val="008619D9"/>
    <w:rsid w:val="00861A98"/>
    <w:rsid w:val="008623F2"/>
    <w:rsid w:val="00862A4C"/>
    <w:rsid w:val="0086333A"/>
    <w:rsid w:val="008644A7"/>
    <w:rsid w:val="008646DA"/>
    <w:rsid w:val="00864EBA"/>
    <w:rsid w:val="00864FDC"/>
    <w:rsid w:val="00865709"/>
    <w:rsid w:val="00866E13"/>
    <w:rsid w:val="00866FA7"/>
    <w:rsid w:val="0086768D"/>
    <w:rsid w:val="00867702"/>
    <w:rsid w:val="00870F65"/>
    <w:rsid w:val="00871277"/>
    <w:rsid w:val="00871D3A"/>
    <w:rsid w:val="00872088"/>
    <w:rsid w:val="00873868"/>
    <w:rsid w:val="00874690"/>
    <w:rsid w:val="0087472E"/>
    <w:rsid w:val="008767A9"/>
    <w:rsid w:val="00876F89"/>
    <w:rsid w:val="008778A1"/>
    <w:rsid w:val="00877B46"/>
    <w:rsid w:val="0088070E"/>
    <w:rsid w:val="008810CD"/>
    <w:rsid w:val="00881207"/>
    <w:rsid w:val="0088122B"/>
    <w:rsid w:val="00881359"/>
    <w:rsid w:val="00882F82"/>
    <w:rsid w:val="00883BB0"/>
    <w:rsid w:val="00884402"/>
    <w:rsid w:val="008848B5"/>
    <w:rsid w:val="00885554"/>
    <w:rsid w:val="008864D1"/>
    <w:rsid w:val="00887D8B"/>
    <w:rsid w:val="0089031D"/>
    <w:rsid w:val="00890C32"/>
    <w:rsid w:val="0089239B"/>
    <w:rsid w:val="00893330"/>
    <w:rsid w:val="00894DEB"/>
    <w:rsid w:val="00895168"/>
    <w:rsid w:val="008953D9"/>
    <w:rsid w:val="00895F74"/>
    <w:rsid w:val="00896164"/>
    <w:rsid w:val="008A0627"/>
    <w:rsid w:val="008A06EB"/>
    <w:rsid w:val="008A078B"/>
    <w:rsid w:val="008A129D"/>
    <w:rsid w:val="008A1D89"/>
    <w:rsid w:val="008A2B99"/>
    <w:rsid w:val="008A3AB0"/>
    <w:rsid w:val="008A492E"/>
    <w:rsid w:val="008A4D64"/>
    <w:rsid w:val="008A5BCA"/>
    <w:rsid w:val="008A6E3B"/>
    <w:rsid w:val="008A74F3"/>
    <w:rsid w:val="008A7A78"/>
    <w:rsid w:val="008B0674"/>
    <w:rsid w:val="008B0BBD"/>
    <w:rsid w:val="008B2283"/>
    <w:rsid w:val="008B2483"/>
    <w:rsid w:val="008B2B43"/>
    <w:rsid w:val="008B2E25"/>
    <w:rsid w:val="008B487F"/>
    <w:rsid w:val="008B4C9A"/>
    <w:rsid w:val="008B63F6"/>
    <w:rsid w:val="008B7072"/>
    <w:rsid w:val="008B7E6F"/>
    <w:rsid w:val="008C0376"/>
    <w:rsid w:val="008C09E6"/>
    <w:rsid w:val="008C0BFD"/>
    <w:rsid w:val="008C107F"/>
    <w:rsid w:val="008C11BC"/>
    <w:rsid w:val="008C226A"/>
    <w:rsid w:val="008C25C6"/>
    <w:rsid w:val="008C2AD8"/>
    <w:rsid w:val="008C2BE0"/>
    <w:rsid w:val="008C2C5F"/>
    <w:rsid w:val="008C3B44"/>
    <w:rsid w:val="008C4692"/>
    <w:rsid w:val="008C5FEA"/>
    <w:rsid w:val="008C7228"/>
    <w:rsid w:val="008C7AA1"/>
    <w:rsid w:val="008D03F8"/>
    <w:rsid w:val="008D1F76"/>
    <w:rsid w:val="008D36B8"/>
    <w:rsid w:val="008D5CF3"/>
    <w:rsid w:val="008D6CDF"/>
    <w:rsid w:val="008D748F"/>
    <w:rsid w:val="008D7776"/>
    <w:rsid w:val="008D7A45"/>
    <w:rsid w:val="008D7AB1"/>
    <w:rsid w:val="008E00AA"/>
    <w:rsid w:val="008E00C6"/>
    <w:rsid w:val="008E0FFE"/>
    <w:rsid w:val="008E17AC"/>
    <w:rsid w:val="008E1E7A"/>
    <w:rsid w:val="008E3763"/>
    <w:rsid w:val="008E3C86"/>
    <w:rsid w:val="008E4594"/>
    <w:rsid w:val="008E4BA7"/>
    <w:rsid w:val="008E4C0D"/>
    <w:rsid w:val="008E4C1E"/>
    <w:rsid w:val="008E4E90"/>
    <w:rsid w:val="008E5609"/>
    <w:rsid w:val="008E5C6D"/>
    <w:rsid w:val="008E5DA2"/>
    <w:rsid w:val="008E698E"/>
    <w:rsid w:val="008E73F7"/>
    <w:rsid w:val="008F0C46"/>
    <w:rsid w:val="008F0C4F"/>
    <w:rsid w:val="008F104A"/>
    <w:rsid w:val="008F1BFC"/>
    <w:rsid w:val="008F34D5"/>
    <w:rsid w:val="008F4B86"/>
    <w:rsid w:val="008F50C5"/>
    <w:rsid w:val="008F5523"/>
    <w:rsid w:val="008F661F"/>
    <w:rsid w:val="009004A3"/>
    <w:rsid w:val="00903361"/>
    <w:rsid w:val="009034DD"/>
    <w:rsid w:val="00903B5C"/>
    <w:rsid w:val="00903D31"/>
    <w:rsid w:val="00903FBD"/>
    <w:rsid w:val="009041EA"/>
    <w:rsid w:val="009045D7"/>
    <w:rsid w:val="00904809"/>
    <w:rsid w:val="00904D19"/>
    <w:rsid w:val="00906088"/>
    <w:rsid w:val="009063A0"/>
    <w:rsid w:val="0090737F"/>
    <w:rsid w:val="00907DD8"/>
    <w:rsid w:val="009109F8"/>
    <w:rsid w:val="0091151D"/>
    <w:rsid w:val="0091215B"/>
    <w:rsid w:val="00912B20"/>
    <w:rsid w:val="009143FF"/>
    <w:rsid w:val="0091535F"/>
    <w:rsid w:val="009154CD"/>
    <w:rsid w:val="00915B08"/>
    <w:rsid w:val="00916589"/>
    <w:rsid w:val="009165C7"/>
    <w:rsid w:val="00917DF5"/>
    <w:rsid w:val="009200D2"/>
    <w:rsid w:val="00920146"/>
    <w:rsid w:val="0092037E"/>
    <w:rsid w:val="00922405"/>
    <w:rsid w:val="00923924"/>
    <w:rsid w:val="00923FD5"/>
    <w:rsid w:val="00924498"/>
    <w:rsid w:val="00925D6E"/>
    <w:rsid w:val="00926E1C"/>
    <w:rsid w:val="009273B7"/>
    <w:rsid w:val="00927F06"/>
    <w:rsid w:val="0093096A"/>
    <w:rsid w:val="00930A7B"/>
    <w:rsid w:val="00930AB2"/>
    <w:rsid w:val="009328A3"/>
    <w:rsid w:val="009331F0"/>
    <w:rsid w:val="0093479E"/>
    <w:rsid w:val="00934AD1"/>
    <w:rsid w:val="00935221"/>
    <w:rsid w:val="009356F8"/>
    <w:rsid w:val="00935CCC"/>
    <w:rsid w:val="00935D0D"/>
    <w:rsid w:val="00936BD7"/>
    <w:rsid w:val="00936DBC"/>
    <w:rsid w:val="00937C9F"/>
    <w:rsid w:val="00940456"/>
    <w:rsid w:val="00940489"/>
    <w:rsid w:val="0094148A"/>
    <w:rsid w:val="009417DE"/>
    <w:rsid w:val="00941C4B"/>
    <w:rsid w:val="00943F2A"/>
    <w:rsid w:val="0094489B"/>
    <w:rsid w:val="00945679"/>
    <w:rsid w:val="0094761E"/>
    <w:rsid w:val="0095256D"/>
    <w:rsid w:val="0095331E"/>
    <w:rsid w:val="00953445"/>
    <w:rsid w:val="00954625"/>
    <w:rsid w:val="00954A85"/>
    <w:rsid w:val="00954D0F"/>
    <w:rsid w:val="009550F6"/>
    <w:rsid w:val="00955DF4"/>
    <w:rsid w:val="009562FE"/>
    <w:rsid w:val="009600A1"/>
    <w:rsid w:val="00960404"/>
    <w:rsid w:val="009610BC"/>
    <w:rsid w:val="00961C75"/>
    <w:rsid w:val="009622DB"/>
    <w:rsid w:val="00962342"/>
    <w:rsid w:val="00962B18"/>
    <w:rsid w:val="00962C4A"/>
    <w:rsid w:val="00962DB0"/>
    <w:rsid w:val="00963F58"/>
    <w:rsid w:val="009641A0"/>
    <w:rsid w:val="009667C7"/>
    <w:rsid w:val="0097218A"/>
    <w:rsid w:val="009735D4"/>
    <w:rsid w:val="009746A2"/>
    <w:rsid w:val="00974C43"/>
    <w:rsid w:val="00975427"/>
    <w:rsid w:val="00975C89"/>
    <w:rsid w:val="00975CA5"/>
    <w:rsid w:val="009765FF"/>
    <w:rsid w:val="00977638"/>
    <w:rsid w:val="00980311"/>
    <w:rsid w:val="00981677"/>
    <w:rsid w:val="009831ED"/>
    <w:rsid w:val="009836EB"/>
    <w:rsid w:val="009839DC"/>
    <w:rsid w:val="00984277"/>
    <w:rsid w:val="00985632"/>
    <w:rsid w:val="00990AD2"/>
    <w:rsid w:val="00992D09"/>
    <w:rsid w:val="009933E3"/>
    <w:rsid w:val="00993621"/>
    <w:rsid w:val="00994026"/>
    <w:rsid w:val="00994127"/>
    <w:rsid w:val="009942B4"/>
    <w:rsid w:val="009950F8"/>
    <w:rsid w:val="00995717"/>
    <w:rsid w:val="00996138"/>
    <w:rsid w:val="00996FA3"/>
    <w:rsid w:val="0099712F"/>
    <w:rsid w:val="009975CC"/>
    <w:rsid w:val="009978D2"/>
    <w:rsid w:val="009A0298"/>
    <w:rsid w:val="009A0A0D"/>
    <w:rsid w:val="009A17F7"/>
    <w:rsid w:val="009A1FD1"/>
    <w:rsid w:val="009A3300"/>
    <w:rsid w:val="009A36B3"/>
    <w:rsid w:val="009A3B3D"/>
    <w:rsid w:val="009A46A9"/>
    <w:rsid w:val="009A4F9E"/>
    <w:rsid w:val="009A5560"/>
    <w:rsid w:val="009A7112"/>
    <w:rsid w:val="009A7284"/>
    <w:rsid w:val="009A73B1"/>
    <w:rsid w:val="009A7E3D"/>
    <w:rsid w:val="009B0F6C"/>
    <w:rsid w:val="009B1ACE"/>
    <w:rsid w:val="009B2443"/>
    <w:rsid w:val="009B2D67"/>
    <w:rsid w:val="009B4410"/>
    <w:rsid w:val="009B4B06"/>
    <w:rsid w:val="009B79B5"/>
    <w:rsid w:val="009C0585"/>
    <w:rsid w:val="009C0D7C"/>
    <w:rsid w:val="009C131A"/>
    <w:rsid w:val="009C14A9"/>
    <w:rsid w:val="009C21C8"/>
    <w:rsid w:val="009C2291"/>
    <w:rsid w:val="009C2A92"/>
    <w:rsid w:val="009C4444"/>
    <w:rsid w:val="009C56F2"/>
    <w:rsid w:val="009C78E1"/>
    <w:rsid w:val="009D07E4"/>
    <w:rsid w:val="009D0D54"/>
    <w:rsid w:val="009D0ED7"/>
    <w:rsid w:val="009D1324"/>
    <w:rsid w:val="009D1896"/>
    <w:rsid w:val="009D3734"/>
    <w:rsid w:val="009D37A3"/>
    <w:rsid w:val="009D6064"/>
    <w:rsid w:val="009D6BC3"/>
    <w:rsid w:val="009E0F49"/>
    <w:rsid w:val="009E17CE"/>
    <w:rsid w:val="009E301F"/>
    <w:rsid w:val="009E4018"/>
    <w:rsid w:val="009E5E5C"/>
    <w:rsid w:val="009E614A"/>
    <w:rsid w:val="009E6810"/>
    <w:rsid w:val="009E6EA2"/>
    <w:rsid w:val="009F20FE"/>
    <w:rsid w:val="009F49E4"/>
    <w:rsid w:val="009F4B52"/>
    <w:rsid w:val="009F5A3F"/>
    <w:rsid w:val="009F7C8B"/>
    <w:rsid w:val="00A0030E"/>
    <w:rsid w:val="00A0062F"/>
    <w:rsid w:val="00A043ED"/>
    <w:rsid w:val="00A04C7B"/>
    <w:rsid w:val="00A04FDE"/>
    <w:rsid w:val="00A07DEE"/>
    <w:rsid w:val="00A1075F"/>
    <w:rsid w:val="00A11963"/>
    <w:rsid w:val="00A121EF"/>
    <w:rsid w:val="00A12BCF"/>
    <w:rsid w:val="00A13806"/>
    <w:rsid w:val="00A14575"/>
    <w:rsid w:val="00A15768"/>
    <w:rsid w:val="00A15C90"/>
    <w:rsid w:val="00A16A2C"/>
    <w:rsid w:val="00A16B0E"/>
    <w:rsid w:val="00A17804"/>
    <w:rsid w:val="00A200F4"/>
    <w:rsid w:val="00A20749"/>
    <w:rsid w:val="00A22294"/>
    <w:rsid w:val="00A22F2E"/>
    <w:rsid w:val="00A2457A"/>
    <w:rsid w:val="00A2471C"/>
    <w:rsid w:val="00A2544A"/>
    <w:rsid w:val="00A258F5"/>
    <w:rsid w:val="00A2670A"/>
    <w:rsid w:val="00A26B8D"/>
    <w:rsid w:val="00A26E11"/>
    <w:rsid w:val="00A26FC5"/>
    <w:rsid w:val="00A27E6E"/>
    <w:rsid w:val="00A303C3"/>
    <w:rsid w:val="00A3112E"/>
    <w:rsid w:val="00A315AD"/>
    <w:rsid w:val="00A31708"/>
    <w:rsid w:val="00A32F63"/>
    <w:rsid w:val="00A338F6"/>
    <w:rsid w:val="00A3464E"/>
    <w:rsid w:val="00A35A7A"/>
    <w:rsid w:val="00A35E96"/>
    <w:rsid w:val="00A36537"/>
    <w:rsid w:val="00A41B15"/>
    <w:rsid w:val="00A4259A"/>
    <w:rsid w:val="00A43673"/>
    <w:rsid w:val="00A456D8"/>
    <w:rsid w:val="00A45A2C"/>
    <w:rsid w:val="00A47432"/>
    <w:rsid w:val="00A50A9D"/>
    <w:rsid w:val="00A51AC4"/>
    <w:rsid w:val="00A5279A"/>
    <w:rsid w:val="00A5297E"/>
    <w:rsid w:val="00A532A0"/>
    <w:rsid w:val="00A541F1"/>
    <w:rsid w:val="00A5444F"/>
    <w:rsid w:val="00A54CC8"/>
    <w:rsid w:val="00A5596D"/>
    <w:rsid w:val="00A55A4A"/>
    <w:rsid w:val="00A55FA0"/>
    <w:rsid w:val="00A56925"/>
    <w:rsid w:val="00A5748B"/>
    <w:rsid w:val="00A57C51"/>
    <w:rsid w:val="00A61978"/>
    <w:rsid w:val="00A643FF"/>
    <w:rsid w:val="00A64D1E"/>
    <w:rsid w:val="00A65FAF"/>
    <w:rsid w:val="00A66098"/>
    <w:rsid w:val="00A6646D"/>
    <w:rsid w:val="00A6756D"/>
    <w:rsid w:val="00A71266"/>
    <w:rsid w:val="00A719D4"/>
    <w:rsid w:val="00A75F6C"/>
    <w:rsid w:val="00A76AAC"/>
    <w:rsid w:val="00A76C9D"/>
    <w:rsid w:val="00A77E58"/>
    <w:rsid w:val="00A80555"/>
    <w:rsid w:val="00A80918"/>
    <w:rsid w:val="00A82419"/>
    <w:rsid w:val="00A8322E"/>
    <w:rsid w:val="00A84D0C"/>
    <w:rsid w:val="00A86192"/>
    <w:rsid w:val="00A87D38"/>
    <w:rsid w:val="00A90367"/>
    <w:rsid w:val="00A91FEF"/>
    <w:rsid w:val="00A923D0"/>
    <w:rsid w:val="00A9304C"/>
    <w:rsid w:val="00A938CD"/>
    <w:rsid w:val="00A93CB7"/>
    <w:rsid w:val="00A940F2"/>
    <w:rsid w:val="00A96061"/>
    <w:rsid w:val="00A961B5"/>
    <w:rsid w:val="00A974BB"/>
    <w:rsid w:val="00A9763E"/>
    <w:rsid w:val="00AA0E97"/>
    <w:rsid w:val="00AA141A"/>
    <w:rsid w:val="00AA1869"/>
    <w:rsid w:val="00AA1B93"/>
    <w:rsid w:val="00AA3F6A"/>
    <w:rsid w:val="00AA5F41"/>
    <w:rsid w:val="00AA63B3"/>
    <w:rsid w:val="00AA64D1"/>
    <w:rsid w:val="00AA6AA4"/>
    <w:rsid w:val="00AA781A"/>
    <w:rsid w:val="00AB0417"/>
    <w:rsid w:val="00AB3DC7"/>
    <w:rsid w:val="00AB4745"/>
    <w:rsid w:val="00AB47EC"/>
    <w:rsid w:val="00AB4D51"/>
    <w:rsid w:val="00AB5177"/>
    <w:rsid w:val="00AB5366"/>
    <w:rsid w:val="00AB621A"/>
    <w:rsid w:val="00AB715F"/>
    <w:rsid w:val="00AC1466"/>
    <w:rsid w:val="00AC3449"/>
    <w:rsid w:val="00AC34C3"/>
    <w:rsid w:val="00AC44DD"/>
    <w:rsid w:val="00AC5676"/>
    <w:rsid w:val="00AC581B"/>
    <w:rsid w:val="00AC6871"/>
    <w:rsid w:val="00AD0158"/>
    <w:rsid w:val="00AD0271"/>
    <w:rsid w:val="00AD02DC"/>
    <w:rsid w:val="00AD144E"/>
    <w:rsid w:val="00AD2E29"/>
    <w:rsid w:val="00AD301B"/>
    <w:rsid w:val="00AD367A"/>
    <w:rsid w:val="00AD3D0F"/>
    <w:rsid w:val="00AD50A6"/>
    <w:rsid w:val="00AD66D9"/>
    <w:rsid w:val="00AD6ED2"/>
    <w:rsid w:val="00AE044D"/>
    <w:rsid w:val="00AE0A11"/>
    <w:rsid w:val="00AE1972"/>
    <w:rsid w:val="00AE1A6F"/>
    <w:rsid w:val="00AE2F68"/>
    <w:rsid w:val="00AE3632"/>
    <w:rsid w:val="00AE3662"/>
    <w:rsid w:val="00AE423A"/>
    <w:rsid w:val="00AE4682"/>
    <w:rsid w:val="00AE4DC8"/>
    <w:rsid w:val="00AE664A"/>
    <w:rsid w:val="00AE6DB6"/>
    <w:rsid w:val="00AF049D"/>
    <w:rsid w:val="00AF17F9"/>
    <w:rsid w:val="00AF26EE"/>
    <w:rsid w:val="00AF36AF"/>
    <w:rsid w:val="00AF3F7A"/>
    <w:rsid w:val="00AF4D09"/>
    <w:rsid w:val="00AF5D62"/>
    <w:rsid w:val="00AF7177"/>
    <w:rsid w:val="00B0017C"/>
    <w:rsid w:val="00B008FA"/>
    <w:rsid w:val="00B00EB3"/>
    <w:rsid w:val="00B03F35"/>
    <w:rsid w:val="00B0465C"/>
    <w:rsid w:val="00B048BF"/>
    <w:rsid w:val="00B05415"/>
    <w:rsid w:val="00B0590A"/>
    <w:rsid w:val="00B0670C"/>
    <w:rsid w:val="00B071DF"/>
    <w:rsid w:val="00B10BD3"/>
    <w:rsid w:val="00B11EE5"/>
    <w:rsid w:val="00B13173"/>
    <w:rsid w:val="00B138C9"/>
    <w:rsid w:val="00B13E55"/>
    <w:rsid w:val="00B14245"/>
    <w:rsid w:val="00B150B2"/>
    <w:rsid w:val="00B171EA"/>
    <w:rsid w:val="00B202CC"/>
    <w:rsid w:val="00B207BF"/>
    <w:rsid w:val="00B211B7"/>
    <w:rsid w:val="00B21C47"/>
    <w:rsid w:val="00B227DE"/>
    <w:rsid w:val="00B23996"/>
    <w:rsid w:val="00B25197"/>
    <w:rsid w:val="00B2567F"/>
    <w:rsid w:val="00B263B9"/>
    <w:rsid w:val="00B27032"/>
    <w:rsid w:val="00B27345"/>
    <w:rsid w:val="00B27B67"/>
    <w:rsid w:val="00B27F6D"/>
    <w:rsid w:val="00B30651"/>
    <w:rsid w:val="00B30D2E"/>
    <w:rsid w:val="00B30D9F"/>
    <w:rsid w:val="00B32BF6"/>
    <w:rsid w:val="00B33F2A"/>
    <w:rsid w:val="00B34728"/>
    <w:rsid w:val="00B35DEF"/>
    <w:rsid w:val="00B367F4"/>
    <w:rsid w:val="00B4039B"/>
    <w:rsid w:val="00B4063B"/>
    <w:rsid w:val="00B40C5B"/>
    <w:rsid w:val="00B41759"/>
    <w:rsid w:val="00B4193A"/>
    <w:rsid w:val="00B42782"/>
    <w:rsid w:val="00B43A05"/>
    <w:rsid w:val="00B453CF"/>
    <w:rsid w:val="00B456DD"/>
    <w:rsid w:val="00B4654C"/>
    <w:rsid w:val="00B4700E"/>
    <w:rsid w:val="00B47BE3"/>
    <w:rsid w:val="00B50D7F"/>
    <w:rsid w:val="00B51524"/>
    <w:rsid w:val="00B5184B"/>
    <w:rsid w:val="00B52590"/>
    <w:rsid w:val="00B52A3E"/>
    <w:rsid w:val="00B53E2E"/>
    <w:rsid w:val="00B55E1A"/>
    <w:rsid w:val="00B56104"/>
    <w:rsid w:val="00B56CE2"/>
    <w:rsid w:val="00B572DA"/>
    <w:rsid w:val="00B623A8"/>
    <w:rsid w:val="00B638DB"/>
    <w:rsid w:val="00B63FF9"/>
    <w:rsid w:val="00B64515"/>
    <w:rsid w:val="00B64FF4"/>
    <w:rsid w:val="00B65046"/>
    <w:rsid w:val="00B650CD"/>
    <w:rsid w:val="00B65450"/>
    <w:rsid w:val="00B6590E"/>
    <w:rsid w:val="00B6599B"/>
    <w:rsid w:val="00B659E0"/>
    <w:rsid w:val="00B65E00"/>
    <w:rsid w:val="00B666BA"/>
    <w:rsid w:val="00B66B16"/>
    <w:rsid w:val="00B66EF1"/>
    <w:rsid w:val="00B6740D"/>
    <w:rsid w:val="00B679F9"/>
    <w:rsid w:val="00B70BA5"/>
    <w:rsid w:val="00B71861"/>
    <w:rsid w:val="00B71934"/>
    <w:rsid w:val="00B71E5F"/>
    <w:rsid w:val="00B72237"/>
    <w:rsid w:val="00B727FB"/>
    <w:rsid w:val="00B7293A"/>
    <w:rsid w:val="00B73C5D"/>
    <w:rsid w:val="00B73EF1"/>
    <w:rsid w:val="00B74547"/>
    <w:rsid w:val="00B745CB"/>
    <w:rsid w:val="00B74CD6"/>
    <w:rsid w:val="00B74D04"/>
    <w:rsid w:val="00B756B4"/>
    <w:rsid w:val="00B75708"/>
    <w:rsid w:val="00B75F7F"/>
    <w:rsid w:val="00B76747"/>
    <w:rsid w:val="00B767BD"/>
    <w:rsid w:val="00B76F49"/>
    <w:rsid w:val="00B77EA2"/>
    <w:rsid w:val="00B81646"/>
    <w:rsid w:val="00B819C1"/>
    <w:rsid w:val="00B82247"/>
    <w:rsid w:val="00B82C0D"/>
    <w:rsid w:val="00B840D8"/>
    <w:rsid w:val="00B8427A"/>
    <w:rsid w:val="00B8443B"/>
    <w:rsid w:val="00B84584"/>
    <w:rsid w:val="00B84B40"/>
    <w:rsid w:val="00B906F3"/>
    <w:rsid w:val="00B908AE"/>
    <w:rsid w:val="00B90B38"/>
    <w:rsid w:val="00B90D9A"/>
    <w:rsid w:val="00B90ED7"/>
    <w:rsid w:val="00B911AF"/>
    <w:rsid w:val="00B9147F"/>
    <w:rsid w:val="00B933F5"/>
    <w:rsid w:val="00B955C3"/>
    <w:rsid w:val="00B95E78"/>
    <w:rsid w:val="00B9713F"/>
    <w:rsid w:val="00B97897"/>
    <w:rsid w:val="00B97BD6"/>
    <w:rsid w:val="00BA00D8"/>
    <w:rsid w:val="00BA17DF"/>
    <w:rsid w:val="00BA19E0"/>
    <w:rsid w:val="00BA1D3B"/>
    <w:rsid w:val="00BA2020"/>
    <w:rsid w:val="00BA2C25"/>
    <w:rsid w:val="00BA4374"/>
    <w:rsid w:val="00BA5CDA"/>
    <w:rsid w:val="00BA68DA"/>
    <w:rsid w:val="00BA75F6"/>
    <w:rsid w:val="00BB120D"/>
    <w:rsid w:val="00BB1B48"/>
    <w:rsid w:val="00BB1DBE"/>
    <w:rsid w:val="00BB22C1"/>
    <w:rsid w:val="00BB6FBE"/>
    <w:rsid w:val="00BB7D92"/>
    <w:rsid w:val="00BB7FE6"/>
    <w:rsid w:val="00BC007D"/>
    <w:rsid w:val="00BC0D04"/>
    <w:rsid w:val="00BC112B"/>
    <w:rsid w:val="00BC16C3"/>
    <w:rsid w:val="00BC321B"/>
    <w:rsid w:val="00BC4A77"/>
    <w:rsid w:val="00BD0E4D"/>
    <w:rsid w:val="00BD10E8"/>
    <w:rsid w:val="00BD12F5"/>
    <w:rsid w:val="00BD2E66"/>
    <w:rsid w:val="00BD4479"/>
    <w:rsid w:val="00BD4B5C"/>
    <w:rsid w:val="00BD6607"/>
    <w:rsid w:val="00BD6A0C"/>
    <w:rsid w:val="00BD7319"/>
    <w:rsid w:val="00BE0A7B"/>
    <w:rsid w:val="00BE1172"/>
    <w:rsid w:val="00BE1AB8"/>
    <w:rsid w:val="00BE1E97"/>
    <w:rsid w:val="00BE2D53"/>
    <w:rsid w:val="00BE4895"/>
    <w:rsid w:val="00BE5520"/>
    <w:rsid w:val="00BE5DA8"/>
    <w:rsid w:val="00BF03A9"/>
    <w:rsid w:val="00BF0850"/>
    <w:rsid w:val="00BF1028"/>
    <w:rsid w:val="00BF155A"/>
    <w:rsid w:val="00BF5A75"/>
    <w:rsid w:val="00BF6522"/>
    <w:rsid w:val="00BF7E87"/>
    <w:rsid w:val="00C00998"/>
    <w:rsid w:val="00C00C0E"/>
    <w:rsid w:val="00C0138A"/>
    <w:rsid w:val="00C01FB5"/>
    <w:rsid w:val="00C0345E"/>
    <w:rsid w:val="00C03A55"/>
    <w:rsid w:val="00C04463"/>
    <w:rsid w:val="00C04690"/>
    <w:rsid w:val="00C04A2E"/>
    <w:rsid w:val="00C0502B"/>
    <w:rsid w:val="00C05B2A"/>
    <w:rsid w:val="00C06C54"/>
    <w:rsid w:val="00C07A63"/>
    <w:rsid w:val="00C07E67"/>
    <w:rsid w:val="00C1002F"/>
    <w:rsid w:val="00C103BF"/>
    <w:rsid w:val="00C10B63"/>
    <w:rsid w:val="00C10CC1"/>
    <w:rsid w:val="00C112F4"/>
    <w:rsid w:val="00C125E0"/>
    <w:rsid w:val="00C12943"/>
    <w:rsid w:val="00C13460"/>
    <w:rsid w:val="00C1689E"/>
    <w:rsid w:val="00C16F72"/>
    <w:rsid w:val="00C175EE"/>
    <w:rsid w:val="00C1788C"/>
    <w:rsid w:val="00C202A6"/>
    <w:rsid w:val="00C20313"/>
    <w:rsid w:val="00C20C92"/>
    <w:rsid w:val="00C216B8"/>
    <w:rsid w:val="00C2261D"/>
    <w:rsid w:val="00C2367A"/>
    <w:rsid w:val="00C23A9E"/>
    <w:rsid w:val="00C26031"/>
    <w:rsid w:val="00C261DA"/>
    <w:rsid w:val="00C263A3"/>
    <w:rsid w:val="00C27384"/>
    <w:rsid w:val="00C27E23"/>
    <w:rsid w:val="00C30A05"/>
    <w:rsid w:val="00C32307"/>
    <w:rsid w:val="00C34007"/>
    <w:rsid w:val="00C343A2"/>
    <w:rsid w:val="00C353DD"/>
    <w:rsid w:val="00C356C0"/>
    <w:rsid w:val="00C35BE1"/>
    <w:rsid w:val="00C36508"/>
    <w:rsid w:val="00C365FA"/>
    <w:rsid w:val="00C36BA5"/>
    <w:rsid w:val="00C36F27"/>
    <w:rsid w:val="00C37C39"/>
    <w:rsid w:val="00C4015F"/>
    <w:rsid w:val="00C402B0"/>
    <w:rsid w:val="00C41B5C"/>
    <w:rsid w:val="00C43831"/>
    <w:rsid w:val="00C44918"/>
    <w:rsid w:val="00C45B7D"/>
    <w:rsid w:val="00C45EF4"/>
    <w:rsid w:val="00C515F2"/>
    <w:rsid w:val="00C52C47"/>
    <w:rsid w:val="00C5419E"/>
    <w:rsid w:val="00C54535"/>
    <w:rsid w:val="00C545B7"/>
    <w:rsid w:val="00C555A0"/>
    <w:rsid w:val="00C555EB"/>
    <w:rsid w:val="00C561E5"/>
    <w:rsid w:val="00C56F7D"/>
    <w:rsid w:val="00C605C3"/>
    <w:rsid w:val="00C609F9"/>
    <w:rsid w:val="00C60EEC"/>
    <w:rsid w:val="00C60EF0"/>
    <w:rsid w:val="00C61DBC"/>
    <w:rsid w:val="00C6230D"/>
    <w:rsid w:val="00C627FE"/>
    <w:rsid w:val="00C6497B"/>
    <w:rsid w:val="00C64B3F"/>
    <w:rsid w:val="00C64BBD"/>
    <w:rsid w:val="00C66CFC"/>
    <w:rsid w:val="00C7054F"/>
    <w:rsid w:val="00C72B38"/>
    <w:rsid w:val="00C73DE4"/>
    <w:rsid w:val="00C740C1"/>
    <w:rsid w:val="00C74162"/>
    <w:rsid w:val="00C74765"/>
    <w:rsid w:val="00C74A35"/>
    <w:rsid w:val="00C75285"/>
    <w:rsid w:val="00C76419"/>
    <w:rsid w:val="00C804B5"/>
    <w:rsid w:val="00C82138"/>
    <w:rsid w:val="00C8238C"/>
    <w:rsid w:val="00C82BFB"/>
    <w:rsid w:val="00C83AB1"/>
    <w:rsid w:val="00C83B22"/>
    <w:rsid w:val="00C840E2"/>
    <w:rsid w:val="00C84BAA"/>
    <w:rsid w:val="00C87953"/>
    <w:rsid w:val="00C92028"/>
    <w:rsid w:val="00C9232D"/>
    <w:rsid w:val="00C939F7"/>
    <w:rsid w:val="00C93F8C"/>
    <w:rsid w:val="00C963D6"/>
    <w:rsid w:val="00C9734D"/>
    <w:rsid w:val="00C97491"/>
    <w:rsid w:val="00C97C1A"/>
    <w:rsid w:val="00CA08B2"/>
    <w:rsid w:val="00CA2410"/>
    <w:rsid w:val="00CA2A35"/>
    <w:rsid w:val="00CA48FB"/>
    <w:rsid w:val="00CA6411"/>
    <w:rsid w:val="00CB02ED"/>
    <w:rsid w:val="00CB2D7C"/>
    <w:rsid w:val="00CB3E30"/>
    <w:rsid w:val="00CB3F9F"/>
    <w:rsid w:val="00CB67C3"/>
    <w:rsid w:val="00CB693D"/>
    <w:rsid w:val="00CB6DE6"/>
    <w:rsid w:val="00CB6FE6"/>
    <w:rsid w:val="00CB6FFE"/>
    <w:rsid w:val="00CB7976"/>
    <w:rsid w:val="00CC03A9"/>
    <w:rsid w:val="00CC14DD"/>
    <w:rsid w:val="00CC5763"/>
    <w:rsid w:val="00CC5E2A"/>
    <w:rsid w:val="00CC6DC1"/>
    <w:rsid w:val="00CD0671"/>
    <w:rsid w:val="00CD1B98"/>
    <w:rsid w:val="00CD255C"/>
    <w:rsid w:val="00CD324F"/>
    <w:rsid w:val="00CD4CEF"/>
    <w:rsid w:val="00CD54EF"/>
    <w:rsid w:val="00CD6A78"/>
    <w:rsid w:val="00CD6D58"/>
    <w:rsid w:val="00CD762C"/>
    <w:rsid w:val="00CE0336"/>
    <w:rsid w:val="00CE034A"/>
    <w:rsid w:val="00CE1478"/>
    <w:rsid w:val="00CE15E1"/>
    <w:rsid w:val="00CE18DF"/>
    <w:rsid w:val="00CE2B79"/>
    <w:rsid w:val="00CE3125"/>
    <w:rsid w:val="00CE3831"/>
    <w:rsid w:val="00CE4DF1"/>
    <w:rsid w:val="00CE52C1"/>
    <w:rsid w:val="00CE68E5"/>
    <w:rsid w:val="00CE7211"/>
    <w:rsid w:val="00CE7240"/>
    <w:rsid w:val="00CF01EA"/>
    <w:rsid w:val="00CF1FCA"/>
    <w:rsid w:val="00CF22A1"/>
    <w:rsid w:val="00CF241A"/>
    <w:rsid w:val="00CF243A"/>
    <w:rsid w:val="00CF3351"/>
    <w:rsid w:val="00CF3364"/>
    <w:rsid w:val="00CF338F"/>
    <w:rsid w:val="00CF3459"/>
    <w:rsid w:val="00CF3810"/>
    <w:rsid w:val="00CF45D7"/>
    <w:rsid w:val="00CF4831"/>
    <w:rsid w:val="00CF49DA"/>
    <w:rsid w:val="00CF5206"/>
    <w:rsid w:val="00CF5294"/>
    <w:rsid w:val="00CF6C9B"/>
    <w:rsid w:val="00CF715A"/>
    <w:rsid w:val="00D005DC"/>
    <w:rsid w:val="00D01CAC"/>
    <w:rsid w:val="00D02CC9"/>
    <w:rsid w:val="00D0331C"/>
    <w:rsid w:val="00D03676"/>
    <w:rsid w:val="00D039B3"/>
    <w:rsid w:val="00D03B10"/>
    <w:rsid w:val="00D03D51"/>
    <w:rsid w:val="00D0524F"/>
    <w:rsid w:val="00D05CFA"/>
    <w:rsid w:val="00D063AF"/>
    <w:rsid w:val="00D0799A"/>
    <w:rsid w:val="00D110A5"/>
    <w:rsid w:val="00D11E60"/>
    <w:rsid w:val="00D13381"/>
    <w:rsid w:val="00D1476A"/>
    <w:rsid w:val="00D1476C"/>
    <w:rsid w:val="00D14995"/>
    <w:rsid w:val="00D151BF"/>
    <w:rsid w:val="00D155EB"/>
    <w:rsid w:val="00D16459"/>
    <w:rsid w:val="00D1670E"/>
    <w:rsid w:val="00D16A9E"/>
    <w:rsid w:val="00D1750C"/>
    <w:rsid w:val="00D202CD"/>
    <w:rsid w:val="00D20DF5"/>
    <w:rsid w:val="00D21166"/>
    <w:rsid w:val="00D219DD"/>
    <w:rsid w:val="00D220F3"/>
    <w:rsid w:val="00D22CDF"/>
    <w:rsid w:val="00D2316E"/>
    <w:rsid w:val="00D23C23"/>
    <w:rsid w:val="00D247CC"/>
    <w:rsid w:val="00D24A84"/>
    <w:rsid w:val="00D24D90"/>
    <w:rsid w:val="00D25152"/>
    <w:rsid w:val="00D25248"/>
    <w:rsid w:val="00D26812"/>
    <w:rsid w:val="00D26A55"/>
    <w:rsid w:val="00D26C0B"/>
    <w:rsid w:val="00D30672"/>
    <w:rsid w:val="00D31F22"/>
    <w:rsid w:val="00D3248F"/>
    <w:rsid w:val="00D32706"/>
    <w:rsid w:val="00D34854"/>
    <w:rsid w:val="00D3554B"/>
    <w:rsid w:val="00D3583A"/>
    <w:rsid w:val="00D36858"/>
    <w:rsid w:val="00D3689A"/>
    <w:rsid w:val="00D36A0C"/>
    <w:rsid w:val="00D40530"/>
    <w:rsid w:val="00D40BDA"/>
    <w:rsid w:val="00D40E92"/>
    <w:rsid w:val="00D41CCA"/>
    <w:rsid w:val="00D4202C"/>
    <w:rsid w:val="00D42766"/>
    <w:rsid w:val="00D45314"/>
    <w:rsid w:val="00D454AB"/>
    <w:rsid w:val="00D45AA0"/>
    <w:rsid w:val="00D45B85"/>
    <w:rsid w:val="00D45DD5"/>
    <w:rsid w:val="00D47408"/>
    <w:rsid w:val="00D50223"/>
    <w:rsid w:val="00D50984"/>
    <w:rsid w:val="00D523CE"/>
    <w:rsid w:val="00D52561"/>
    <w:rsid w:val="00D54A98"/>
    <w:rsid w:val="00D54D11"/>
    <w:rsid w:val="00D55E88"/>
    <w:rsid w:val="00D562FF"/>
    <w:rsid w:val="00D563BB"/>
    <w:rsid w:val="00D566E3"/>
    <w:rsid w:val="00D5753C"/>
    <w:rsid w:val="00D60EA0"/>
    <w:rsid w:val="00D62569"/>
    <w:rsid w:val="00D62973"/>
    <w:rsid w:val="00D64796"/>
    <w:rsid w:val="00D649B1"/>
    <w:rsid w:val="00D6691C"/>
    <w:rsid w:val="00D6787E"/>
    <w:rsid w:val="00D70837"/>
    <w:rsid w:val="00D71DAB"/>
    <w:rsid w:val="00D73042"/>
    <w:rsid w:val="00D737CE"/>
    <w:rsid w:val="00D744C3"/>
    <w:rsid w:val="00D74BED"/>
    <w:rsid w:val="00D755D1"/>
    <w:rsid w:val="00D767E7"/>
    <w:rsid w:val="00D77B8D"/>
    <w:rsid w:val="00D80E42"/>
    <w:rsid w:val="00D83957"/>
    <w:rsid w:val="00D83E4F"/>
    <w:rsid w:val="00D84423"/>
    <w:rsid w:val="00D850EC"/>
    <w:rsid w:val="00D8572B"/>
    <w:rsid w:val="00D86999"/>
    <w:rsid w:val="00D872AC"/>
    <w:rsid w:val="00D878E4"/>
    <w:rsid w:val="00D87993"/>
    <w:rsid w:val="00D90094"/>
    <w:rsid w:val="00D90640"/>
    <w:rsid w:val="00D90BDA"/>
    <w:rsid w:val="00D90C2F"/>
    <w:rsid w:val="00D91DB3"/>
    <w:rsid w:val="00D92670"/>
    <w:rsid w:val="00D9457C"/>
    <w:rsid w:val="00D94782"/>
    <w:rsid w:val="00D94BE9"/>
    <w:rsid w:val="00D9511B"/>
    <w:rsid w:val="00D97080"/>
    <w:rsid w:val="00DA0554"/>
    <w:rsid w:val="00DA1370"/>
    <w:rsid w:val="00DA30E1"/>
    <w:rsid w:val="00DA3D4C"/>
    <w:rsid w:val="00DA3D56"/>
    <w:rsid w:val="00DA3D8E"/>
    <w:rsid w:val="00DA51D6"/>
    <w:rsid w:val="00DA5667"/>
    <w:rsid w:val="00DA5B27"/>
    <w:rsid w:val="00DA66CD"/>
    <w:rsid w:val="00DB1F6D"/>
    <w:rsid w:val="00DB1F84"/>
    <w:rsid w:val="00DB3102"/>
    <w:rsid w:val="00DB4294"/>
    <w:rsid w:val="00DB4F9F"/>
    <w:rsid w:val="00DB75F7"/>
    <w:rsid w:val="00DB791A"/>
    <w:rsid w:val="00DC057C"/>
    <w:rsid w:val="00DC066B"/>
    <w:rsid w:val="00DC0EBD"/>
    <w:rsid w:val="00DC1458"/>
    <w:rsid w:val="00DC31A2"/>
    <w:rsid w:val="00DC3823"/>
    <w:rsid w:val="00DC38B9"/>
    <w:rsid w:val="00DC3D15"/>
    <w:rsid w:val="00DC56CB"/>
    <w:rsid w:val="00DC62E2"/>
    <w:rsid w:val="00DC756F"/>
    <w:rsid w:val="00DD1240"/>
    <w:rsid w:val="00DD221F"/>
    <w:rsid w:val="00DD26A1"/>
    <w:rsid w:val="00DD275C"/>
    <w:rsid w:val="00DD3012"/>
    <w:rsid w:val="00DD3374"/>
    <w:rsid w:val="00DD3454"/>
    <w:rsid w:val="00DD38D9"/>
    <w:rsid w:val="00DD3F64"/>
    <w:rsid w:val="00DD449D"/>
    <w:rsid w:val="00DD5B50"/>
    <w:rsid w:val="00DD607E"/>
    <w:rsid w:val="00DD6354"/>
    <w:rsid w:val="00DD63E9"/>
    <w:rsid w:val="00DD66BD"/>
    <w:rsid w:val="00DD6EA0"/>
    <w:rsid w:val="00DE06EE"/>
    <w:rsid w:val="00DE23D0"/>
    <w:rsid w:val="00DE330B"/>
    <w:rsid w:val="00DE4565"/>
    <w:rsid w:val="00DE4963"/>
    <w:rsid w:val="00DE513C"/>
    <w:rsid w:val="00DE55D5"/>
    <w:rsid w:val="00DE5EE2"/>
    <w:rsid w:val="00DF044E"/>
    <w:rsid w:val="00DF1008"/>
    <w:rsid w:val="00DF300C"/>
    <w:rsid w:val="00DF3013"/>
    <w:rsid w:val="00DF51E3"/>
    <w:rsid w:val="00DF56DF"/>
    <w:rsid w:val="00DF5AA2"/>
    <w:rsid w:val="00DF5FB6"/>
    <w:rsid w:val="00DF5FC7"/>
    <w:rsid w:val="00DF7F3F"/>
    <w:rsid w:val="00E00896"/>
    <w:rsid w:val="00E028D0"/>
    <w:rsid w:val="00E02966"/>
    <w:rsid w:val="00E04317"/>
    <w:rsid w:val="00E043A7"/>
    <w:rsid w:val="00E058F4"/>
    <w:rsid w:val="00E05F4A"/>
    <w:rsid w:val="00E06894"/>
    <w:rsid w:val="00E14FFC"/>
    <w:rsid w:val="00E150B8"/>
    <w:rsid w:val="00E1565C"/>
    <w:rsid w:val="00E15B52"/>
    <w:rsid w:val="00E15B87"/>
    <w:rsid w:val="00E16BA0"/>
    <w:rsid w:val="00E204D3"/>
    <w:rsid w:val="00E23E7C"/>
    <w:rsid w:val="00E24F76"/>
    <w:rsid w:val="00E25138"/>
    <w:rsid w:val="00E25891"/>
    <w:rsid w:val="00E305CC"/>
    <w:rsid w:val="00E31120"/>
    <w:rsid w:val="00E31624"/>
    <w:rsid w:val="00E32593"/>
    <w:rsid w:val="00E346CD"/>
    <w:rsid w:val="00E34A0D"/>
    <w:rsid w:val="00E34A1B"/>
    <w:rsid w:val="00E356B6"/>
    <w:rsid w:val="00E36856"/>
    <w:rsid w:val="00E37576"/>
    <w:rsid w:val="00E37B9C"/>
    <w:rsid w:val="00E401D4"/>
    <w:rsid w:val="00E40372"/>
    <w:rsid w:val="00E417A0"/>
    <w:rsid w:val="00E41E8B"/>
    <w:rsid w:val="00E422EA"/>
    <w:rsid w:val="00E43526"/>
    <w:rsid w:val="00E43E82"/>
    <w:rsid w:val="00E43EDA"/>
    <w:rsid w:val="00E44A99"/>
    <w:rsid w:val="00E44ACB"/>
    <w:rsid w:val="00E45A1E"/>
    <w:rsid w:val="00E45C22"/>
    <w:rsid w:val="00E45D90"/>
    <w:rsid w:val="00E46208"/>
    <w:rsid w:val="00E469B4"/>
    <w:rsid w:val="00E47483"/>
    <w:rsid w:val="00E515B4"/>
    <w:rsid w:val="00E5179D"/>
    <w:rsid w:val="00E52E78"/>
    <w:rsid w:val="00E53988"/>
    <w:rsid w:val="00E5518B"/>
    <w:rsid w:val="00E55579"/>
    <w:rsid w:val="00E556B6"/>
    <w:rsid w:val="00E559F3"/>
    <w:rsid w:val="00E55A88"/>
    <w:rsid w:val="00E55EE4"/>
    <w:rsid w:val="00E56067"/>
    <w:rsid w:val="00E57361"/>
    <w:rsid w:val="00E57766"/>
    <w:rsid w:val="00E6028F"/>
    <w:rsid w:val="00E61A35"/>
    <w:rsid w:val="00E62845"/>
    <w:rsid w:val="00E633EE"/>
    <w:rsid w:val="00E634AB"/>
    <w:rsid w:val="00E63DBA"/>
    <w:rsid w:val="00E6406A"/>
    <w:rsid w:val="00E648A7"/>
    <w:rsid w:val="00E64F87"/>
    <w:rsid w:val="00E65655"/>
    <w:rsid w:val="00E656C7"/>
    <w:rsid w:val="00E66AF7"/>
    <w:rsid w:val="00E7075F"/>
    <w:rsid w:val="00E70B56"/>
    <w:rsid w:val="00E714EA"/>
    <w:rsid w:val="00E720E1"/>
    <w:rsid w:val="00E725EE"/>
    <w:rsid w:val="00E76286"/>
    <w:rsid w:val="00E76F65"/>
    <w:rsid w:val="00E77190"/>
    <w:rsid w:val="00E77963"/>
    <w:rsid w:val="00E825FE"/>
    <w:rsid w:val="00E831E2"/>
    <w:rsid w:val="00E832CD"/>
    <w:rsid w:val="00E841A4"/>
    <w:rsid w:val="00E84B6A"/>
    <w:rsid w:val="00E85FE3"/>
    <w:rsid w:val="00E864E6"/>
    <w:rsid w:val="00E869C6"/>
    <w:rsid w:val="00E87896"/>
    <w:rsid w:val="00E912E1"/>
    <w:rsid w:val="00E92418"/>
    <w:rsid w:val="00E929B7"/>
    <w:rsid w:val="00E92BE0"/>
    <w:rsid w:val="00E92DD9"/>
    <w:rsid w:val="00E937C8"/>
    <w:rsid w:val="00E93B09"/>
    <w:rsid w:val="00E946C6"/>
    <w:rsid w:val="00E948AA"/>
    <w:rsid w:val="00E95BD1"/>
    <w:rsid w:val="00E95E71"/>
    <w:rsid w:val="00E9649B"/>
    <w:rsid w:val="00E970E2"/>
    <w:rsid w:val="00EA00FA"/>
    <w:rsid w:val="00EA01D2"/>
    <w:rsid w:val="00EA2234"/>
    <w:rsid w:val="00EA2296"/>
    <w:rsid w:val="00EA341C"/>
    <w:rsid w:val="00EA3420"/>
    <w:rsid w:val="00EA3EE8"/>
    <w:rsid w:val="00EA4B40"/>
    <w:rsid w:val="00EA62CD"/>
    <w:rsid w:val="00EA6A4E"/>
    <w:rsid w:val="00EA7657"/>
    <w:rsid w:val="00EA7730"/>
    <w:rsid w:val="00EA7D4E"/>
    <w:rsid w:val="00EB009E"/>
    <w:rsid w:val="00EB0B87"/>
    <w:rsid w:val="00EB1126"/>
    <w:rsid w:val="00EB1BC2"/>
    <w:rsid w:val="00EB1E1A"/>
    <w:rsid w:val="00EB200E"/>
    <w:rsid w:val="00EB2763"/>
    <w:rsid w:val="00EB283D"/>
    <w:rsid w:val="00EB2E3C"/>
    <w:rsid w:val="00EB360D"/>
    <w:rsid w:val="00EB5A86"/>
    <w:rsid w:val="00EB66CA"/>
    <w:rsid w:val="00EB7A71"/>
    <w:rsid w:val="00EB7C55"/>
    <w:rsid w:val="00EC07E2"/>
    <w:rsid w:val="00EC2687"/>
    <w:rsid w:val="00EC2689"/>
    <w:rsid w:val="00EC2C42"/>
    <w:rsid w:val="00EC3ABE"/>
    <w:rsid w:val="00EC5B18"/>
    <w:rsid w:val="00EC5D48"/>
    <w:rsid w:val="00EC7256"/>
    <w:rsid w:val="00EC74CE"/>
    <w:rsid w:val="00ED0C90"/>
    <w:rsid w:val="00ED3635"/>
    <w:rsid w:val="00ED3AE7"/>
    <w:rsid w:val="00ED3B43"/>
    <w:rsid w:val="00ED4127"/>
    <w:rsid w:val="00ED42B2"/>
    <w:rsid w:val="00ED50C9"/>
    <w:rsid w:val="00ED7225"/>
    <w:rsid w:val="00EE07C6"/>
    <w:rsid w:val="00EE289F"/>
    <w:rsid w:val="00EE4E1D"/>
    <w:rsid w:val="00EE7769"/>
    <w:rsid w:val="00EF0352"/>
    <w:rsid w:val="00EF1E04"/>
    <w:rsid w:val="00EF2B64"/>
    <w:rsid w:val="00EF461C"/>
    <w:rsid w:val="00EF4923"/>
    <w:rsid w:val="00EF4935"/>
    <w:rsid w:val="00EF4B62"/>
    <w:rsid w:val="00EF7037"/>
    <w:rsid w:val="00EF73BC"/>
    <w:rsid w:val="00EF7662"/>
    <w:rsid w:val="00EF7686"/>
    <w:rsid w:val="00EF7E25"/>
    <w:rsid w:val="00F00020"/>
    <w:rsid w:val="00F012AC"/>
    <w:rsid w:val="00F01580"/>
    <w:rsid w:val="00F01F8C"/>
    <w:rsid w:val="00F02D76"/>
    <w:rsid w:val="00F03E04"/>
    <w:rsid w:val="00F0401B"/>
    <w:rsid w:val="00F0426E"/>
    <w:rsid w:val="00F04AFE"/>
    <w:rsid w:val="00F04DE4"/>
    <w:rsid w:val="00F0516E"/>
    <w:rsid w:val="00F05AB0"/>
    <w:rsid w:val="00F07783"/>
    <w:rsid w:val="00F07DDC"/>
    <w:rsid w:val="00F10554"/>
    <w:rsid w:val="00F13693"/>
    <w:rsid w:val="00F13E88"/>
    <w:rsid w:val="00F144C2"/>
    <w:rsid w:val="00F14E81"/>
    <w:rsid w:val="00F14E90"/>
    <w:rsid w:val="00F15AA3"/>
    <w:rsid w:val="00F15CF4"/>
    <w:rsid w:val="00F178F7"/>
    <w:rsid w:val="00F17F46"/>
    <w:rsid w:val="00F20972"/>
    <w:rsid w:val="00F21AC0"/>
    <w:rsid w:val="00F21C4A"/>
    <w:rsid w:val="00F22C30"/>
    <w:rsid w:val="00F24C02"/>
    <w:rsid w:val="00F25E83"/>
    <w:rsid w:val="00F260ED"/>
    <w:rsid w:val="00F2771C"/>
    <w:rsid w:val="00F2778C"/>
    <w:rsid w:val="00F30A39"/>
    <w:rsid w:val="00F30C16"/>
    <w:rsid w:val="00F31145"/>
    <w:rsid w:val="00F322BD"/>
    <w:rsid w:val="00F33E97"/>
    <w:rsid w:val="00F3430B"/>
    <w:rsid w:val="00F34F39"/>
    <w:rsid w:val="00F36DBA"/>
    <w:rsid w:val="00F36DD4"/>
    <w:rsid w:val="00F37107"/>
    <w:rsid w:val="00F3768B"/>
    <w:rsid w:val="00F40193"/>
    <w:rsid w:val="00F40455"/>
    <w:rsid w:val="00F409AE"/>
    <w:rsid w:val="00F40C52"/>
    <w:rsid w:val="00F40CE6"/>
    <w:rsid w:val="00F411BF"/>
    <w:rsid w:val="00F413AB"/>
    <w:rsid w:val="00F41890"/>
    <w:rsid w:val="00F41E5D"/>
    <w:rsid w:val="00F43159"/>
    <w:rsid w:val="00F43AB3"/>
    <w:rsid w:val="00F4490E"/>
    <w:rsid w:val="00F44F61"/>
    <w:rsid w:val="00F45738"/>
    <w:rsid w:val="00F458CD"/>
    <w:rsid w:val="00F47270"/>
    <w:rsid w:val="00F47FCD"/>
    <w:rsid w:val="00F500CB"/>
    <w:rsid w:val="00F50665"/>
    <w:rsid w:val="00F510FF"/>
    <w:rsid w:val="00F51BC5"/>
    <w:rsid w:val="00F52BD7"/>
    <w:rsid w:val="00F52E46"/>
    <w:rsid w:val="00F55DB8"/>
    <w:rsid w:val="00F600B9"/>
    <w:rsid w:val="00F60730"/>
    <w:rsid w:val="00F6097D"/>
    <w:rsid w:val="00F60B7D"/>
    <w:rsid w:val="00F61C12"/>
    <w:rsid w:val="00F62725"/>
    <w:rsid w:val="00F62983"/>
    <w:rsid w:val="00F6308C"/>
    <w:rsid w:val="00F65289"/>
    <w:rsid w:val="00F657D2"/>
    <w:rsid w:val="00F65EF4"/>
    <w:rsid w:val="00F66278"/>
    <w:rsid w:val="00F66888"/>
    <w:rsid w:val="00F66899"/>
    <w:rsid w:val="00F67DD0"/>
    <w:rsid w:val="00F70416"/>
    <w:rsid w:val="00F71783"/>
    <w:rsid w:val="00F7274C"/>
    <w:rsid w:val="00F7372B"/>
    <w:rsid w:val="00F73AEA"/>
    <w:rsid w:val="00F7661A"/>
    <w:rsid w:val="00F766F7"/>
    <w:rsid w:val="00F76AFF"/>
    <w:rsid w:val="00F777BD"/>
    <w:rsid w:val="00F77E35"/>
    <w:rsid w:val="00F8107E"/>
    <w:rsid w:val="00F835C3"/>
    <w:rsid w:val="00F8387B"/>
    <w:rsid w:val="00F84806"/>
    <w:rsid w:val="00F85490"/>
    <w:rsid w:val="00F85599"/>
    <w:rsid w:val="00F87063"/>
    <w:rsid w:val="00F87AF5"/>
    <w:rsid w:val="00F87C7F"/>
    <w:rsid w:val="00F919B9"/>
    <w:rsid w:val="00F91C31"/>
    <w:rsid w:val="00F92CEB"/>
    <w:rsid w:val="00F9456F"/>
    <w:rsid w:val="00F95061"/>
    <w:rsid w:val="00F95133"/>
    <w:rsid w:val="00F95EA6"/>
    <w:rsid w:val="00F97E40"/>
    <w:rsid w:val="00FA0226"/>
    <w:rsid w:val="00FA035A"/>
    <w:rsid w:val="00FA256D"/>
    <w:rsid w:val="00FA2644"/>
    <w:rsid w:val="00FA31D6"/>
    <w:rsid w:val="00FA4A54"/>
    <w:rsid w:val="00FA5087"/>
    <w:rsid w:val="00FA5B08"/>
    <w:rsid w:val="00FA5EEE"/>
    <w:rsid w:val="00FA646A"/>
    <w:rsid w:val="00FA6677"/>
    <w:rsid w:val="00FA6743"/>
    <w:rsid w:val="00FA7395"/>
    <w:rsid w:val="00FB1443"/>
    <w:rsid w:val="00FB2AA6"/>
    <w:rsid w:val="00FB371C"/>
    <w:rsid w:val="00FB438F"/>
    <w:rsid w:val="00FB506D"/>
    <w:rsid w:val="00FB728C"/>
    <w:rsid w:val="00FB7C16"/>
    <w:rsid w:val="00FB7ED5"/>
    <w:rsid w:val="00FC02B6"/>
    <w:rsid w:val="00FC1450"/>
    <w:rsid w:val="00FC1646"/>
    <w:rsid w:val="00FC3F3C"/>
    <w:rsid w:val="00FC466C"/>
    <w:rsid w:val="00FC481A"/>
    <w:rsid w:val="00FC4DD5"/>
    <w:rsid w:val="00FC5A53"/>
    <w:rsid w:val="00FC5B59"/>
    <w:rsid w:val="00FC5D0D"/>
    <w:rsid w:val="00FC7583"/>
    <w:rsid w:val="00FC7F8E"/>
    <w:rsid w:val="00FD204E"/>
    <w:rsid w:val="00FD2225"/>
    <w:rsid w:val="00FD361B"/>
    <w:rsid w:val="00FD4BE3"/>
    <w:rsid w:val="00FD666A"/>
    <w:rsid w:val="00FD6E49"/>
    <w:rsid w:val="00FD7A6E"/>
    <w:rsid w:val="00FE1573"/>
    <w:rsid w:val="00FE1763"/>
    <w:rsid w:val="00FE247A"/>
    <w:rsid w:val="00FE43B2"/>
    <w:rsid w:val="00FE7766"/>
    <w:rsid w:val="00FF1C50"/>
    <w:rsid w:val="00FF1E1A"/>
    <w:rsid w:val="00FF1FCC"/>
    <w:rsid w:val="00FF2460"/>
    <w:rsid w:val="00FF2BA6"/>
    <w:rsid w:val="00FF2E9D"/>
    <w:rsid w:val="00FF3367"/>
    <w:rsid w:val="00FF5CA4"/>
    <w:rsid w:val="00FF5ED6"/>
    <w:rsid w:val="00FF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B0"/>
    <w:rPr>
      <w:rFonts w:ascii="Arial" w:hAnsi="Arial"/>
      <w:szCs w:val="24"/>
      <w:lang w:val="en-GB"/>
    </w:rPr>
  </w:style>
  <w:style w:type="paragraph" w:styleId="Heading1">
    <w:name w:val="heading 1"/>
    <w:aliases w:val="Niveau 1"/>
    <w:basedOn w:val="Normal"/>
    <w:next w:val="Normal"/>
    <w:qFormat/>
    <w:rsid w:val="00883BB0"/>
    <w:pPr>
      <w:keepNext/>
      <w:jc w:val="center"/>
      <w:outlineLvl w:val="0"/>
    </w:pPr>
    <w:rPr>
      <w:i/>
      <w:iCs/>
    </w:rPr>
  </w:style>
  <w:style w:type="paragraph" w:styleId="Heading2">
    <w:name w:val="heading 2"/>
    <w:aliases w:val="Niveau 1 1,2,Body3,Text3"/>
    <w:basedOn w:val="Normal"/>
    <w:next w:val="Normal"/>
    <w:link w:val="Heading2Char"/>
    <w:qFormat/>
    <w:rsid w:val="00883BB0"/>
    <w:pPr>
      <w:keepNext/>
      <w:jc w:val="both"/>
      <w:outlineLvl w:val="1"/>
    </w:pPr>
    <w:rPr>
      <w:rFonts w:ascii="Univers" w:hAnsi="Univers"/>
      <w:b/>
      <w:szCs w:val="20"/>
    </w:rPr>
  </w:style>
  <w:style w:type="paragraph" w:styleId="Heading3">
    <w:name w:val="heading 3"/>
    <w:aliases w:val="Niveau 1 1 1"/>
    <w:basedOn w:val="Normal"/>
    <w:next w:val="Normal"/>
    <w:link w:val="Heading3Char"/>
    <w:qFormat/>
    <w:rsid w:val="00883BB0"/>
    <w:pPr>
      <w:keepNext/>
      <w:jc w:val="center"/>
      <w:outlineLvl w:val="2"/>
    </w:pPr>
    <w:rPr>
      <w:rFonts w:ascii="Univers" w:hAnsi="Univers"/>
      <w:b/>
      <w:szCs w:val="20"/>
    </w:rPr>
  </w:style>
  <w:style w:type="paragraph" w:styleId="Heading4">
    <w:name w:val="heading 4"/>
    <w:basedOn w:val="Normal"/>
    <w:next w:val="Normal"/>
    <w:qFormat/>
    <w:rsid w:val="00883BB0"/>
    <w:pPr>
      <w:keepNext/>
      <w:widowControl w:val="0"/>
      <w:autoSpaceDE w:val="0"/>
      <w:autoSpaceDN w:val="0"/>
      <w:adjustRightInd w:val="0"/>
      <w:jc w:val="center"/>
      <w:outlineLvl w:val="3"/>
    </w:pPr>
    <w:rPr>
      <w:rFonts w:ascii="Times-Bold" w:hAnsi="Times-Bold"/>
      <w:b/>
      <w:bCs/>
      <w:sz w:val="24"/>
      <w:lang w:val="en-US"/>
    </w:rPr>
  </w:style>
  <w:style w:type="paragraph" w:styleId="Heading5">
    <w:name w:val="heading 5"/>
    <w:basedOn w:val="Normal"/>
    <w:next w:val="Normal"/>
    <w:link w:val="Heading5Char"/>
    <w:qFormat/>
    <w:rsid w:val="00883BB0"/>
    <w:pPr>
      <w:keepNext/>
      <w:jc w:val="center"/>
      <w:outlineLvl w:val="4"/>
    </w:pPr>
    <w:rPr>
      <w:rFonts w:ascii="Univers (W1)" w:hAnsi="Univers (W1)"/>
      <w:b/>
      <w:caps/>
      <w:szCs w:val="20"/>
    </w:rPr>
  </w:style>
  <w:style w:type="paragraph" w:styleId="Heading6">
    <w:name w:val="heading 6"/>
    <w:basedOn w:val="Normal"/>
    <w:qFormat/>
    <w:rsid w:val="00883BB0"/>
    <w:pPr>
      <w:tabs>
        <w:tab w:val="left" w:pos="3168"/>
      </w:tabs>
      <w:spacing w:after="140" w:line="290" w:lineRule="auto"/>
      <w:jc w:val="both"/>
      <w:outlineLvl w:val="5"/>
    </w:pPr>
    <w:rPr>
      <w:szCs w:val="20"/>
    </w:rPr>
  </w:style>
  <w:style w:type="paragraph" w:styleId="Heading7">
    <w:name w:val="heading 7"/>
    <w:basedOn w:val="Normal"/>
    <w:qFormat/>
    <w:rsid w:val="00883BB0"/>
    <w:pPr>
      <w:spacing w:after="140" w:line="290" w:lineRule="auto"/>
      <w:jc w:val="both"/>
      <w:outlineLvl w:val="6"/>
    </w:pPr>
    <w:rPr>
      <w:szCs w:val="20"/>
    </w:rPr>
  </w:style>
  <w:style w:type="paragraph" w:styleId="Heading8">
    <w:name w:val="heading 8"/>
    <w:basedOn w:val="Normal"/>
    <w:qFormat/>
    <w:rsid w:val="00883BB0"/>
    <w:pPr>
      <w:spacing w:after="140" w:line="290" w:lineRule="auto"/>
      <w:jc w:val="both"/>
      <w:outlineLvl w:val="7"/>
    </w:pPr>
    <w:rPr>
      <w:szCs w:val="20"/>
    </w:rPr>
  </w:style>
  <w:style w:type="paragraph" w:styleId="Heading9">
    <w:name w:val="heading 9"/>
    <w:aliases w:val="AppendixBodyHead"/>
    <w:basedOn w:val="Normal"/>
    <w:qFormat/>
    <w:rsid w:val="00883BB0"/>
    <w:pPr>
      <w:spacing w:after="140" w:line="290" w:lineRule="auto"/>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next w:val="Normal"/>
    <w:rsid w:val="00883BB0"/>
    <w:pPr>
      <w:keepNext/>
      <w:numPr>
        <w:numId w:val="2"/>
      </w:numPr>
      <w:spacing w:before="280" w:after="140" w:line="290" w:lineRule="auto"/>
      <w:jc w:val="both"/>
      <w:outlineLvl w:val="0"/>
    </w:pPr>
    <w:rPr>
      <w:rFonts w:cs="Arial"/>
      <w:b/>
      <w:bCs/>
      <w:kern w:val="20"/>
      <w:sz w:val="22"/>
      <w:szCs w:val="22"/>
      <w:lang w:val="fr-FR"/>
    </w:rPr>
  </w:style>
  <w:style w:type="paragraph" w:customStyle="1" w:styleId="Level20">
    <w:name w:val="Level 2"/>
    <w:basedOn w:val="Normal"/>
    <w:rsid w:val="00883BB0"/>
    <w:pPr>
      <w:numPr>
        <w:ilvl w:val="1"/>
        <w:numId w:val="2"/>
      </w:numPr>
      <w:spacing w:after="140" w:line="290" w:lineRule="auto"/>
      <w:jc w:val="both"/>
      <w:outlineLvl w:val="1"/>
    </w:pPr>
    <w:rPr>
      <w:rFonts w:cs="Arial"/>
      <w:kern w:val="20"/>
      <w:szCs w:val="20"/>
      <w:lang w:val="fr-FR"/>
    </w:rPr>
  </w:style>
  <w:style w:type="paragraph" w:customStyle="1" w:styleId="Level30">
    <w:name w:val="Level 3"/>
    <w:basedOn w:val="Normal"/>
    <w:autoRedefine/>
    <w:rsid w:val="00883BB0"/>
    <w:pPr>
      <w:keepNext/>
      <w:numPr>
        <w:ilvl w:val="2"/>
        <w:numId w:val="2"/>
      </w:numPr>
      <w:tabs>
        <w:tab w:val="left" w:pos="5040"/>
      </w:tabs>
      <w:spacing w:after="140" w:line="290" w:lineRule="auto"/>
      <w:jc w:val="both"/>
      <w:outlineLvl w:val="2"/>
    </w:pPr>
    <w:rPr>
      <w:rFonts w:ascii="Garamond" w:hAnsi="Garamond" w:cs="Arial"/>
      <w:b/>
      <w:bCs/>
      <w:i/>
      <w:iCs/>
      <w:kern w:val="20"/>
      <w:sz w:val="23"/>
      <w:szCs w:val="23"/>
      <w:lang w:val="fr-FR"/>
    </w:rPr>
  </w:style>
  <w:style w:type="paragraph" w:customStyle="1" w:styleId="Level40">
    <w:name w:val="Level 4"/>
    <w:basedOn w:val="Normal"/>
    <w:rsid w:val="00883BB0"/>
    <w:pPr>
      <w:numPr>
        <w:ilvl w:val="3"/>
        <w:numId w:val="2"/>
      </w:numPr>
      <w:spacing w:after="140" w:line="290" w:lineRule="auto"/>
      <w:jc w:val="both"/>
      <w:outlineLvl w:val="3"/>
    </w:pPr>
    <w:rPr>
      <w:rFonts w:cs="Arial"/>
      <w:kern w:val="20"/>
      <w:szCs w:val="20"/>
      <w:lang w:val="fr-FR"/>
    </w:rPr>
  </w:style>
  <w:style w:type="paragraph" w:customStyle="1" w:styleId="Level50">
    <w:name w:val="Level 5"/>
    <w:basedOn w:val="Normal"/>
    <w:rsid w:val="00883BB0"/>
    <w:pPr>
      <w:numPr>
        <w:ilvl w:val="4"/>
        <w:numId w:val="2"/>
      </w:numPr>
      <w:spacing w:after="140" w:line="290" w:lineRule="auto"/>
      <w:jc w:val="both"/>
      <w:outlineLvl w:val="4"/>
    </w:pPr>
    <w:rPr>
      <w:rFonts w:cs="Arial"/>
      <w:kern w:val="20"/>
      <w:szCs w:val="20"/>
      <w:lang w:val="fr-FR"/>
    </w:rPr>
  </w:style>
  <w:style w:type="paragraph" w:customStyle="1" w:styleId="Level60">
    <w:name w:val="Level 6"/>
    <w:basedOn w:val="Normal"/>
    <w:rsid w:val="00883BB0"/>
    <w:pPr>
      <w:numPr>
        <w:ilvl w:val="5"/>
        <w:numId w:val="2"/>
      </w:numPr>
      <w:spacing w:after="140" w:line="290" w:lineRule="auto"/>
      <w:jc w:val="both"/>
      <w:outlineLvl w:val="5"/>
    </w:pPr>
    <w:rPr>
      <w:rFonts w:cs="Arial"/>
      <w:kern w:val="20"/>
      <w:szCs w:val="20"/>
      <w:lang w:val="fr-FR"/>
    </w:rPr>
  </w:style>
  <w:style w:type="paragraph" w:customStyle="1" w:styleId="Level70">
    <w:name w:val="Level 7"/>
    <w:basedOn w:val="Normal"/>
    <w:rsid w:val="00883BB0"/>
    <w:pPr>
      <w:numPr>
        <w:ilvl w:val="6"/>
        <w:numId w:val="2"/>
      </w:numPr>
      <w:spacing w:after="140" w:line="290" w:lineRule="auto"/>
      <w:jc w:val="both"/>
      <w:outlineLvl w:val="6"/>
    </w:pPr>
    <w:rPr>
      <w:rFonts w:cs="Arial"/>
      <w:kern w:val="20"/>
      <w:szCs w:val="20"/>
      <w:lang w:val="fr-FR"/>
    </w:rPr>
  </w:style>
  <w:style w:type="paragraph" w:customStyle="1" w:styleId="Level80">
    <w:name w:val="Level 8"/>
    <w:basedOn w:val="Normal"/>
    <w:rsid w:val="00883BB0"/>
    <w:pPr>
      <w:numPr>
        <w:ilvl w:val="7"/>
        <w:numId w:val="2"/>
      </w:numPr>
      <w:spacing w:after="140" w:line="290" w:lineRule="auto"/>
      <w:jc w:val="both"/>
      <w:outlineLvl w:val="7"/>
    </w:pPr>
    <w:rPr>
      <w:rFonts w:cs="Arial"/>
      <w:kern w:val="20"/>
      <w:szCs w:val="20"/>
      <w:lang w:val="fr-FR"/>
    </w:rPr>
  </w:style>
  <w:style w:type="paragraph" w:customStyle="1" w:styleId="Level90">
    <w:name w:val="Level 9"/>
    <w:basedOn w:val="Normal"/>
    <w:rsid w:val="00883BB0"/>
    <w:pPr>
      <w:numPr>
        <w:ilvl w:val="8"/>
        <w:numId w:val="2"/>
      </w:numPr>
      <w:spacing w:after="140" w:line="290" w:lineRule="auto"/>
      <w:jc w:val="both"/>
      <w:outlineLvl w:val="8"/>
    </w:pPr>
    <w:rPr>
      <w:rFonts w:cs="Arial"/>
      <w:kern w:val="20"/>
      <w:szCs w:val="20"/>
      <w:lang w:val="fr-FR"/>
    </w:rPr>
  </w:style>
  <w:style w:type="paragraph" w:customStyle="1" w:styleId="AOBullet">
    <w:name w:val="AOBullet"/>
    <w:basedOn w:val="Normal"/>
    <w:rsid w:val="00883BB0"/>
    <w:pPr>
      <w:numPr>
        <w:numId w:val="4"/>
      </w:numPr>
      <w:tabs>
        <w:tab w:val="clear" w:pos="720"/>
      </w:tabs>
      <w:spacing w:before="240" w:line="260" w:lineRule="atLeast"/>
      <w:jc w:val="both"/>
    </w:pPr>
    <w:rPr>
      <w:rFonts w:ascii="Times New Roman" w:hAnsi="Times New Roman"/>
      <w:sz w:val="22"/>
      <w:szCs w:val="20"/>
    </w:rPr>
  </w:style>
  <w:style w:type="paragraph" w:customStyle="1" w:styleId="AODocTxtL2">
    <w:name w:val="AODocTxtL2"/>
    <w:basedOn w:val="AODocTxt"/>
    <w:rsid w:val="00883BB0"/>
    <w:pPr>
      <w:numPr>
        <w:ilvl w:val="2"/>
        <w:numId w:val="5"/>
      </w:numPr>
      <w:tabs>
        <w:tab w:val="num" w:pos="360"/>
      </w:tabs>
      <w:ind w:left="988" w:hanging="283"/>
    </w:pPr>
  </w:style>
  <w:style w:type="paragraph" w:customStyle="1" w:styleId="AODocTxt">
    <w:name w:val="AODocTxt"/>
    <w:basedOn w:val="Normal"/>
    <w:rsid w:val="00883BB0"/>
    <w:pPr>
      <w:numPr>
        <w:numId w:val="3"/>
      </w:numPr>
      <w:spacing w:before="240" w:line="260" w:lineRule="atLeast"/>
      <w:jc w:val="both"/>
    </w:pPr>
    <w:rPr>
      <w:rFonts w:ascii="Times New Roman" w:hAnsi="Times New Roman"/>
      <w:sz w:val="22"/>
      <w:szCs w:val="20"/>
    </w:rPr>
  </w:style>
  <w:style w:type="paragraph" w:customStyle="1" w:styleId="AODocTxtL3">
    <w:name w:val="AODocTxtL3"/>
    <w:basedOn w:val="AODocTxt"/>
    <w:rsid w:val="00883BB0"/>
    <w:pPr>
      <w:numPr>
        <w:ilvl w:val="3"/>
        <w:numId w:val="5"/>
      </w:numPr>
      <w:tabs>
        <w:tab w:val="num" w:pos="360"/>
      </w:tabs>
      <w:ind w:left="988" w:hanging="283"/>
    </w:pPr>
  </w:style>
  <w:style w:type="paragraph" w:customStyle="1" w:styleId="AODocTxtL4">
    <w:name w:val="AODocTxtL4"/>
    <w:basedOn w:val="AODocTxt"/>
    <w:rsid w:val="00883BB0"/>
    <w:pPr>
      <w:numPr>
        <w:ilvl w:val="4"/>
        <w:numId w:val="5"/>
      </w:numPr>
      <w:tabs>
        <w:tab w:val="num" w:pos="360"/>
      </w:tabs>
      <w:ind w:left="988" w:hanging="283"/>
    </w:pPr>
  </w:style>
  <w:style w:type="paragraph" w:customStyle="1" w:styleId="AODocTxtL5">
    <w:name w:val="AODocTxtL5"/>
    <w:basedOn w:val="AODocTxt"/>
    <w:rsid w:val="00883BB0"/>
    <w:pPr>
      <w:numPr>
        <w:ilvl w:val="5"/>
        <w:numId w:val="5"/>
      </w:numPr>
      <w:tabs>
        <w:tab w:val="num" w:pos="360"/>
      </w:tabs>
      <w:ind w:left="988" w:hanging="283"/>
    </w:pPr>
  </w:style>
  <w:style w:type="paragraph" w:customStyle="1" w:styleId="AODocTxtL6">
    <w:name w:val="AODocTxtL6"/>
    <w:basedOn w:val="AODocTxt"/>
    <w:rsid w:val="00883BB0"/>
    <w:pPr>
      <w:numPr>
        <w:ilvl w:val="6"/>
        <w:numId w:val="5"/>
      </w:numPr>
      <w:tabs>
        <w:tab w:val="num" w:pos="360"/>
      </w:tabs>
      <w:ind w:left="988" w:hanging="283"/>
    </w:pPr>
  </w:style>
  <w:style w:type="paragraph" w:customStyle="1" w:styleId="AODocTxtL7">
    <w:name w:val="AODocTxtL7"/>
    <w:basedOn w:val="AODocTxt"/>
    <w:rsid w:val="00883BB0"/>
    <w:pPr>
      <w:numPr>
        <w:ilvl w:val="7"/>
        <w:numId w:val="5"/>
      </w:numPr>
      <w:tabs>
        <w:tab w:val="num" w:pos="360"/>
      </w:tabs>
      <w:ind w:left="988" w:hanging="283"/>
    </w:pPr>
  </w:style>
  <w:style w:type="paragraph" w:customStyle="1" w:styleId="AODocTxtL8">
    <w:name w:val="AODocTxtL8"/>
    <w:basedOn w:val="AODocTxt"/>
    <w:rsid w:val="00883BB0"/>
    <w:pPr>
      <w:numPr>
        <w:ilvl w:val="8"/>
        <w:numId w:val="5"/>
      </w:numPr>
      <w:tabs>
        <w:tab w:val="num" w:pos="360"/>
      </w:tabs>
      <w:ind w:left="988" w:hanging="283"/>
    </w:pPr>
  </w:style>
  <w:style w:type="paragraph" w:customStyle="1" w:styleId="Bulle">
    <w:name w:val="Bulle"/>
    <w:basedOn w:val="Normal"/>
    <w:rsid w:val="00883BB0"/>
    <w:pPr>
      <w:numPr>
        <w:numId w:val="6"/>
      </w:numPr>
    </w:pPr>
    <w:rPr>
      <w:rFonts w:ascii="Times New Roman" w:hAnsi="Times New Roman"/>
      <w:sz w:val="24"/>
      <w:szCs w:val="20"/>
    </w:rPr>
  </w:style>
  <w:style w:type="paragraph" w:customStyle="1" w:styleId="Sideheading">
    <w:name w:val="Side heading"/>
    <w:basedOn w:val="Normal"/>
    <w:autoRedefine/>
    <w:rsid w:val="00883BB0"/>
    <w:pPr>
      <w:numPr>
        <w:numId w:val="7"/>
      </w:numPr>
      <w:spacing w:before="360" w:after="360" w:line="280" w:lineRule="exact"/>
      <w:ind w:left="284" w:hanging="284"/>
    </w:pPr>
    <w:rPr>
      <w:b/>
      <w:smallCaps/>
      <w:sz w:val="28"/>
      <w:szCs w:val="20"/>
    </w:rPr>
  </w:style>
  <w:style w:type="paragraph" w:customStyle="1" w:styleId="AOHead1">
    <w:name w:val="AOHead1"/>
    <w:basedOn w:val="Normal"/>
    <w:next w:val="AOHead2"/>
    <w:rsid w:val="00883BB0"/>
    <w:pPr>
      <w:keepNext/>
      <w:numPr>
        <w:numId w:val="8"/>
      </w:numPr>
      <w:spacing w:before="240" w:line="260" w:lineRule="atLeast"/>
      <w:jc w:val="both"/>
      <w:outlineLvl w:val="0"/>
    </w:pPr>
    <w:rPr>
      <w:rFonts w:ascii="Times New Roman" w:hAnsi="Times New Roman"/>
      <w:b/>
      <w:caps/>
      <w:kern w:val="28"/>
      <w:sz w:val="22"/>
      <w:szCs w:val="20"/>
      <w:lang w:eastAsia="fr-FR"/>
    </w:rPr>
  </w:style>
  <w:style w:type="paragraph" w:customStyle="1" w:styleId="AOHead2">
    <w:name w:val="AOHead2"/>
    <w:basedOn w:val="Normal"/>
    <w:next w:val="AODocTxtL1"/>
    <w:rsid w:val="00883BB0"/>
    <w:pPr>
      <w:keepNext/>
      <w:numPr>
        <w:ilvl w:val="1"/>
        <w:numId w:val="8"/>
      </w:numPr>
      <w:spacing w:before="240" w:line="260" w:lineRule="atLeast"/>
      <w:jc w:val="both"/>
      <w:outlineLvl w:val="1"/>
    </w:pPr>
    <w:rPr>
      <w:rFonts w:ascii="Times New Roman" w:hAnsi="Times New Roman"/>
      <w:b/>
      <w:sz w:val="22"/>
      <w:szCs w:val="20"/>
      <w:lang w:eastAsia="fr-FR"/>
    </w:rPr>
  </w:style>
  <w:style w:type="paragraph" w:customStyle="1" w:styleId="AODocTxtL1">
    <w:name w:val="AODocTxtL1"/>
    <w:basedOn w:val="AODocTxt"/>
    <w:rsid w:val="00883BB0"/>
    <w:pPr>
      <w:numPr>
        <w:ilvl w:val="1"/>
      </w:numPr>
      <w:tabs>
        <w:tab w:val="num" w:pos="360"/>
      </w:tabs>
      <w:ind w:left="988" w:hanging="283"/>
    </w:pPr>
  </w:style>
  <w:style w:type="paragraph" w:customStyle="1" w:styleId="AOHead3">
    <w:name w:val="AOHead3"/>
    <w:basedOn w:val="Normal"/>
    <w:next w:val="AODocTxtL2"/>
    <w:rsid w:val="00883BB0"/>
    <w:pPr>
      <w:numPr>
        <w:ilvl w:val="2"/>
        <w:numId w:val="8"/>
      </w:numPr>
      <w:spacing w:before="240" w:line="260" w:lineRule="atLeast"/>
      <w:jc w:val="both"/>
      <w:outlineLvl w:val="2"/>
    </w:pPr>
    <w:rPr>
      <w:rFonts w:ascii="Times New Roman" w:hAnsi="Times New Roman"/>
      <w:sz w:val="22"/>
      <w:szCs w:val="20"/>
      <w:lang w:eastAsia="fr-FR"/>
    </w:rPr>
  </w:style>
  <w:style w:type="paragraph" w:customStyle="1" w:styleId="AOHead4">
    <w:name w:val="AOHead4"/>
    <w:basedOn w:val="Normal"/>
    <w:next w:val="AODocTxtL3"/>
    <w:rsid w:val="00883BB0"/>
    <w:pPr>
      <w:numPr>
        <w:ilvl w:val="3"/>
        <w:numId w:val="8"/>
      </w:numPr>
      <w:spacing w:before="240" w:line="260" w:lineRule="atLeast"/>
      <w:jc w:val="both"/>
      <w:outlineLvl w:val="3"/>
    </w:pPr>
    <w:rPr>
      <w:rFonts w:ascii="Times New Roman" w:hAnsi="Times New Roman"/>
      <w:sz w:val="22"/>
      <w:szCs w:val="20"/>
      <w:lang w:eastAsia="fr-FR"/>
    </w:rPr>
  </w:style>
  <w:style w:type="paragraph" w:customStyle="1" w:styleId="AOHead5">
    <w:name w:val="AOHead5"/>
    <w:basedOn w:val="Normal"/>
    <w:next w:val="AODocTxtL4"/>
    <w:rsid w:val="00883BB0"/>
    <w:pPr>
      <w:numPr>
        <w:ilvl w:val="4"/>
        <w:numId w:val="8"/>
      </w:numPr>
      <w:spacing w:before="240" w:line="260" w:lineRule="atLeast"/>
      <w:jc w:val="both"/>
      <w:outlineLvl w:val="4"/>
    </w:pPr>
    <w:rPr>
      <w:rFonts w:ascii="Times New Roman" w:hAnsi="Times New Roman"/>
      <w:sz w:val="22"/>
      <w:szCs w:val="20"/>
      <w:lang w:eastAsia="fr-FR"/>
    </w:rPr>
  </w:style>
  <w:style w:type="paragraph" w:customStyle="1" w:styleId="AOHead6">
    <w:name w:val="AOHead6"/>
    <w:basedOn w:val="Normal"/>
    <w:next w:val="AODocTxtL5"/>
    <w:rsid w:val="00883BB0"/>
    <w:pPr>
      <w:numPr>
        <w:ilvl w:val="5"/>
        <w:numId w:val="8"/>
      </w:numPr>
      <w:spacing w:before="240" w:line="260" w:lineRule="atLeast"/>
      <w:jc w:val="both"/>
      <w:outlineLvl w:val="5"/>
    </w:pPr>
    <w:rPr>
      <w:rFonts w:ascii="Times New Roman" w:hAnsi="Times New Roman"/>
      <w:sz w:val="22"/>
      <w:szCs w:val="20"/>
      <w:lang w:eastAsia="fr-FR"/>
    </w:rPr>
  </w:style>
  <w:style w:type="paragraph" w:styleId="BodyText3">
    <w:name w:val="Body Text 3"/>
    <w:basedOn w:val="Normal"/>
    <w:rsid w:val="00883BB0"/>
    <w:pPr>
      <w:jc w:val="center"/>
    </w:pPr>
    <w:rPr>
      <w:rFonts w:cs="Arial"/>
      <w:szCs w:val="18"/>
    </w:rPr>
  </w:style>
  <w:style w:type="paragraph" w:styleId="BodyTextIndent">
    <w:name w:val="Body Text Indent"/>
    <w:basedOn w:val="Normal"/>
    <w:link w:val="BodyTextIndentChar"/>
    <w:rsid w:val="00883BB0"/>
    <w:pPr>
      <w:spacing w:line="24" w:lineRule="atLeast"/>
      <w:ind w:left="720" w:hanging="720"/>
      <w:jc w:val="both"/>
      <w:outlineLvl w:val="1"/>
    </w:pPr>
  </w:style>
  <w:style w:type="paragraph" w:styleId="PlainText">
    <w:name w:val="Plain Text"/>
    <w:basedOn w:val="Normal"/>
    <w:link w:val="PlainTextChar"/>
    <w:uiPriority w:val="99"/>
    <w:rsid w:val="00883BB0"/>
    <w:rPr>
      <w:rFonts w:ascii="Courier New" w:hAnsi="Courier New"/>
      <w:szCs w:val="20"/>
    </w:rPr>
  </w:style>
  <w:style w:type="paragraph" w:customStyle="1" w:styleId="Body">
    <w:name w:val="Body"/>
    <w:basedOn w:val="Normal"/>
    <w:link w:val="BodyChar"/>
    <w:rsid w:val="00883BB0"/>
    <w:pPr>
      <w:keepLines/>
      <w:widowControl w:val="0"/>
      <w:jc w:val="both"/>
    </w:pPr>
    <w:rPr>
      <w:rFonts w:ascii="Helvetica" w:eastAsia="PMingLiU" w:hAnsi="Helvetica"/>
      <w:snapToGrid w:val="0"/>
      <w:szCs w:val="20"/>
    </w:rPr>
  </w:style>
  <w:style w:type="paragraph" w:styleId="Header">
    <w:name w:val="header"/>
    <w:basedOn w:val="Normal"/>
    <w:rsid w:val="00883BB0"/>
    <w:pPr>
      <w:tabs>
        <w:tab w:val="center" w:pos="4320"/>
        <w:tab w:val="right" w:pos="8640"/>
      </w:tabs>
    </w:pPr>
    <w:rPr>
      <w:rFonts w:ascii="Univers" w:hAnsi="Univers"/>
      <w:spacing w:val="10"/>
      <w:szCs w:val="20"/>
    </w:rPr>
  </w:style>
  <w:style w:type="paragraph" w:customStyle="1" w:styleId="projet">
    <w:name w:val="projet"/>
    <w:basedOn w:val="Normal"/>
    <w:rsid w:val="00883BB0"/>
    <w:pPr>
      <w:spacing w:line="240" w:lineRule="atLeast"/>
      <w:jc w:val="both"/>
    </w:pPr>
    <w:rPr>
      <w:rFonts w:ascii="Times New Roman" w:hAnsi="Times New Roman"/>
      <w:szCs w:val="20"/>
      <w:lang w:val="fr-FR"/>
    </w:rPr>
  </w:style>
  <w:style w:type="paragraph" w:styleId="BodyText2">
    <w:name w:val="Body Text 2"/>
    <w:basedOn w:val="Normal"/>
    <w:rsid w:val="00883BB0"/>
    <w:rPr>
      <w:snapToGrid w:val="0"/>
      <w:color w:val="000000"/>
      <w:sz w:val="18"/>
      <w:szCs w:val="20"/>
    </w:rPr>
  </w:style>
  <w:style w:type="paragraph" w:styleId="BodyTextIndent2">
    <w:name w:val="Body Text Indent 2"/>
    <w:basedOn w:val="Normal"/>
    <w:link w:val="BodyTextIndent2Char"/>
    <w:rsid w:val="00883BB0"/>
    <w:pPr>
      <w:ind w:firstLine="1440"/>
    </w:pPr>
    <w:rPr>
      <w:rFonts w:ascii="Univers" w:hAnsi="Univers"/>
      <w:sz w:val="22"/>
      <w:szCs w:val="20"/>
    </w:rPr>
  </w:style>
  <w:style w:type="paragraph" w:customStyle="1" w:styleId="abcde">
    <w:name w:val="abcde"/>
    <w:basedOn w:val="Normal"/>
    <w:rsid w:val="00883BB0"/>
    <w:pPr>
      <w:widowControl w:val="0"/>
      <w:tabs>
        <w:tab w:val="left" w:pos="1276"/>
      </w:tabs>
      <w:autoSpaceDE w:val="0"/>
      <w:autoSpaceDN w:val="0"/>
      <w:adjustRightInd w:val="0"/>
      <w:ind w:left="1276" w:hanging="567"/>
      <w:jc w:val="both"/>
      <w:outlineLvl w:val="0"/>
    </w:pPr>
    <w:rPr>
      <w:rFonts w:ascii="Times-Roman" w:hAnsi="Times-Roman"/>
      <w:szCs w:val="20"/>
    </w:rPr>
  </w:style>
  <w:style w:type="paragraph" w:customStyle="1" w:styleId="ABCD">
    <w:name w:val="ABCD"/>
    <w:basedOn w:val="Normal"/>
    <w:rsid w:val="00883BB0"/>
    <w:pPr>
      <w:widowControl w:val="0"/>
      <w:tabs>
        <w:tab w:val="left" w:pos="1701"/>
      </w:tabs>
      <w:autoSpaceDE w:val="0"/>
      <w:autoSpaceDN w:val="0"/>
      <w:adjustRightInd w:val="0"/>
      <w:ind w:left="1701" w:hanging="425"/>
      <w:jc w:val="both"/>
      <w:outlineLvl w:val="0"/>
    </w:pPr>
    <w:rPr>
      <w:rFonts w:ascii="Times-Roman" w:hAnsi="Times-Roman"/>
      <w:szCs w:val="20"/>
    </w:rPr>
  </w:style>
  <w:style w:type="paragraph" w:customStyle="1" w:styleId="ESRM">
    <w:name w:val="ESRM"/>
    <w:basedOn w:val="abcde"/>
    <w:rsid w:val="00883BB0"/>
    <w:pPr>
      <w:tabs>
        <w:tab w:val="clear" w:pos="1276"/>
        <w:tab w:val="left" w:pos="1560"/>
      </w:tabs>
      <w:ind w:left="1560" w:hanging="284"/>
    </w:pPr>
  </w:style>
  <w:style w:type="paragraph" w:customStyle="1" w:styleId="Style2">
    <w:name w:val="Style2"/>
    <w:basedOn w:val="ESRM"/>
    <w:rsid w:val="00883BB0"/>
    <w:pPr>
      <w:tabs>
        <w:tab w:val="clear" w:pos="1560"/>
      </w:tabs>
      <w:ind w:left="1843" w:hanging="283"/>
    </w:pPr>
    <w:rPr>
      <w:rFonts w:ascii="Times" w:hAnsi="Times"/>
    </w:rPr>
  </w:style>
  <w:style w:type="paragraph" w:styleId="BodyTextIndent3">
    <w:name w:val="Body Text Indent 3"/>
    <w:basedOn w:val="Normal"/>
    <w:link w:val="BodyTextIndent3Char"/>
    <w:rsid w:val="00883BB0"/>
    <w:pPr>
      <w:ind w:left="720"/>
      <w:jc w:val="both"/>
    </w:pPr>
    <w:rPr>
      <w:rFonts w:ascii="Book Antiqua" w:hAnsi="Book Antiqua"/>
      <w:color w:val="000080"/>
      <w:sz w:val="22"/>
      <w:szCs w:val="20"/>
    </w:rPr>
  </w:style>
  <w:style w:type="paragraph" w:styleId="BodyText">
    <w:name w:val="Body Text"/>
    <w:basedOn w:val="Normal"/>
    <w:link w:val="BodyTextChar"/>
    <w:rsid w:val="00883BB0"/>
    <w:pPr>
      <w:jc w:val="both"/>
    </w:pPr>
    <w:rPr>
      <w:rFonts w:ascii="Univers (W1)" w:hAnsi="Univers (W1)"/>
      <w:szCs w:val="20"/>
    </w:rPr>
  </w:style>
  <w:style w:type="character" w:styleId="PageNumber">
    <w:name w:val="page number"/>
    <w:basedOn w:val="DefaultParagraphFont"/>
    <w:rsid w:val="00883BB0"/>
  </w:style>
  <w:style w:type="paragraph" w:styleId="Footer">
    <w:name w:val="footer"/>
    <w:basedOn w:val="Normal"/>
    <w:link w:val="FooterChar"/>
    <w:uiPriority w:val="99"/>
    <w:rsid w:val="00883BB0"/>
    <w:pPr>
      <w:tabs>
        <w:tab w:val="center" w:pos="4320"/>
        <w:tab w:val="right" w:pos="8640"/>
      </w:tabs>
    </w:pPr>
    <w:rPr>
      <w:rFonts w:ascii="Univers" w:hAnsi="Univers"/>
      <w:spacing w:val="10"/>
      <w:szCs w:val="20"/>
    </w:rPr>
  </w:style>
  <w:style w:type="paragraph" w:customStyle="1" w:styleId="Number1111">
    <w:name w:val="Number1111"/>
    <w:basedOn w:val="Normal"/>
    <w:rsid w:val="00883BB0"/>
    <w:pPr>
      <w:widowControl w:val="0"/>
      <w:autoSpaceDE w:val="0"/>
      <w:autoSpaceDN w:val="0"/>
      <w:adjustRightInd w:val="0"/>
      <w:jc w:val="both"/>
      <w:outlineLvl w:val="0"/>
    </w:pPr>
    <w:rPr>
      <w:rFonts w:ascii="Times-Bold" w:hAnsi="Times-Bold"/>
      <w:b/>
      <w:bCs/>
      <w:szCs w:val="20"/>
    </w:rPr>
  </w:style>
  <w:style w:type="paragraph" w:styleId="BlockText">
    <w:name w:val="Block Text"/>
    <w:basedOn w:val="Normal"/>
    <w:rsid w:val="00883BB0"/>
    <w:pPr>
      <w:ind w:left="735" w:right="-781"/>
      <w:jc w:val="both"/>
    </w:pPr>
    <w:rPr>
      <w:snapToGrid w:val="0"/>
      <w:szCs w:val="20"/>
    </w:rPr>
  </w:style>
  <w:style w:type="character" w:customStyle="1" w:styleId="Keyboard">
    <w:name w:val="Keyboard"/>
    <w:rsid w:val="00883BB0"/>
    <w:rPr>
      <w:rFonts w:ascii="Courier New" w:hAnsi="Courier New"/>
      <w:b/>
      <w:sz w:val="20"/>
    </w:rPr>
  </w:style>
  <w:style w:type="character" w:customStyle="1" w:styleId="DeltaViewInsertion">
    <w:name w:val="DeltaView Insertion"/>
    <w:rsid w:val="00883BB0"/>
    <w:rPr>
      <w:color w:val="0000FF"/>
      <w:spacing w:val="0"/>
      <w:u w:val="double"/>
    </w:rPr>
  </w:style>
  <w:style w:type="paragraph" w:customStyle="1" w:styleId="ABCDDown">
    <w:name w:val="ABCD_Down"/>
    <w:basedOn w:val="ABCD"/>
    <w:rsid w:val="00883BB0"/>
    <w:pPr>
      <w:tabs>
        <w:tab w:val="clear" w:pos="1701"/>
      </w:tabs>
      <w:ind w:left="1276" w:firstLine="0"/>
    </w:pPr>
    <w:rPr>
      <w:lang w:val="en-US"/>
    </w:rPr>
  </w:style>
  <w:style w:type="paragraph" w:customStyle="1" w:styleId="c4">
    <w:name w:val="c4"/>
    <w:basedOn w:val="Normal"/>
    <w:rsid w:val="00883BB0"/>
    <w:pPr>
      <w:widowControl w:val="0"/>
      <w:spacing w:line="240" w:lineRule="atLeast"/>
      <w:jc w:val="center"/>
    </w:pPr>
    <w:rPr>
      <w:rFonts w:ascii="Times New Roman" w:hAnsi="Times New Roman"/>
      <w:snapToGrid w:val="0"/>
      <w:sz w:val="24"/>
      <w:szCs w:val="20"/>
      <w:lang w:val="en-US"/>
    </w:rPr>
  </w:style>
  <w:style w:type="character" w:styleId="Hyperlink">
    <w:name w:val="Hyperlink"/>
    <w:rsid w:val="00883BB0"/>
    <w:rPr>
      <w:color w:val="0000FF"/>
      <w:u w:val="single"/>
    </w:rPr>
  </w:style>
  <w:style w:type="paragraph" w:styleId="NormalWeb">
    <w:name w:val="Normal (Web)"/>
    <w:basedOn w:val="Normal"/>
    <w:uiPriority w:val="99"/>
    <w:rsid w:val="00883BB0"/>
    <w:pPr>
      <w:spacing w:before="100" w:beforeAutospacing="1" w:after="100" w:afterAutospacing="1" w:line="264" w:lineRule="atLeast"/>
    </w:pPr>
    <w:rPr>
      <w:rFonts w:ascii="Arial Unicode MS" w:hAnsi="Arial Unicode MS"/>
      <w:color w:val="333333"/>
      <w:szCs w:val="20"/>
    </w:rPr>
  </w:style>
  <w:style w:type="paragraph" w:styleId="ListBullet">
    <w:name w:val="List Bullet"/>
    <w:basedOn w:val="Normal"/>
    <w:autoRedefine/>
    <w:rsid w:val="00883BB0"/>
    <w:pPr>
      <w:numPr>
        <w:numId w:val="10"/>
      </w:numPr>
    </w:pPr>
    <w:rPr>
      <w:szCs w:val="20"/>
      <w:lang w:bidi="he-IL"/>
    </w:rPr>
  </w:style>
  <w:style w:type="character" w:styleId="Emphasis">
    <w:name w:val="Emphasis"/>
    <w:qFormat/>
    <w:rsid w:val="00883BB0"/>
    <w:rPr>
      <w:i/>
      <w:iCs/>
    </w:rPr>
  </w:style>
  <w:style w:type="paragraph" w:styleId="BalloonText">
    <w:name w:val="Balloon Text"/>
    <w:basedOn w:val="Normal"/>
    <w:semiHidden/>
    <w:rsid w:val="00883BB0"/>
    <w:rPr>
      <w:rFonts w:ascii="Tahoma" w:hAnsi="Tahoma" w:cs="Tahoma"/>
      <w:sz w:val="16"/>
      <w:szCs w:val="16"/>
    </w:rPr>
  </w:style>
  <w:style w:type="character" w:customStyle="1" w:styleId="DeltaViewDeletion">
    <w:name w:val="DeltaView Deletion"/>
    <w:rsid w:val="00883BB0"/>
    <w:rPr>
      <w:strike/>
      <w:color w:val="FF0000"/>
      <w:spacing w:val="0"/>
    </w:rPr>
  </w:style>
  <w:style w:type="paragraph" w:customStyle="1" w:styleId="Heading11512">
    <w:name w:val="Heading 11.5/12"/>
    <w:rsid w:val="00883BB0"/>
    <w:pPr>
      <w:widowControl w:val="0"/>
      <w:spacing w:line="240" w:lineRule="atLeast"/>
      <w:jc w:val="center"/>
    </w:pPr>
    <w:rPr>
      <w:rFonts w:ascii="TimesNewRomanPS" w:eastAsia="PMingLiU" w:hAnsi="TimesNewRomanPS"/>
      <w:b/>
      <w:caps/>
      <w:sz w:val="23"/>
    </w:rPr>
  </w:style>
  <w:style w:type="character" w:styleId="FollowedHyperlink">
    <w:name w:val="FollowedHyperlink"/>
    <w:rsid w:val="00643732"/>
    <w:rPr>
      <w:color w:val="800080"/>
      <w:u w:val="single"/>
    </w:rPr>
  </w:style>
  <w:style w:type="paragraph" w:customStyle="1" w:styleId="ZchnZchnCharCharZchnZchn">
    <w:name w:val="Zchn Zchn Char Char Zchn Zchn"/>
    <w:basedOn w:val="Normal"/>
    <w:rsid w:val="007A4A3B"/>
    <w:pPr>
      <w:spacing w:after="160" w:line="240" w:lineRule="exact"/>
    </w:pPr>
    <w:rPr>
      <w:szCs w:val="20"/>
      <w:lang w:val="en-US"/>
    </w:rPr>
  </w:style>
  <w:style w:type="paragraph" w:customStyle="1" w:styleId="CG-SingleSp05">
    <w:name w:val="CG-Single Sp 0.5"/>
    <w:aliases w:val="s2"/>
    <w:basedOn w:val="Normal"/>
    <w:rsid w:val="00676EAB"/>
    <w:pPr>
      <w:spacing w:after="240"/>
      <w:ind w:firstLine="720"/>
    </w:pPr>
    <w:rPr>
      <w:rFonts w:ascii="Times New Roman" w:hAnsi="Times New Roman"/>
      <w:sz w:val="24"/>
      <w:szCs w:val="20"/>
      <w:lang w:val="en-US" w:eastAsia="zh-CN"/>
    </w:rPr>
  </w:style>
  <w:style w:type="paragraph" w:customStyle="1" w:styleId="BodyText1">
    <w:name w:val="Body Text1"/>
    <w:basedOn w:val="Normal"/>
    <w:rsid w:val="00A80555"/>
    <w:pPr>
      <w:adjustRightInd w:val="0"/>
      <w:spacing w:line="240" w:lineRule="exact"/>
      <w:jc w:val="both"/>
    </w:pPr>
    <w:rPr>
      <w:rFonts w:ascii="Times New Roman" w:eastAsia="華康中明體(P)" w:hAnsi="Times New Roman"/>
      <w:kern w:val="20"/>
      <w:lang w:val="en-US"/>
    </w:rPr>
  </w:style>
  <w:style w:type="character" w:customStyle="1" w:styleId="PlainTextChar">
    <w:name w:val="Plain Text Char"/>
    <w:link w:val="PlainText"/>
    <w:uiPriority w:val="99"/>
    <w:locked/>
    <w:rsid w:val="00D86999"/>
    <w:rPr>
      <w:rFonts w:ascii="Courier New" w:hAnsi="Courier New"/>
      <w:lang w:val="en-GB" w:eastAsia="en-US" w:bidi="ar-SA"/>
    </w:rPr>
  </w:style>
  <w:style w:type="paragraph" w:styleId="FootnoteText">
    <w:name w:val="footnote text"/>
    <w:basedOn w:val="Normal"/>
    <w:link w:val="FootnoteTextChar"/>
    <w:qFormat/>
    <w:rsid w:val="00B47BE3"/>
    <w:rPr>
      <w:szCs w:val="20"/>
    </w:rPr>
  </w:style>
  <w:style w:type="character" w:styleId="FootnoteReference">
    <w:name w:val="footnote reference"/>
    <w:rsid w:val="00B47BE3"/>
    <w:rPr>
      <w:vertAlign w:val="superscript"/>
    </w:rPr>
  </w:style>
  <w:style w:type="character" w:customStyle="1" w:styleId="FootnoteTextChar">
    <w:name w:val="Footnote Text Char"/>
    <w:link w:val="FootnoteText"/>
    <w:locked/>
    <w:rsid w:val="00840DF2"/>
    <w:rPr>
      <w:rFonts w:ascii="Arial" w:hAnsi="Arial"/>
      <w:lang w:eastAsia="en-US"/>
    </w:rPr>
  </w:style>
  <w:style w:type="paragraph" w:customStyle="1" w:styleId="ScheduleH1">
    <w:name w:val="Schedule H1"/>
    <w:rsid w:val="005339D3"/>
    <w:pPr>
      <w:keepNext/>
      <w:keepLines/>
      <w:numPr>
        <w:ilvl w:val="3"/>
        <w:numId w:val="11"/>
      </w:numPr>
      <w:spacing w:after="240" w:line="290" w:lineRule="auto"/>
      <w:jc w:val="both"/>
      <w:outlineLvl w:val="3"/>
    </w:pPr>
    <w:rPr>
      <w:rFonts w:ascii="Arial" w:hAnsi="Arial"/>
      <w:b/>
      <w:sz w:val="22"/>
      <w:szCs w:val="22"/>
      <w:lang w:eastAsia="zh-CN"/>
    </w:rPr>
  </w:style>
  <w:style w:type="paragraph" w:customStyle="1" w:styleId="ScheduleH2">
    <w:name w:val="Schedule H2"/>
    <w:rsid w:val="005339D3"/>
    <w:pPr>
      <w:keepNext/>
      <w:keepLines/>
      <w:numPr>
        <w:ilvl w:val="4"/>
        <w:numId w:val="11"/>
      </w:numPr>
      <w:spacing w:after="240" w:line="290" w:lineRule="auto"/>
      <w:jc w:val="both"/>
      <w:outlineLvl w:val="4"/>
    </w:pPr>
    <w:rPr>
      <w:rFonts w:ascii="Arial" w:hAnsi="Arial"/>
      <w:lang w:val="en-GB" w:eastAsia="zh-CN"/>
    </w:rPr>
  </w:style>
  <w:style w:type="paragraph" w:customStyle="1" w:styleId="ScheduleH3">
    <w:name w:val="Schedule H3"/>
    <w:rsid w:val="005339D3"/>
    <w:pPr>
      <w:numPr>
        <w:ilvl w:val="5"/>
        <w:numId w:val="11"/>
      </w:numPr>
      <w:spacing w:after="240" w:line="290" w:lineRule="auto"/>
      <w:jc w:val="both"/>
      <w:outlineLvl w:val="5"/>
    </w:pPr>
    <w:rPr>
      <w:rFonts w:ascii="Arial" w:hAnsi="Arial"/>
      <w:lang w:val="en-GB" w:eastAsia="zh-CN"/>
    </w:rPr>
  </w:style>
  <w:style w:type="paragraph" w:customStyle="1" w:styleId="ScheduleH4">
    <w:name w:val="Schedule H4"/>
    <w:rsid w:val="005339D3"/>
    <w:pPr>
      <w:numPr>
        <w:ilvl w:val="6"/>
        <w:numId w:val="11"/>
      </w:numPr>
      <w:spacing w:after="240" w:line="290" w:lineRule="auto"/>
      <w:jc w:val="both"/>
      <w:outlineLvl w:val="6"/>
    </w:pPr>
    <w:rPr>
      <w:rFonts w:ascii="Arial" w:hAnsi="Arial"/>
      <w:lang w:val="en-GB" w:eastAsia="zh-CN"/>
    </w:rPr>
  </w:style>
  <w:style w:type="paragraph" w:customStyle="1" w:styleId="ScheduleH5">
    <w:name w:val="Schedule H5"/>
    <w:rsid w:val="005339D3"/>
    <w:pPr>
      <w:numPr>
        <w:ilvl w:val="7"/>
        <w:numId w:val="11"/>
      </w:numPr>
      <w:spacing w:after="240" w:line="290" w:lineRule="auto"/>
      <w:jc w:val="both"/>
      <w:outlineLvl w:val="7"/>
    </w:pPr>
    <w:rPr>
      <w:rFonts w:ascii="Arial" w:hAnsi="Arial"/>
      <w:lang w:val="en-GB" w:eastAsia="zh-CN"/>
    </w:rPr>
  </w:style>
  <w:style w:type="paragraph" w:customStyle="1" w:styleId="ScheduleH6">
    <w:name w:val="Schedule H6"/>
    <w:rsid w:val="005339D3"/>
    <w:pPr>
      <w:numPr>
        <w:ilvl w:val="8"/>
        <w:numId w:val="11"/>
      </w:numPr>
      <w:spacing w:after="240" w:line="290" w:lineRule="auto"/>
      <w:jc w:val="both"/>
      <w:outlineLvl w:val="8"/>
    </w:pPr>
    <w:rPr>
      <w:rFonts w:ascii="Arial" w:hAnsi="Arial"/>
      <w:lang w:eastAsia="zh-CN"/>
    </w:rPr>
  </w:style>
  <w:style w:type="paragraph" w:customStyle="1" w:styleId="Schedule-1Title">
    <w:name w:val="Schedule-1Title"/>
    <w:rsid w:val="005339D3"/>
    <w:pPr>
      <w:pageBreakBefore/>
      <w:numPr>
        <w:numId w:val="11"/>
      </w:numPr>
      <w:spacing w:after="240" w:line="290" w:lineRule="auto"/>
      <w:jc w:val="center"/>
      <w:outlineLvl w:val="0"/>
    </w:pPr>
    <w:rPr>
      <w:rFonts w:ascii="Arial" w:hAnsi="Arial" w:cs="Arial"/>
      <w:b/>
      <w:bCs/>
      <w:sz w:val="22"/>
      <w:szCs w:val="22"/>
      <w:lang w:val="en-GB" w:eastAsia="zh-CN"/>
    </w:rPr>
  </w:style>
  <w:style w:type="paragraph" w:customStyle="1" w:styleId="Schedule-2Title">
    <w:name w:val="Schedule-2Title"/>
    <w:rsid w:val="005339D3"/>
    <w:pPr>
      <w:keepNext/>
      <w:keepLines/>
      <w:numPr>
        <w:ilvl w:val="1"/>
        <w:numId w:val="11"/>
      </w:numPr>
      <w:spacing w:after="240" w:line="290" w:lineRule="auto"/>
      <w:jc w:val="both"/>
      <w:outlineLvl w:val="1"/>
    </w:pPr>
    <w:rPr>
      <w:rFonts w:ascii="Arial" w:hAnsi="Arial"/>
      <w:b/>
      <w:lang w:val="en-GB"/>
    </w:rPr>
  </w:style>
  <w:style w:type="paragraph" w:customStyle="1" w:styleId="Schedule-3Title">
    <w:name w:val="Schedule-3Title"/>
    <w:rsid w:val="005339D3"/>
    <w:pPr>
      <w:keepLines/>
      <w:numPr>
        <w:ilvl w:val="2"/>
        <w:numId w:val="11"/>
      </w:numPr>
      <w:spacing w:after="240" w:line="290" w:lineRule="auto"/>
      <w:jc w:val="both"/>
      <w:outlineLvl w:val="2"/>
    </w:pPr>
    <w:rPr>
      <w:rFonts w:ascii="Arial" w:hAnsi="Arial"/>
      <w:noProof/>
      <w:lang w:val="en-GB" w:eastAsia="zh-CN"/>
    </w:rPr>
  </w:style>
  <w:style w:type="numbering" w:customStyle="1" w:styleId="Style-Schedule">
    <w:name w:val="Style-Schedule"/>
    <w:basedOn w:val="NoList"/>
    <w:rsid w:val="005339D3"/>
    <w:pPr>
      <w:numPr>
        <w:numId w:val="17"/>
      </w:numPr>
    </w:pPr>
  </w:style>
  <w:style w:type="character" w:customStyle="1" w:styleId="BodyChar">
    <w:name w:val="Body Char"/>
    <w:link w:val="Body"/>
    <w:rsid w:val="006322E3"/>
    <w:rPr>
      <w:rFonts w:ascii="Helvetica" w:eastAsia="PMingLiU" w:hAnsi="Helvetica"/>
      <w:snapToGrid/>
      <w:lang w:eastAsia="en-US"/>
    </w:rPr>
  </w:style>
  <w:style w:type="paragraph" w:styleId="Revision">
    <w:name w:val="Revision"/>
    <w:hidden/>
    <w:uiPriority w:val="99"/>
    <w:semiHidden/>
    <w:rsid w:val="00154D58"/>
    <w:rPr>
      <w:rFonts w:ascii="Arial" w:hAnsi="Arial"/>
      <w:szCs w:val="24"/>
      <w:lang w:val="en-GB"/>
    </w:rPr>
  </w:style>
  <w:style w:type="character" w:styleId="CommentReference">
    <w:name w:val="annotation reference"/>
    <w:rsid w:val="00AE3662"/>
    <w:rPr>
      <w:sz w:val="16"/>
      <w:szCs w:val="16"/>
    </w:rPr>
  </w:style>
  <w:style w:type="paragraph" w:styleId="CommentText">
    <w:name w:val="annotation text"/>
    <w:basedOn w:val="Normal"/>
    <w:link w:val="CommentTextChar"/>
    <w:rsid w:val="00AE3662"/>
    <w:rPr>
      <w:szCs w:val="20"/>
    </w:rPr>
  </w:style>
  <w:style w:type="character" w:customStyle="1" w:styleId="CommentTextChar">
    <w:name w:val="Comment Text Char"/>
    <w:link w:val="CommentText"/>
    <w:rsid w:val="00AE3662"/>
    <w:rPr>
      <w:rFonts w:ascii="Arial" w:hAnsi="Arial"/>
      <w:lang w:eastAsia="en-US"/>
    </w:rPr>
  </w:style>
  <w:style w:type="paragraph" w:styleId="CommentSubject">
    <w:name w:val="annotation subject"/>
    <w:basedOn w:val="CommentText"/>
    <w:next w:val="CommentText"/>
    <w:link w:val="CommentSubjectChar"/>
    <w:rsid w:val="00AE3662"/>
    <w:rPr>
      <w:b/>
      <w:bCs/>
    </w:rPr>
  </w:style>
  <w:style w:type="character" w:customStyle="1" w:styleId="CommentSubjectChar">
    <w:name w:val="Comment Subject Char"/>
    <w:link w:val="CommentSubject"/>
    <w:rsid w:val="00AE3662"/>
    <w:rPr>
      <w:rFonts w:ascii="Arial" w:hAnsi="Arial"/>
      <w:b/>
      <w:bCs/>
      <w:lang w:eastAsia="en-US"/>
    </w:rPr>
  </w:style>
  <w:style w:type="table" w:styleId="TableGrid">
    <w:name w:val="Table Grid"/>
    <w:basedOn w:val="TableNormal"/>
    <w:rsid w:val="004B7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56684C"/>
    <w:pPr>
      <w:widowControl w:val="0"/>
      <w:numPr>
        <w:numId w:val="12"/>
      </w:numPr>
      <w:autoSpaceDE w:val="0"/>
      <w:autoSpaceDN w:val="0"/>
      <w:adjustRightInd w:val="0"/>
      <w:spacing w:after="200" w:line="240" w:lineRule="exact"/>
      <w:jc w:val="both"/>
    </w:pPr>
    <w:rPr>
      <w:rFonts w:ascii="Times New Roman" w:eastAsia="華康中明體(P)" w:hAnsi="Times New Roman"/>
      <w:kern w:val="2"/>
      <w:szCs w:val="20"/>
      <w:lang w:val="en-US" w:eastAsia="zh-CN"/>
    </w:rPr>
  </w:style>
  <w:style w:type="paragraph" w:styleId="ListParagraph">
    <w:name w:val="List Paragraph"/>
    <w:basedOn w:val="Normal"/>
    <w:link w:val="ListParagraphChar"/>
    <w:uiPriority w:val="99"/>
    <w:qFormat/>
    <w:rsid w:val="00E15B87"/>
    <w:pPr>
      <w:ind w:left="720"/>
    </w:pPr>
  </w:style>
  <w:style w:type="character" w:customStyle="1" w:styleId="ListParagraphChar">
    <w:name w:val="List Paragraph Char"/>
    <w:link w:val="ListParagraph"/>
    <w:uiPriority w:val="99"/>
    <w:locked/>
    <w:rsid w:val="00A91FEF"/>
    <w:rPr>
      <w:rFonts w:ascii="Arial" w:hAnsi="Arial"/>
      <w:szCs w:val="24"/>
      <w:lang w:val="en-GB"/>
    </w:rPr>
  </w:style>
  <w:style w:type="paragraph" w:customStyle="1" w:styleId="Level1">
    <w:name w:val="Level1"/>
    <w:rsid w:val="00A91FEF"/>
    <w:pPr>
      <w:keepNext/>
      <w:numPr>
        <w:numId w:val="18"/>
      </w:numPr>
      <w:spacing w:before="240" w:line="260" w:lineRule="atLeast"/>
      <w:jc w:val="both"/>
    </w:pPr>
    <w:rPr>
      <w:rFonts w:eastAsia="Times New Roman"/>
      <w:lang w:val="en-GB"/>
    </w:rPr>
  </w:style>
  <w:style w:type="paragraph" w:customStyle="1" w:styleId="Level2">
    <w:name w:val="Level2"/>
    <w:rsid w:val="00A91FEF"/>
    <w:pPr>
      <w:numPr>
        <w:ilvl w:val="1"/>
        <w:numId w:val="18"/>
      </w:numPr>
      <w:spacing w:before="240" w:line="260" w:lineRule="atLeast"/>
      <w:jc w:val="both"/>
    </w:pPr>
    <w:rPr>
      <w:rFonts w:eastAsia="Times New Roman"/>
      <w:lang w:val="en-GB"/>
    </w:rPr>
  </w:style>
  <w:style w:type="paragraph" w:customStyle="1" w:styleId="Level3">
    <w:name w:val="Level3"/>
    <w:rsid w:val="00A91FEF"/>
    <w:pPr>
      <w:numPr>
        <w:ilvl w:val="2"/>
        <w:numId w:val="18"/>
      </w:numPr>
      <w:spacing w:before="240" w:line="260" w:lineRule="atLeast"/>
      <w:jc w:val="both"/>
    </w:pPr>
    <w:rPr>
      <w:rFonts w:eastAsia="Times New Roman"/>
      <w:lang w:val="en-GB"/>
    </w:rPr>
  </w:style>
  <w:style w:type="paragraph" w:customStyle="1" w:styleId="Level4">
    <w:name w:val="Level4"/>
    <w:rsid w:val="00A91FEF"/>
    <w:pPr>
      <w:numPr>
        <w:ilvl w:val="3"/>
        <w:numId w:val="18"/>
      </w:numPr>
      <w:spacing w:before="240" w:line="260" w:lineRule="atLeast"/>
      <w:jc w:val="both"/>
    </w:pPr>
    <w:rPr>
      <w:rFonts w:eastAsia="Times New Roman"/>
      <w:lang w:val="en-GB"/>
    </w:rPr>
  </w:style>
  <w:style w:type="paragraph" w:customStyle="1" w:styleId="Level5">
    <w:name w:val="Level5"/>
    <w:aliases w:val="l5,level5"/>
    <w:rsid w:val="00A91FEF"/>
    <w:pPr>
      <w:numPr>
        <w:ilvl w:val="4"/>
        <w:numId w:val="18"/>
      </w:numPr>
      <w:spacing w:before="240" w:line="260" w:lineRule="atLeast"/>
      <w:jc w:val="both"/>
    </w:pPr>
    <w:rPr>
      <w:rFonts w:eastAsia="Times New Roman"/>
      <w:lang w:val="en-GB"/>
    </w:rPr>
  </w:style>
  <w:style w:type="paragraph" w:customStyle="1" w:styleId="Level6">
    <w:name w:val="Level6"/>
    <w:rsid w:val="00A91FEF"/>
    <w:pPr>
      <w:numPr>
        <w:ilvl w:val="5"/>
        <w:numId w:val="18"/>
      </w:numPr>
      <w:spacing w:before="240" w:line="260" w:lineRule="atLeast"/>
      <w:jc w:val="both"/>
    </w:pPr>
    <w:rPr>
      <w:rFonts w:eastAsia="Times New Roman"/>
      <w:lang w:val="en-GB"/>
    </w:rPr>
  </w:style>
  <w:style w:type="paragraph" w:customStyle="1" w:styleId="Level7">
    <w:name w:val="Level7"/>
    <w:rsid w:val="00A91FEF"/>
    <w:pPr>
      <w:numPr>
        <w:ilvl w:val="6"/>
        <w:numId w:val="18"/>
      </w:numPr>
      <w:spacing w:before="240" w:line="260" w:lineRule="atLeast"/>
      <w:jc w:val="both"/>
    </w:pPr>
    <w:rPr>
      <w:rFonts w:eastAsia="Times New Roman"/>
      <w:lang w:val="en-GB"/>
    </w:rPr>
  </w:style>
  <w:style w:type="paragraph" w:customStyle="1" w:styleId="Level8">
    <w:name w:val="Level8"/>
    <w:rsid w:val="00A91FEF"/>
    <w:pPr>
      <w:numPr>
        <w:ilvl w:val="7"/>
        <w:numId w:val="18"/>
      </w:numPr>
      <w:spacing w:before="240" w:line="260" w:lineRule="atLeast"/>
      <w:jc w:val="both"/>
    </w:pPr>
    <w:rPr>
      <w:rFonts w:eastAsia="Times New Roman"/>
      <w:lang w:val="en-GB"/>
    </w:rPr>
  </w:style>
  <w:style w:type="paragraph" w:customStyle="1" w:styleId="Level9">
    <w:name w:val="Level9"/>
    <w:rsid w:val="00A91FEF"/>
    <w:pPr>
      <w:numPr>
        <w:ilvl w:val="8"/>
        <w:numId w:val="18"/>
      </w:numPr>
      <w:spacing w:before="240" w:line="260" w:lineRule="atLeast"/>
      <w:jc w:val="both"/>
    </w:pPr>
    <w:rPr>
      <w:rFonts w:eastAsia="Times New Roman"/>
      <w:lang w:val="en-GB"/>
    </w:rPr>
  </w:style>
  <w:style w:type="character" w:customStyle="1" w:styleId="BodyTextIndent3Char">
    <w:name w:val="Body Text Indent 3 Char"/>
    <w:basedOn w:val="DefaultParagraphFont"/>
    <w:link w:val="BodyTextIndent3"/>
    <w:locked/>
    <w:rsid w:val="0055344A"/>
    <w:rPr>
      <w:rFonts w:ascii="Book Antiqua" w:hAnsi="Book Antiqua"/>
      <w:color w:val="000080"/>
      <w:sz w:val="22"/>
      <w:lang w:val="en-GB"/>
    </w:rPr>
  </w:style>
  <w:style w:type="character" w:styleId="PlaceholderText">
    <w:name w:val="Placeholder Text"/>
    <w:basedOn w:val="DefaultParagraphFont"/>
    <w:uiPriority w:val="99"/>
    <w:semiHidden/>
    <w:rsid w:val="00B048BF"/>
    <w:rPr>
      <w:color w:val="808080"/>
    </w:rPr>
  </w:style>
  <w:style w:type="character" w:customStyle="1" w:styleId="FooterChar">
    <w:name w:val="Footer Char"/>
    <w:basedOn w:val="DefaultParagraphFont"/>
    <w:link w:val="Footer"/>
    <w:uiPriority w:val="99"/>
    <w:rsid w:val="008A6E3B"/>
    <w:rPr>
      <w:rFonts w:ascii="Univers" w:hAnsi="Univers"/>
      <w:spacing w:val="10"/>
      <w:lang w:val="en-GB"/>
    </w:rPr>
  </w:style>
  <w:style w:type="paragraph" w:customStyle="1" w:styleId="Default">
    <w:name w:val="Default"/>
    <w:rsid w:val="000D342C"/>
    <w:pPr>
      <w:autoSpaceDE w:val="0"/>
      <w:autoSpaceDN w:val="0"/>
      <w:adjustRightInd w:val="0"/>
    </w:pPr>
    <w:rPr>
      <w:rFonts w:ascii="HelveticaNeueLT Com 45 Lt" w:hAnsi="HelveticaNeueLT Com 45 Lt" w:cs="HelveticaNeueLT Com 45 Lt"/>
      <w:color w:val="000000"/>
      <w:sz w:val="24"/>
      <w:szCs w:val="24"/>
      <w:lang w:val="en-GB" w:eastAsia="zh-CN"/>
    </w:rPr>
  </w:style>
  <w:style w:type="paragraph" w:customStyle="1" w:styleId="BodyText20">
    <w:name w:val="Body Text2"/>
    <w:basedOn w:val="Normal"/>
    <w:rsid w:val="009C14A9"/>
    <w:pPr>
      <w:autoSpaceDE w:val="0"/>
      <w:autoSpaceDN w:val="0"/>
      <w:adjustRightInd w:val="0"/>
      <w:spacing w:line="240" w:lineRule="exact"/>
      <w:jc w:val="both"/>
    </w:pPr>
    <w:rPr>
      <w:rFonts w:ascii="Times New Roman" w:eastAsia="華康中明體(P)" w:hAnsi="Times New Roman"/>
      <w:kern w:val="20"/>
      <w:szCs w:val="20"/>
      <w:lang w:val="en-US" w:eastAsia="zh-CN"/>
    </w:rPr>
  </w:style>
  <w:style w:type="character" w:customStyle="1" w:styleId="Heading5Char">
    <w:name w:val="Heading 5 Char"/>
    <w:basedOn w:val="DefaultParagraphFont"/>
    <w:link w:val="Heading5"/>
    <w:rsid w:val="00715725"/>
    <w:rPr>
      <w:rFonts w:ascii="Univers (W1)" w:hAnsi="Univers (W1)"/>
      <w:b/>
      <w:caps/>
      <w:lang w:val="en-GB"/>
    </w:rPr>
  </w:style>
  <w:style w:type="paragraph" w:customStyle="1" w:styleId="ZchnZchnCharCharZchnZchn1">
    <w:name w:val="Zchn Zchn Char Char Zchn Zchn1"/>
    <w:basedOn w:val="Normal"/>
    <w:rsid w:val="007B0C52"/>
    <w:pPr>
      <w:spacing w:after="160" w:line="240" w:lineRule="exact"/>
    </w:pPr>
    <w:rPr>
      <w:szCs w:val="20"/>
      <w:lang w:eastAsia="zh-CN"/>
    </w:rPr>
  </w:style>
  <w:style w:type="character" w:customStyle="1" w:styleId="DeltaViewMoveDestination">
    <w:name w:val="DeltaView Move Destination"/>
    <w:rsid w:val="000F7D52"/>
    <w:rPr>
      <w:color w:val="00C000"/>
      <w:spacing w:val="0"/>
      <w:u w:val="double"/>
    </w:rPr>
  </w:style>
  <w:style w:type="paragraph" w:styleId="ListNumber5">
    <w:name w:val="List Number 5"/>
    <w:basedOn w:val="Normal"/>
    <w:rsid w:val="00F66888"/>
    <w:pPr>
      <w:numPr>
        <w:numId w:val="22"/>
      </w:numPr>
      <w:autoSpaceDE w:val="0"/>
      <w:autoSpaceDN w:val="0"/>
      <w:adjustRightInd w:val="0"/>
    </w:pPr>
    <w:rPr>
      <w:rFonts w:ascii="Times New Roman" w:hAnsi="Times New Roman"/>
      <w:sz w:val="24"/>
      <w:lang w:eastAsia="zh-CN"/>
    </w:rPr>
  </w:style>
  <w:style w:type="paragraph" w:customStyle="1" w:styleId="BodyText30">
    <w:name w:val="Body Text3"/>
    <w:basedOn w:val="Normal"/>
    <w:rsid w:val="00EE289F"/>
    <w:pPr>
      <w:autoSpaceDE w:val="0"/>
      <w:autoSpaceDN w:val="0"/>
      <w:adjustRightInd w:val="0"/>
      <w:spacing w:line="240" w:lineRule="exact"/>
      <w:jc w:val="both"/>
    </w:pPr>
    <w:rPr>
      <w:rFonts w:ascii="Times New Roman" w:eastAsia="華康中明體(P)" w:hAnsi="Times New Roman"/>
      <w:kern w:val="20"/>
      <w:szCs w:val="20"/>
      <w:lang w:val="en-US" w:eastAsia="zh-CN"/>
    </w:rPr>
  </w:style>
  <w:style w:type="character" w:customStyle="1" w:styleId="BodyTextChar">
    <w:name w:val="Body Text Char"/>
    <w:basedOn w:val="DefaultParagraphFont"/>
    <w:link w:val="BodyText"/>
    <w:rsid w:val="00EB200E"/>
    <w:rPr>
      <w:rFonts w:ascii="Univers (W1)" w:hAnsi="Univers (W1)"/>
      <w:lang w:val="en-GB"/>
    </w:rPr>
  </w:style>
  <w:style w:type="character" w:customStyle="1" w:styleId="Heading3Char">
    <w:name w:val="Heading 3 Char"/>
    <w:aliases w:val="Niveau 1 1 1 Char"/>
    <w:basedOn w:val="DefaultParagraphFont"/>
    <w:link w:val="Heading3"/>
    <w:rsid w:val="00BA2020"/>
    <w:rPr>
      <w:rFonts w:ascii="Univers" w:hAnsi="Univers"/>
      <w:b/>
      <w:lang w:val="en-GB"/>
    </w:rPr>
  </w:style>
  <w:style w:type="character" w:customStyle="1" w:styleId="BodyTextIndent2Char">
    <w:name w:val="Body Text Indent 2 Char"/>
    <w:link w:val="BodyTextIndent2"/>
    <w:rsid w:val="00F766F7"/>
    <w:rPr>
      <w:rFonts w:ascii="Univers" w:hAnsi="Univers"/>
      <w:sz w:val="22"/>
      <w:lang w:val="en-GB"/>
    </w:rPr>
  </w:style>
  <w:style w:type="character" w:styleId="UnresolvedMention">
    <w:name w:val="Unresolved Mention"/>
    <w:basedOn w:val="DefaultParagraphFont"/>
    <w:uiPriority w:val="99"/>
    <w:semiHidden/>
    <w:unhideWhenUsed/>
    <w:rsid w:val="00414361"/>
    <w:rPr>
      <w:color w:val="605E5C"/>
      <w:shd w:val="clear" w:color="auto" w:fill="E1DFDD"/>
    </w:rPr>
  </w:style>
  <w:style w:type="character" w:customStyle="1" w:styleId="BodyTextIndentChar">
    <w:name w:val="Body Text Indent Char"/>
    <w:basedOn w:val="DefaultParagraphFont"/>
    <w:link w:val="BodyTextIndent"/>
    <w:rsid w:val="00206AC4"/>
    <w:rPr>
      <w:rFonts w:ascii="Arial" w:hAnsi="Arial"/>
      <w:szCs w:val="24"/>
      <w:lang w:val="en-GB"/>
    </w:rPr>
  </w:style>
  <w:style w:type="character" w:customStyle="1" w:styleId="Heading2Char">
    <w:name w:val="Heading 2 Char"/>
    <w:aliases w:val="Niveau 1 1 Char,2 Char,Body3 Char,Text3 Char"/>
    <w:basedOn w:val="DefaultParagraphFont"/>
    <w:link w:val="Heading2"/>
    <w:rsid w:val="00D05CFA"/>
    <w:rPr>
      <w:rFonts w:ascii="Univers" w:hAnsi="Univers"/>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59">
      <w:bodyDiv w:val="1"/>
      <w:marLeft w:val="0"/>
      <w:marRight w:val="0"/>
      <w:marTop w:val="0"/>
      <w:marBottom w:val="0"/>
      <w:divBdr>
        <w:top w:val="none" w:sz="0" w:space="0" w:color="auto"/>
        <w:left w:val="none" w:sz="0" w:space="0" w:color="auto"/>
        <w:bottom w:val="none" w:sz="0" w:space="0" w:color="auto"/>
        <w:right w:val="none" w:sz="0" w:space="0" w:color="auto"/>
      </w:divBdr>
    </w:div>
    <w:div w:id="8722509">
      <w:bodyDiv w:val="1"/>
      <w:marLeft w:val="0"/>
      <w:marRight w:val="0"/>
      <w:marTop w:val="0"/>
      <w:marBottom w:val="0"/>
      <w:divBdr>
        <w:top w:val="none" w:sz="0" w:space="0" w:color="auto"/>
        <w:left w:val="none" w:sz="0" w:space="0" w:color="auto"/>
        <w:bottom w:val="none" w:sz="0" w:space="0" w:color="auto"/>
        <w:right w:val="none" w:sz="0" w:space="0" w:color="auto"/>
      </w:divBdr>
    </w:div>
    <w:div w:id="49960861">
      <w:bodyDiv w:val="1"/>
      <w:marLeft w:val="0"/>
      <w:marRight w:val="0"/>
      <w:marTop w:val="0"/>
      <w:marBottom w:val="0"/>
      <w:divBdr>
        <w:top w:val="none" w:sz="0" w:space="0" w:color="auto"/>
        <w:left w:val="none" w:sz="0" w:space="0" w:color="auto"/>
        <w:bottom w:val="none" w:sz="0" w:space="0" w:color="auto"/>
        <w:right w:val="none" w:sz="0" w:space="0" w:color="auto"/>
      </w:divBdr>
    </w:div>
    <w:div w:id="142433407">
      <w:bodyDiv w:val="1"/>
      <w:marLeft w:val="0"/>
      <w:marRight w:val="0"/>
      <w:marTop w:val="0"/>
      <w:marBottom w:val="0"/>
      <w:divBdr>
        <w:top w:val="none" w:sz="0" w:space="0" w:color="auto"/>
        <w:left w:val="none" w:sz="0" w:space="0" w:color="auto"/>
        <w:bottom w:val="none" w:sz="0" w:space="0" w:color="auto"/>
        <w:right w:val="none" w:sz="0" w:space="0" w:color="auto"/>
      </w:divBdr>
    </w:div>
    <w:div w:id="291789945">
      <w:bodyDiv w:val="1"/>
      <w:marLeft w:val="0"/>
      <w:marRight w:val="0"/>
      <w:marTop w:val="0"/>
      <w:marBottom w:val="0"/>
      <w:divBdr>
        <w:top w:val="none" w:sz="0" w:space="0" w:color="auto"/>
        <w:left w:val="none" w:sz="0" w:space="0" w:color="auto"/>
        <w:bottom w:val="none" w:sz="0" w:space="0" w:color="auto"/>
        <w:right w:val="none" w:sz="0" w:space="0" w:color="auto"/>
      </w:divBdr>
    </w:div>
    <w:div w:id="408965667">
      <w:bodyDiv w:val="1"/>
      <w:marLeft w:val="0"/>
      <w:marRight w:val="0"/>
      <w:marTop w:val="0"/>
      <w:marBottom w:val="0"/>
      <w:divBdr>
        <w:top w:val="none" w:sz="0" w:space="0" w:color="auto"/>
        <w:left w:val="none" w:sz="0" w:space="0" w:color="auto"/>
        <w:bottom w:val="none" w:sz="0" w:space="0" w:color="auto"/>
        <w:right w:val="none" w:sz="0" w:space="0" w:color="auto"/>
      </w:divBdr>
    </w:div>
    <w:div w:id="487596944">
      <w:bodyDiv w:val="1"/>
      <w:marLeft w:val="0"/>
      <w:marRight w:val="0"/>
      <w:marTop w:val="0"/>
      <w:marBottom w:val="0"/>
      <w:divBdr>
        <w:top w:val="none" w:sz="0" w:space="0" w:color="auto"/>
        <w:left w:val="none" w:sz="0" w:space="0" w:color="auto"/>
        <w:bottom w:val="none" w:sz="0" w:space="0" w:color="auto"/>
        <w:right w:val="none" w:sz="0" w:space="0" w:color="auto"/>
      </w:divBdr>
    </w:div>
    <w:div w:id="507521592">
      <w:bodyDiv w:val="1"/>
      <w:marLeft w:val="0"/>
      <w:marRight w:val="0"/>
      <w:marTop w:val="0"/>
      <w:marBottom w:val="0"/>
      <w:divBdr>
        <w:top w:val="none" w:sz="0" w:space="0" w:color="auto"/>
        <w:left w:val="none" w:sz="0" w:space="0" w:color="auto"/>
        <w:bottom w:val="none" w:sz="0" w:space="0" w:color="auto"/>
        <w:right w:val="none" w:sz="0" w:space="0" w:color="auto"/>
      </w:divBdr>
    </w:div>
    <w:div w:id="706025838">
      <w:bodyDiv w:val="1"/>
      <w:marLeft w:val="0"/>
      <w:marRight w:val="0"/>
      <w:marTop w:val="0"/>
      <w:marBottom w:val="0"/>
      <w:divBdr>
        <w:top w:val="none" w:sz="0" w:space="0" w:color="auto"/>
        <w:left w:val="none" w:sz="0" w:space="0" w:color="auto"/>
        <w:bottom w:val="none" w:sz="0" w:space="0" w:color="auto"/>
        <w:right w:val="none" w:sz="0" w:space="0" w:color="auto"/>
      </w:divBdr>
    </w:div>
    <w:div w:id="1000280285">
      <w:bodyDiv w:val="1"/>
      <w:marLeft w:val="0"/>
      <w:marRight w:val="0"/>
      <w:marTop w:val="0"/>
      <w:marBottom w:val="0"/>
      <w:divBdr>
        <w:top w:val="none" w:sz="0" w:space="0" w:color="auto"/>
        <w:left w:val="none" w:sz="0" w:space="0" w:color="auto"/>
        <w:bottom w:val="none" w:sz="0" w:space="0" w:color="auto"/>
        <w:right w:val="none" w:sz="0" w:space="0" w:color="auto"/>
      </w:divBdr>
    </w:div>
    <w:div w:id="1028019388">
      <w:bodyDiv w:val="1"/>
      <w:marLeft w:val="0"/>
      <w:marRight w:val="0"/>
      <w:marTop w:val="0"/>
      <w:marBottom w:val="0"/>
      <w:divBdr>
        <w:top w:val="none" w:sz="0" w:space="0" w:color="auto"/>
        <w:left w:val="none" w:sz="0" w:space="0" w:color="auto"/>
        <w:bottom w:val="none" w:sz="0" w:space="0" w:color="auto"/>
        <w:right w:val="none" w:sz="0" w:space="0" w:color="auto"/>
      </w:divBdr>
    </w:div>
    <w:div w:id="1061829546">
      <w:bodyDiv w:val="1"/>
      <w:marLeft w:val="0"/>
      <w:marRight w:val="0"/>
      <w:marTop w:val="0"/>
      <w:marBottom w:val="0"/>
      <w:divBdr>
        <w:top w:val="none" w:sz="0" w:space="0" w:color="auto"/>
        <w:left w:val="none" w:sz="0" w:space="0" w:color="auto"/>
        <w:bottom w:val="none" w:sz="0" w:space="0" w:color="auto"/>
        <w:right w:val="none" w:sz="0" w:space="0" w:color="auto"/>
      </w:divBdr>
    </w:div>
    <w:div w:id="1068697642">
      <w:bodyDiv w:val="1"/>
      <w:marLeft w:val="0"/>
      <w:marRight w:val="0"/>
      <w:marTop w:val="0"/>
      <w:marBottom w:val="0"/>
      <w:divBdr>
        <w:top w:val="none" w:sz="0" w:space="0" w:color="auto"/>
        <w:left w:val="none" w:sz="0" w:space="0" w:color="auto"/>
        <w:bottom w:val="none" w:sz="0" w:space="0" w:color="auto"/>
        <w:right w:val="none" w:sz="0" w:space="0" w:color="auto"/>
      </w:divBdr>
    </w:div>
    <w:div w:id="1085155013">
      <w:bodyDiv w:val="1"/>
      <w:marLeft w:val="0"/>
      <w:marRight w:val="0"/>
      <w:marTop w:val="0"/>
      <w:marBottom w:val="0"/>
      <w:divBdr>
        <w:top w:val="none" w:sz="0" w:space="0" w:color="auto"/>
        <w:left w:val="none" w:sz="0" w:space="0" w:color="auto"/>
        <w:bottom w:val="none" w:sz="0" w:space="0" w:color="auto"/>
        <w:right w:val="none" w:sz="0" w:space="0" w:color="auto"/>
      </w:divBdr>
    </w:div>
    <w:div w:id="1127435181">
      <w:bodyDiv w:val="1"/>
      <w:marLeft w:val="0"/>
      <w:marRight w:val="0"/>
      <w:marTop w:val="0"/>
      <w:marBottom w:val="0"/>
      <w:divBdr>
        <w:top w:val="none" w:sz="0" w:space="0" w:color="auto"/>
        <w:left w:val="none" w:sz="0" w:space="0" w:color="auto"/>
        <w:bottom w:val="none" w:sz="0" w:space="0" w:color="auto"/>
        <w:right w:val="none" w:sz="0" w:space="0" w:color="auto"/>
      </w:divBdr>
    </w:div>
    <w:div w:id="1145201965">
      <w:bodyDiv w:val="1"/>
      <w:marLeft w:val="0"/>
      <w:marRight w:val="0"/>
      <w:marTop w:val="0"/>
      <w:marBottom w:val="0"/>
      <w:divBdr>
        <w:top w:val="none" w:sz="0" w:space="0" w:color="auto"/>
        <w:left w:val="none" w:sz="0" w:space="0" w:color="auto"/>
        <w:bottom w:val="none" w:sz="0" w:space="0" w:color="auto"/>
        <w:right w:val="none" w:sz="0" w:space="0" w:color="auto"/>
      </w:divBdr>
    </w:div>
    <w:div w:id="1165894550">
      <w:bodyDiv w:val="1"/>
      <w:marLeft w:val="0"/>
      <w:marRight w:val="0"/>
      <w:marTop w:val="0"/>
      <w:marBottom w:val="0"/>
      <w:divBdr>
        <w:top w:val="none" w:sz="0" w:space="0" w:color="auto"/>
        <w:left w:val="none" w:sz="0" w:space="0" w:color="auto"/>
        <w:bottom w:val="none" w:sz="0" w:space="0" w:color="auto"/>
        <w:right w:val="none" w:sz="0" w:space="0" w:color="auto"/>
      </w:divBdr>
    </w:div>
    <w:div w:id="1332220445">
      <w:bodyDiv w:val="1"/>
      <w:marLeft w:val="0"/>
      <w:marRight w:val="0"/>
      <w:marTop w:val="0"/>
      <w:marBottom w:val="0"/>
      <w:divBdr>
        <w:top w:val="none" w:sz="0" w:space="0" w:color="auto"/>
        <w:left w:val="none" w:sz="0" w:space="0" w:color="auto"/>
        <w:bottom w:val="none" w:sz="0" w:space="0" w:color="auto"/>
        <w:right w:val="none" w:sz="0" w:space="0" w:color="auto"/>
      </w:divBdr>
    </w:div>
    <w:div w:id="1338196440">
      <w:bodyDiv w:val="1"/>
      <w:marLeft w:val="0"/>
      <w:marRight w:val="0"/>
      <w:marTop w:val="0"/>
      <w:marBottom w:val="0"/>
      <w:divBdr>
        <w:top w:val="none" w:sz="0" w:space="0" w:color="auto"/>
        <w:left w:val="none" w:sz="0" w:space="0" w:color="auto"/>
        <w:bottom w:val="none" w:sz="0" w:space="0" w:color="auto"/>
        <w:right w:val="none" w:sz="0" w:space="0" w:color="auto"/>
      </w:divBdr>
    </w:div>
    <w:div w:id="1412309608">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
    <w:div w:id="1443261131">
      <w:bodyDiv w:val="1"/>
      <w:marLeft w:val="0"/>
      <w:marRight w:val="0"/>
      <w:marTop w:val="0"/>
      <w:marBottom w:val="0"/>
      <w:divBdr>
        <w:top w:val="none" w:sz="0" w:space="0" w:color="auto"/>
        <w:left w:val="none" w:sz="0" w:space="0" w:color="auto"/>
        <w:bottom w:val="none" w:sz="0" w:space="0" w:color="auto"/>
        <w:right w:val="none" w:sz="0" w:space="0" w:color="auto"/>
      </w:divBdr>
    </w:div>
    <w:div w:id="1529369789">
      <w:bodyDiv w:val="1"/>
      <w:marLeft w:val="0"/>
      <w:marRight w:val="0"/>
      <w:marTop w:val="0"/>
      <w:marBottom w:val="0"/>
      <w:divBdr>
        <w:top w:val="none" w:sz="0" w:space="0" w:color="auto"/>
        <w:left w:val="none" w:sz="0" w:space="0" w:color="auto"/>
        <w:bottom w:val="none" w:sz="0" w:space="0" w:color="auto"/>
        <w:right w:val="none" w:sz="0" w:space="0" w:color="auto"/>
      </w:divBdr>
    </w:div>
    <w:div w:id="1559173505">
      <w:bodyDiv w:val="1"/>
      <w:marLeft w:val="0"/>
      <w:marRight w:val="0"/>
      <w:marTop w:val="0"/>
      <w:marBottom w:val="0"/>
      <w:divBdr>
        <w:top w:val="none" w:sz="0" w:space="0" w:color="auto"/>
        <w:left w:val="none" w:sz="0" w:space="0" w:color="auto"/>
        <w:bottom w:val="none" w:sz="0" w:space="0" w:color="auto"/>
        <w:right w:val="none" w:sz="0" w:space="0" w:color="auto"/>
      </w:divBdr>
    </w:div>
    <w:div w:id="1568371336">
      <w:bodyDiv w:val="1"/>
      <w:marLeft w:val="0"/>
      <w:marRight w:val="0"/>
      <w:marTop w:val="0"/>
      <w:marBottom w:val="0"/>
      <w:divBdr>
        <w:top w:val="none" w:sz="0" w:space="0" w:color="auto"/>
        <w:left w:val="none" w:sz="0" w:space="0" w:color="auto"/>
        <w:bottom w:val="none" w:sz="0" w:space="0" w:color="auto"/>
        <w:right w:val="none" w:sz="0" w:space="0" w:color="auto"/>
      </w:divBdr>
    </w:div>
    <w:div w:id="1653094971">
      <w:bodyDiv w:val="1"/>
      <w:marLeft w:val="0"/>
      <w:marRight w:val="0"/>
      <w:marTop w:val="0"/>
      <w:marBottom w:val="0"/>
      <w:divBdr>
        <w:top w:val="none" w:sz="0" w:space="0" w:color="auto"/>
        <w:left w:val="none" w:sz="0" w:space="0" w:color="auto"/>
        <w:bottom w:val="none" w:sz="0" w:space="0" w:color="auto"/>
        <w:right w:val="none" w:sz="0" w:space="0" w:color="auto"/>
      </w:divBdr>
    </w:div>
    <w:div w:id="1737506181">
      <w:bodyDiv w:val="1"/>
      <w:marLeft w:val="0"/>
      <w:marRight w:val="0"/>
      <w:marTop w:val="0"/>
      <w:marBottom w:val="0"/>
      <w:divBdr>
        <w:top w:val="none" w:sz="0" w:space="0" w:color="auto"/>
        <w:left w:val="none" w:sz="0" w:space="0" w:color="auto"/>
        <w:bottom w:val="none" w:sz="0" w:space="0" w:color="auto"/>
        <w:right w:val="none" w:sz="0" w:space="0" w:color="auto"/>
      </w:divBdr>
    </w:div>
    <w:div w:id="1763455724">
      <w:bodyDiv w:val="1"/>
      <w:marLeft w:val="0"/>
      <w:marRight w:val="0"/>
      <w:marTop w:val="0"/>
      <w:marBottom w:val="0"/>
      <w:divBdr>
        <w:top w:val="none" w:sz="0" w:space="0" w:color="auto"/>
        <w:left w:val="none" w:sz="0" w:space="0" w:color="auto"/>
        <w:bottom w:val="none" w:sz="0" w:space="0" w:color="auto"/>
        <w:right w:val="none" w:sz="0" w:space="0" w:color="auto"/>
      </w:divBdr>
    </w:div>
    <w:div w:id="1838766915">
      <w:bodyDiv w:val="1"/>
      <w:marLeft w:val="0"/>
      <w:marRight w:val="0"/>
      <w:marTop w:val="0"/>
      <w:marBottom w:val="0"/>
      <w:divBdr>
        <w:top w:val="none" w:sz="0" w:space="0" w:color="auto"/>
        <w:left w:val="none" w:sz="0" w:space="0" w:color="auto"/>
        <w:bottom w:val="none" w:sz="0" w:space="0" w:color="auto"/>
        <w:right w:val="none" w:sz="0" w:space="0" w:color="auto"/>
      </w:divBdr>
    </w:div>
    <w:div w:id="1949696088">
      <w:bodyDiv w:val="1"/>
      <w:marLeft w:val="0"/>
      <w:marRight w:val="0"/>
      <w:marTop w:val="0"/>
      <w:marBottom w:val="0"/>
      <w:divBdr>
        <w:top w:val="none" w:sz="0" w:space="0" w:color="auto"/>
        <w:left w:val="none" w:sz="0" w:space="0" w:color="auto"/>
        <w:bottom w:val="none" w:sz="0" w:space="0" w:color="auto"/>
        <w:right w:val="none" w:sz="0" w:space="0" w:color="auto"/>
      </w:divBdr>
    </w:div>
    <w:div w:id="1997803850">
      <w:bodyDiv w:val="1"/>
      <w:marLeft w:val="0"/>
      <w:marRight w:val="0"/>
      <w:marTop w:val="0"/>
      <w:marBottom w:val="0"/>
      <w:divBdr>
        <w:top w:val="none" w:sz="0" w:space="0" w:color="auto"/>
        <w:left w:val="none" w:sz="0" w:space="0" w:color="auto"/>
        <w:bottom w:val="none" w:sz="0" w:space="0" w:color="auto"/>
        <w:right w:val="none" w:sz="0" w:space="0" w:color="auto"/>
      </w:divBdr>
    </w:div>
    <w:div w:id="2029406708">
      <w:bodyDiv w:val="1"/>
      <w:marLeft w:val="0"/>
      <w:marRight w:val="0"/>
      <w:marTop w:val="0"/>
      <w:marBottom w:val="0"/>
      <w:divBdr>
        <w:top w:val="none" w:sz="0" w:space="0" w:color="auto"/>
        <w:left w:val="none" w:sz="0" w:space="0" w:color="auto"/>
        <w:bottom w:val="none" w:sz="0" w:space="0" w:color="auto"/>
        <w:right w:val="none" w:sz="0" w:space="0" w:color="auto"/>
      </w:divBdr>
    </w:div>
    <w:div w:id="20467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c.socgen.com" TargetMode="External"/><Relationship Id="rId13" Type="http://schemas.openxmlformats.org/officeDocument/2006/relationships/image" Target="cid:image002.png@01D9DB3B.D26B96C0"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gx.co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sg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3.png@01D9DB3B.D26B96C0"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cid:image004.png@01D9DB3B.D26B96C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sgx.com/securities/prospectus-circulars-off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C8BA-89B8-4FF6-87AD-B2F84C70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26119</Words>
  <Characters>148879</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2025-04-28T09:53:00Z</dcterms:created>
  <dcterms:modified xsi:type="dcterms:W3CDTF">2026-04-21T09:59:00Z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GEAAO+/T9t20xwkCIPYzePeYwvCl2KFvvE6ECIb7Zg17gHrxddD9JCGDPILxGbDEZg6iPfPeKNSEHafn
2SeW4I6urkFlCvWdVTkmKH39KaME23GPtLHNBLo3hmMVZslsPax0EfCQnjonwoR4o69B6vz7yCHB
PLqSqYdvRnekvlNwYikYn7GYjLcvAmFAFeoPCNawNb850BngnGP9kQ1qizHhZzia3EcR6Uym7m9l
Wc+8Vt2htPL3U+9+M</vt:lpwstr>
  </property>
  <property fmtid="{D5CDD505-2E9C-101B-9397-08002B2CF9AE}" pid="3" name="MAIL_MSG_ID2">
    <vt:lpwstr>j3gBR05e0F1</vt:lpwstr>
  </property>
  <property fmtid="{D5CDD505-2E9C-101B-9397-08002B2CF9AE}" pid="4" name="RESPONSE_SENDER_NAME">
    <vt:lpwstr>gAAAdya76B99d4hLGUR1rQ+8TxTv0GGEPdix</vt:lpwstr>
  </property>
  <property fmtid="{D5CDD505-2E9C-101B-9397-08002B2CF9AE}" pid="5" name="EMAIL_OWNER_ADDRESS">
    <vt:lpwstr>ABAAMV6B7YzPbaJ9bMbhABvo8c9/SAe/ce2Bd4Irh22Z8mMGXHAnEZRuOSHKEDuZi7WL</vt:lpwstr>
  </property>
  <property fmtid="{D5CDD505-2E9C-101B-9397-08002B2CF9AE}" pid="6" name="MSIP_Label_f7d482f2-055e-4ae7-8b66-cb9102eb16f2_Enabled">
    <vt:lpwstr>true</vt:lpwstr>
  </property>
  <property fmtid="{D5CDD505-2E9C-101B-9397-08002B2CF9AE}" pid="7" name="MSIP_Label_f7d482f2-055e-4ae7-8b66-cb9102eb16f2_SetDate">
    <vt:lpwstr>2023-07-01T06:17:31Z</vt:lpwstr>
  </property>
  <property fmtid="{D5CDD505-2E9C-101B-9397-08002B2CF9AE}" pid="8" name="MSIP_Label_f7d482f2-055e-4ae7-8b66-cb9102eb16f2_Method">
    <vt:lpwstr>Privileged</vt:lpwstr>
  </property>
  <property fmtid="{D5CDD505-2E9C-101B-9397-08002B2CF9AE}" pid="9" name="MSIP_Label_f7d482f2-055e-4ae7-8b66-cb9102eb16f2_Name">
    <vt:lpwstr>General</vt:lpwstr>
  </property>
  <property fmtid="{D5CDD505-2E9C-101B-9397-08002B2CF9AE}" pid="10" name="MSIP_Label_f7d482f2-055e-4ae7-8b66-cb9102eb16f2_SiteId">
    <vt:lpwstr>372e40c7-14cb-449d-8baa-ae4065acf6fe</vt:lpwstr>
  </property>
  <property fmtid="{D5CDD505-2E9C-101B-9397-08002B2CF9AE}" pid="11" name="MSIP_Label_f7d482f2-055e-4ae7-8b66-cb9102eb16f2_ActionId">
    <vt:lpwstr>d43ad8b2-102d-45b8-877d-04899b09b72e</vt:lpwstr>
  </property>
  <property fmtid="{D5CDD505-2E9C-101B-9397-08002B2CF9AE}" pid="12" name="MSIP_Label_f7d482f2-055e-4ae7-8b66-cb9102eb16f2_ContentBits">
    <vt:lpwstr>0</vt:lpwstr>
  </property>
</Properties>
</file>