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DB36D" w14:textId="77777777" w:rsidR="00C2475E" w:rsidRPr="000D7A90" w:rsidRDefault="0066328A" w:rsidP="00EF6E1C">
      <w:pPr>
        <w:autoSpaceDE w:val="0"/>
        <w:autoSpaceDN w:val="0"/>
        <w:adjustRightInd w:val="0"/>
        <w:spacing w:after="0" w:line="240" w:lineRule="auto"/>
        <w:rPr>
          <w:rFonts w:ascii="Times New Roman" w:hAnsi="Times New Roman"/>
          <w:b/>
          <w:sz w:val="10"/>
          <w:szCs w:val="10"/>
        </w:rPr>
      </w:pPr>
      <w:r>
        <w:rPr>
          <w:rFonts w:ascii="Times New Roman" w:hAnsi="Times New Roman"/>
          <w:b/>
          <w:caps/>
          <w:color w:val="000000"/>
        </w:rPr>
        <w:t xml:space="preserve">                                                                                    </w:t>
      </w:r>
      <w:r w:rsidR="00C2475E" w:rsidRPr="000D7A90">
        <w:rPr>
          <w:rFonts w:ascii="Times New Roman" w:hAnsi="Times New Roman"/>
          <w:b/>
          <w:caps/>
          <w:color w:val="000000"/>
        </w:rPr>
        <w:t>Key Terms Sheet</w:t>
      </w:r>
      <w:r w:rsidR="00FB6257" w:rsidRPr="000D7A90">
        <w:rPr>
          <w:rFonts w:ascii="Times New Roman" w:hAnsi="Times New Roman"/>
          <w:b/>
          <w:lang w:val="en-CA"/>
        </w:rPr>
        <w:t xml:space="preserve"> </w:t>
      </w:r>
      <w:r w:rsidRPr="000D7A90">
        <w:rPr>
          <w:rFonts w:ascii="Times New Roman" w:hAnsi="Times New Roman"/>
          <w:b/>
          <w:lang w:val="en-CA"/>
        </w:rPr>
        <w:t xml:space="preserve">                     </w:t>
      </w:r>
      <w:r w:rsidR="00C37EA3" w:rsidRPr="000D7A90">
        <w:t xml:space="preserve">       </w:t>
      </w:r>
      <w:r w:rsidR="00EF6E1C" w:rsidRPr="000D7A90">
        <w:t>27 February 2025</w:t>
      </w:r>
    </w:p>
    <w:p w14:paraId="0B6927AE" w14:textId="77777777" w:rsidR="00A81819" w:rsidRPr="000D7A90" w:rsidRDefault="00A81819" w:rsidP="007158A6">
      <w:pPr>
        <w:spacing w:after="0" w:line="240" w:lineRule="auto"/>
        <w:jc w:val="center"/>
        <w:rPr>
          <w:rFonts w:ascii="Times New Roman" w:hAnsi="Times New Roman"/>
          <w:b/>
          <w:sz w:val="10"/>
          <w:szCs w:val="10"/>
          <w:lang w:val="en-CA"/>
        </w:rPr>
      </w:pPr>
    </w:p>
    <w:p w14:paraId="5C23F1D6" w14:textId="77777777" w:rsidR="00A81819" w:rsidRPr="000D7A90" w:rsidRDefault="00A81819" w:rsidP="007158A6">
      <w:pPr>
        <w:spacing w:after="0" w:line="240" w:lineRule="auto"/>
        <w:jc w:val="center"/>
        <w:rPr>
          <w:rFonts w:ascii="Times New Roman" w:hAnsi="Times New Roman"/>
          <w:b/>
          <w:sz w:val="10"/>
          <w:szCs w:val="10"/>
          <w:lang w:val="en-CA"/>
        </w:rPr>
      </w:pPr>
    </w:p>
    <w:p w14:paraId="6A017E59" w14:textId="77777777" w:rsidR="00C2475E" w:rsidRPr="000D7A90" w:rsidRDefault="00EB2213" w:rsidP="007158A6">
      <w:pPr>
        <w:spacing w:after="0" w:line="240" w:lineRule="auto"/>
        <w:jc w:val="center"/>
        <w:rPr>
          <w:rFonts w:ascii="Times New Roman" w:hAnsi="Times New Roman"/>
          <w:b/>
          <w:lang w:val="en-CA"/>
        </w:rPr>
      </w:pPr>
      <w:r w:rsidRPr="000D7A90">
        <w:rPr>
          <w:rFonts w:ascii="Times New Roman" w:hAnsi="Times New Roman"/>
          <w:b/>
          <w:noProof/>
          <w:lang w:val="en-US" w:eastAsia="en-US"/>
        </w:rPr>
        <w:drawing>
          <wp:inline distT="0" distB="0" distL="0" distR="0" wp14:anchorId="61D32DE1" wp14:editId="7D9402ED">
            <wp:extent cx="2004695" cy="4394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004695" cy="439420"/>
                    </a:xfrm>
                    <a:prstGeom prst="rect">
                      <a:avLst/>
                    </a:prstGeom>
                    <a:noFill/>
                    <a:ln w="9525">
                      <a:noFill/>
                      <a:miter lim="800000"/>
                      <a:headEnd/>
                      <a:tailEnd/>
                    </a:ln>
                  </pic:spPr>
                </pic:pic>
              </a:graphicData>
            </a:graphic>
          </wp:inline>
        </w:drawing>
      </w:r>
    </w:p>
    <w:p w14:paraId="565913D7" w14:textId="77777777" w:rsidR="00C2475E" w:rsidRPr="000D7A90" w:rsidRDefault="00F37035" w:rsidP="007158A6">
      <w:pPr>
        <w:spacing w:after="0" w:line="240" w:lineRule="auto"/>
        <w:jc w:val="center"/>
        <w:rPr>
          <w:rFonts w:ascii="Times New Roman" w:hAnsi="Times New Roman"/>
          <w:b/>
          <w:lang w:val="en-CA"/>
        </w:rPr>
      </w:pPr>
      <w:r w:rsidRPr="000D7A90">
        <w:rPr>
          <w:rFonts w:ascii="Times New Roman" w:hAnsi="Times New Roman"/>
          <w:b/>
          <w:sz w:val="24"/>
          <w:szCs w:val="24"/>
          <w:lang w:val="en-CA"/>
        </w:rPr>
        <w:t>SG Issuer</w:t>
      </w:r>
    </w:p>
    <w:p w14:paraId="325B1472" w14:textId="77777777" w:rsidR="00C2475E" w:rsidRPr="000D7A90" w:rsidRDefault="00C2475E" w:rsidP="00C2475E">
      <w:pPr>
        <w:spacing w:after="0" w:line="240" w:lineRule="auto"/>
        <w:rPr>
          <w:rFonts w:ascii="Times New Roman" w:hAnsi="Times New Roman"/>
          <w:b/>
          <w:sz w:val="10"/>
          <w:szCs w:val="10"/>
          <w:lang w:val="en-CA"/>
        </w:rPr>
      </w:pPr>
    </w:p>
    <w:p w14:paraId="6B2C1E1F" w14:textId="77777777" w:rsidR="005C2717" w:rsidRPr="000D7A90" w:rsidRDefault="001D1267" w:rsidP="007158A6">
      <w:pPr>
        <w:spacing w:after="0" w:line="240" w:lineRule="auto"/>
        <w:jc w:val="center"/>
        <w:rPr>
          <w:rFonts w:ascii="Times New Roman" w:hAnsi="Times New Roman"/>
          <w:b/>
          <w:lang w:val="en-CA"/>
        </w:rPr>
      </w:pPr>
      <w:r>
        <w:rPr>
          <w:rFonts w:ascii="Times New Roman" w:hAnsi="Times New Roman"/>
          <w:b/>
          <w:lang w:val="en-CA"/>
        </w:rPr>
        <w:t xml:space="preserve">Further Issue of </w:t>
      </w:r>
      <w:r w:rsidR="00884E0F" w:rsidRPr="00884E0F">
        <w:rPr>
          <w:rFonts w:ascii="Times New Roman" w:hAnsi="Times New Roman"/>
          <w:b/>
          <w:lang w:val="en-CA"/>
        </w:rPr>
        <w:t>35,000,000</w:t>
      </w:r>
      <w:r w:rsidR="007158A6" w:rsidRPr="000D7A90">
        <w:rPr>
          <w:rFonts w:ascii="Times New Roman" w:hAnsi="Times New Roman"/>
          <w:b/>
          <w:lang w:val="en-CA"/>
        </w:rPr>
        <w:t xml:space="preserve"> European Style </w:t>
      </w:r>
      <w:r w:rsidR="00D9124C" w:rsidRPr="000D7A90">
        <w:rPr>
          <w:rFonts w:ascii="Times New Roman" w:hAnsi="Times New Roman"/>
          <w:b/>
          <w:lang w:val="en-CA"/>
        </w:rPr>
        <w:t>Cash Settled</w:t>
      </w:r>
      <w:r w:rsidR="00826A97" w:rsidRPr="000D7A90">
        <w:rPr>
          <w:rFonts w:ascii="Times New Roman" w:hAnsi="Times New Roman"/>
          <w:b/>
          <w:lang w:val="en-CA"/>
        </w:rPr>
        <w:t xml:space="preserve"> </w:t>
      </w:r>
      <w:r w:rsidR="004D0D95" w:rsidRPr="000D7A90">
        <w:rPr>
          <w:rFonts w:ascii="Times New Roman" w:hAnsi="Times New Roman"/>
          <w:b/>
          <w:lang w:val="en-CA"/>
        </w:rPr>
        <w:t>S</w:t>
      </w:r>
      <w:r w:rsidR="0095658F" w:rsidRPr="000D7A90">
        <w:rPr>
          <w:rFonts w:ascii="Times New Roman" w:hAnsi="Times New Roman"/>
          <w:b/>
          <w:lang w:val="en-CA"/>
        </w:rPr>
        <w:t>hort</w:t>
      </w:r>
      <w:r w:rsidR="00826A97" w:rsidRPr="000D7A90">
        <w:rPr>
          <w:rFonts w:ascii="Times New Roman" w:hAnsi="Times New Roman"/>
          <w:b/>
          <w:lang w:val="en-CA"/>
        </w:rPr>
        <w:t xml:space="preserve"> </w:t>
      </w:r>
      <w:r w:rsidR="00F37035" w:rsidRPr="000D7A90">
        <w:rPr>
          <w:rFonts w:ascii="Times New Roman" w:hAnsi="Times New Roman"/>
          <w:b/>
          <w:lang w:val="en-CA"/>
        </w:rPr>
        <w:t>Certificate</w:t>
      </w:r>
      <w:r w:rsidR="007A675A" w:rsidRPr="000D7A90">
        <w:rPr>
          <w:rFonts w:ascii="Times New Roman" w:hAnsi="Times New Roman"/>
          <w:b/>
          <w:lang w:val="en-CA"/>
        </w:rPr>
        <w:t>s</w:t>
      </w:r>
      <w:r w:rsidR="007158A6" w:rsidRPr="000D7A90">
        <w:rPr>
          <w:rFonts w:ascii="Times New Roman" w:hAnsi="Times New Roman"/>
          <w:b/>
          <w:lang w:val="en-CA"/>
        </w:rPr>
        <w:t xml:space="preserve"> expiring on </w:t>
      </w:r>
      <w:r w:rsidR="0095658F" w:rsidRPr="000D7A90">
        <w:rPr>
          <w:rFonts w:ascii="Times New Roman" w:hAnsi="Times New Roman"/>
          <w:b/>
          <w:lang w:val="en-CA"/>
        </w:rPr>
        <w:t>17 December 2026</w:t>
      </w:r>
      <w:r w:rsidR="00D0422B">
        <w:rPr>
          <w:rFonts w:ascii="Times New Roman" w:hAnsi="Times New Roman"/>
          <w:b/>
          <w:lang w:val="en-CA"/>
        </w:rPr>
        <w:t xml:space="preserve"> </w:t>
      </w:r>
      <w:r w:rsidR="0071203F" w:rsidRPr="000D7A90">
        <w:rPr>
          <w:rFonts w:ascii="Times New Roman" w:hAnsi="Times New Roman"/>
          <w:b/>
          <w:lang w:val="en-CA"/>
        </w:rPr>
        <w:t xml:space="preserve">relating to the </w:t>
      </w:r>
      <w:r w:rsidR="00680F39" w:rsidRPr="000D7A90">
        <w:rPr>
          <w:rFonts w:ascii="Times New Roman" w:hAnsi="Times New Roman"/>
          <w:b/>
          <w:lang w:val="en-CA"/>
        </w:rPr>
        <w:t>Ordinary H shares of BYD Company Limited</w:t>
      </w:r>
      <w:r w:rsidR="00A24E7B" w:rsidRPr="000D7A90">
        <w:rPr>
          <w:rFonts w:ascii="Times New Roman" w:hAnsi="Times New Roman"/>
          <w:b/>
        </w:rPr>
        <w:t xml:space="preserve"> </w:t>
      </w:r>
      <w:r w:rsidR="00A16967" w:rsidRPr="000D7A90">
        <w:rPr>
          <w:rFonts w:ascii="Times New Roman" w:hAnsi="Times New Roman"/>
          <w:b/>
          <w:lang w:val="en-CA"/>
        </w:rPr>
        <w:t xml:space="preserve">with a </w:t>
      </w:r>
      <w:r w:rsidR="008A1A3D" w:rsidRPr="000D7A90">
        <w:rPr>
          <w:rFonts w:ascii="Times New Roman" w:hAnsi="Times New Roman"/>
          <w:b/>
          <w:lang w:val="en-CA"/>
        </w:rPr>
        <w:t>Da</w:t>
      </w:r>
      <w:r w:rsidR="00A16967" w:rsidRPr="000D7A90">
        <w:rPr>
          <w:rFonts w:ascii="Times New Roman" w:hAnsi="Times New Roman"/>
          <w:b/>
          <w:lang w:val="en-CA"/>
        </w:rPr>
        <w:t xml:space="preserve">ily </w:t>
      </w:r>
      <w:r w:rsidR="008A1A3D" w:rsidRPr="000D7A90">
        <w:rPr>
          <w:rFonts w:ascii="Times New Roman" w:hAnsi="Times New Roman"/>
          <w:b/>
          <w:lang w:val="en-CA"/>
        </w:rPr>
        <w:t>L</w:t>
      </w:r>
      <w:r w:rsidR="00A16967" w:rsidRPr="000D7A90">
        <w:rPr>
          <w:rFonts w:ascii="Times New Roman" w:hAnsi="Times New Roman"/>
          <w:b/>
          <w:lang w:val="en-CA"/>
        </w:rPr>
        <w:t xml:space="preserve">everage of </w:t>
      </w:r>
      <w:r w:rsidR="002A6FD0" w:rsidRPr="000D7A90">
        <w:rPr>
          <w:rFonts w:ascii="Times New Roman" w:hAnsi="Times New Roman"/>
          <w:b/>
          <w:lang w:val="en-CA"/>
        </w:rPr>
        <w:t>-</w:t>
      </w:r>
      <w:proofErr w:type="gramStart"/>
      <w:r w:rsidR="002A6FD0" w:rsidRPr="000D7A90">
        <w:rPr>
          <w:rFonts w:ascii="Times New Roman" w:hAnsi="Times New Roman"/>
          <w:b/>
          <w:lang w:val="en-CA"/>
        </w:rPr>
        <w:t>5</w:t>
      </w:r>
      <w:r w:rsidR="00FC5428" w:rsidRPr="000D7A90">
        <w:rPr>
          <w:rFonts w:ascii="Times New Roman" w:hAnsi="Times New Roman"/>
          <w:b/>
          <w:lang w:val="en-CA"/>
        </w:rPr>
        <w:t>x</w:t>
      </w:r>
      <w:proofErr w:type="gramEnd"/>
    </w:p>
    <w:p w14:paraId="168C7AC2" w14:textId="77777777" w:rsidR="005C2717" w:rsidRPr="000D7A90" w:rsidRDefault="005C2717" w:rsidP="00853304">
      <w:pPr>
        <w:spacing w:after="0" w:line="240" w:lineRule="auto"/>
        <w:jc w:val="both"/>
        <w:rPr>
          <w:rFonts w:ascii="Times New Roman" w:hAnsi="Times New Roman"/>
          <w:sz w:val="16"/>
          <w:szCs w:val="16"/>
          <w:lang w:val="en-CA"/>
        </w:rPr>
      </w:pPr>
    </w:p>
    <w:p w14:paraId="264E22BE" w14:textId="77777777" w:rsidR="007158A6" w:rsidRPr="000D7A90" w:rsidRDefault="007158A6" w:rsidP="00CD6ECC">
      <w:pPr>
        <w:pStyle w:val="ListParagraph"/>
        <w:numPr>
          <w:ilvl w:val="0"/>
          <w:numId w:val="7"/>
        </w:numPr>
        <w:tabs>
          <w:tab w:val="clear" w:pos="180"/>
          <w:tab w:val="clear" w:pos="1440"/>
          <w:tab w:val="clear" w:pos="2160"/>
        </w:tabs>
        <w:autoSpaceDE/>
        <w:autoSpaceDN/>
        <w:adjustRightInd/>
        <w:contextualSpacing/>
        <w:rPr>
          <w:rFonts w:ascii="Times New Roman" w:hAnsi="Times New Roman" w:cs="Times New Roman"/>
          <w:lang w:val="en-CA"/>
        </w:rPr>
      </w:pPr>
      <w:r w:rsidRPr="000D7A90">
        <w:rPr>
          <w:rFonts w:ascii="Times New Roman" w:hAnsi="Times New Roman" w:cs="Times New Roman"/>
          <w:lang w:val="en-CA"/>
        </w:rPr>
        <w:t xml:space="preserve">The terms set out in this Term Sheet are a summary of, and are subject to the terms and conditions set out in </w:t>
      </w:r>
      <w:r w:rsidR="00F37035" w:rsidRPr="000D7A90">
        <w:rPr>
          <w:rFonts w:ascii="Times New Roman" w:hAnsi="Times New Roman" w:cs="Times New Roman"/>
          <w:lang w:val="en-CA"/>
        </w:rPr>
        <w:t>SG Issuer</w:t>
      </w:r>
      <w:r w:rsidRPr="000D7A90">
        <w:rPr>
          <w:rFonts w:ascii="Times New Roman" w:hAnsi="Times New Roman" w:cs="Times New Roman"/>
          <w:lang w:val="en-CA"/>
        </w:rPr>
        <w:t xml:space="preserve">’s (the </w:t>
      </w:r>
      <w:r w:rsidRPr="001A5B6C">
        <w:rPr>
          <w:rFonts w:ascii="Times New Roman" w:hAnsi="Times New Roman" w:cs="Times New Roman"/>
          <w:b/>
          <w:lang w:val="en-CA"/>
        </w:rPr>
        <w:t>“Issuer”</w:t>
      </w:r>
      <w:r w:rsidRPr="000D7A90">
        <w:rPr>
          <w:rFonts w:ascii="Times New Roman" w:hAnsi="Times New Roman" w:cs="Times New Roman"/>
          <w:lang w:val="en-CA"/>
        </w:rPr>
        <w:t xml:space="preserve">) base listing document dated </w:t>
      </w:r>
      <w:r w:rsidR="0078789A">
        <w:rPr>
          <w:rFonts w:ascii="Times New Roman" w:hAnsi="Times New Roman" w:cs="Times New Roman"/>
          <w:lang w:val="en-CA"/>
        </w:rPr>
        <w:t>1</w:t>
      </w:r>
      <w:r w:rsidR="005434EE">
        <w:rPr>
          <w:rFonts w:ascii="Times New Roman" w:hAnsi="Times New Roman" w:cs="Times New Roman"/>
          <w:lang w:val="en-CA"/>
        </w:rPr>
        <w:t>7</w:t>
      </w:r>
      <w:r w:rsidR="0078789A" w:rsidRPr="000D7A90">
        <w:rPr>
          <w:rFonts w:ascii="Times New Roman" w:hAnsi="Times New Roman" w:cs="Times New Roman"/>
          <w:lang w:val="en-CA"/>
        </w:rPr>
        <w:t xml:space="preserve"> </w:t>
      </w:r>
      <w:r w:rsidR="00756716" w:rsidRPr="000D7A90">
        <w:rPr>
          <w:rFonts w:ascii="Times New Roman" w:hAnsi="Times New Roman" w:cs="Times New Roman"/>
          <w:lang w:val="en-CA"/>
        </w:rPr>
        <w:t xml:space="preserve">June </w:t>
      </w:r>
      <w:r w:rsidR="0063646E" w:rsidRPr="000D7A90">
        <w:rPr>
          <w:rFonts w:ascii="Times New Roman" w:hAnsi="Times New Roman" w:cs="Times New Roman"/>
          <w:lang w:val="en-CA"/>
        </w:rPr>
        <w:t>20</w:t>
      </w:r>
      <w:r w:rsidR="00EF693B">
        <w:rPr>
          <w:rFonts w:ascii="Times New Roman" w:hAnsi="Times New Roman" w:cs="Times New Roman"/>
          <w:lang w:val="en-CA"/>
        </w:rPr>
        <w:t>2</w:t>
      </w:r>
      <w:r w:rsidR="005434EE">
        <w:rPr>
          <w:rFonts w:ascii="Times New Roman" w:hAnsi="Times New Roman" w:cs="Times New Roman"/>
          <w:lang w:val="en-CA"/>
        </w:rPr>
        <w:t>2</w:t>
      </w:r>
      <w:r w:rsidR="0063646E" w:rsidRPr="000D7A90">
        <w:rPr>
          <w:rFonts w:ascii="Times New Roman" w:hAnsi="Times New Roman" w:cs="Times New Roman"/>
          <w:lang w:val="en-CA"/>
        </w:rPr>
        <w:t xml:space="preserve"> </w:t>
      </w:r>
      <w:r w:rsidRPr="000D7A90">
        <w:rPr>
          <w:rFonts w:ascii="Times New Roman" w:hAnsi="Times New Roman" w:cs="Times New Roman"/>
          <w:lang w:val="en-CA"/>
        </w:rPr>
        <w:t>(the “</w:t>
      </w:r>
      <w:r w:rsidRPr="000D7A90">
        <w:rPr>
          <w:rFonts w:ascii="Times New Roman" w:hAnsi="Times New Roman" w:cs="Times New Roman"/>
          <w:b/>
          <w:lang w:val="en-CA"/>
        </w:rPr>
        <w:t>Base Listing Documen</w:t>
      </w:r>
      <w:r w:rsidR="0071203F" w:rsidRPr="000D7A90">
        <w:rPr>
          <w:rFonts w:ascii="Times New Roman" w:hAnsi="Times New Roman" w:cs="Times New Roman"/>
          <w:b/>
          <w:lang w:val="en-CA"/>
        </w:rPr>
        <w:t>t</w:t>
      </w:r>
      <w:r w:rsidR="00EF1EC1" w:rsidRPr="000D7A90">
        <w:rPr>
          <w:rFonts w:ascii="Times New Roman" w:hAnsi="Times New Roman" w:cs="Times New Roman"/>
          <w:b/>
          <w:lang w:val="en-CA"/>
        </w:rPr>
        <w:t>”</w:t>
      </w:r>
      <w:r w:rsidR="00181FB6" w:rsidRPr="000D7A90">
        <w:rPr>
          <w:rFonts w:ascii="Times New Roman" w:hAnsi="Times New Roman" w:cs="Times New Roman"/>
          <w:lang w:val="en-CA"/>
        </w:rPr>
        <w:t>)</w:t>
      </w:r>
      <w:r w:rsidR="0071203F" w:rsidRPr="000D7A90">
        <w:rPr>
          <w:rFonts w:ascii="Times New Roman" w:hAnsi="Times New Roman" w:cs="Times New Roman"/>
          <w:b/>
          <w:lang w:val="en-CA"/>
        </w:rPr>
        <w:t xml:space="preserve"> </w:t>
      </w:r>
      <w:r w:rsidRPr="000D7A90">
        <w:rPr>
          <w:rFonts w:ascii="Times New Roman" w:hAnsi="Times New Roman" w:cs="Times New Roman"/>
          <w:lang w:val="en-CA"/>
        </w:rPr>
        <w:t xml:space="preserve">and the supplemental listing document to be dated on or about </w:t>
      </w:r>
      <w:bookmarkStart w:id="0" w:name="_Hlk525288361"/>
      <w:r w:rsidR="00AA2946" w:rsidRPr="000D7A90">
        <w:rPr>
          <w:rFonts w:ascii="Times New Roman" w:hAnsi="Times New Roman" w:cs="Times New Roman"/>
          <w:lang w:val="en-CA"/>
        </w:rPr>
        <w:t>03 March 2025</w:t>
      </w:r>
      <w:r w:rsidRPr="000D7A90">
        <w:rPr>
          <w:rFonts w:ascii="Times New Roman" w:hAnsi="Times New Roman" w:cs="Times New Roman"/>
          <w:lang w:val="en-CA"/>
        </w:rPr>
        <w:t xml:space="preserve"> </w:t>
      </w:r>
      <w:bookmarkEnd w:id="0"/>
      <w:r w:rsidRPr="000D7A90">
        <w:rPr>
          <w:rFonts w:ascii="Times New Roman" w:hAnsi="Times New Roman" w:cs="Times New Roman"/>
          <w:lang w:val="en-CA"/>
        </w:rPr>
        <w:t>(the “</w:t>
      </w:r>
      <w:r w:rsidRPr="000D7A90">
        <w:rPr>
          <w:rFonts w:ascii="Times New Roman" w:hAnsi="Times New Roman" w:cs="Times New Roman"/>
          <w:b/>
          <w:lang w:val="en-CA"/>
        </w:rPr>
        <w:t>Supplemental Listing Document</w:t>
      </w:r>
      <w:r w:rsidRPr="000D7A90">
        <w:rPr>
          <w:rFonts w:ascii="Times New Roman" w:hAnsi="Times New Roman" w:cs="Times New Roman"/>
          <w:lang w:val="en-CA"/>
        </w:rPr>
        <w:t>”, together with the Base Listing Document, the “</w:t>
      </w:r>
      <w:r w:rsidRPr="000D7A90">
        <w:rPr>
          <w:rFonts w:ascii="Times New Roman" w:hAnsi="Times New Roman" w:cs="Times New Roman"/>
          <w:b/>
          <w:lang w:val="en-CA"/>
        </w:rPr>
        <w:t>Listing Documents</w:t>
      </w:r>
      <w:r w:rsidRPr="000D7A90">
        <w:rPr>
          <w:rFonts w:ascii="Times New Roman" w:hAnsi="Times New Roman" w:cs="Times New Roman"/>
          <w:lang w:val="en-CA"/>
        </w:rPr>
        <w:t>”).</w:t>
      </w:r>
    </w:p>
    <w:p w14:paraId="1E97AAB1" w14:textId="77777777" w:rsidR="008A26A8" w:rsidRPr="000D7A90" w:rsidRDefault="008A26A8" w:rsidP="007158A6">
      <w:pPr>
        <w:pStyle w:val="ListParagraph"/>
        <w:numPr>
          <w:ilvl w:val="0"/>
          <w:numId w:val="7"/>
        </w:numPr>
        <w:tabs>
          <w:tab w:val="clear" w:pos="180"/>
          <w:tab w:val="clear" w:pos="1440"/>
          <w:tab w:val="clear" w:pos="2160"/>
        </w:tabs>
        <w:autoSpaceDE/>
        <w:autoSpaceDN/>
        <w:adjustRightInd/>
        <w:contextualSpacing/>
        <w:rPr>
          <w:rFonts w:ascii="Times New Roman" w:hAnsi="Times New Roman" w:cs="Times New Roman"/>
          <w:lang w:val="en-CA"/>
        </w:rPr>
      </w:pPr>
      <w:r w:rsidRPr="000D7A90">
        <w:rPr>
          <w:rFonts w:ascii="Times New Roman" w:hAnsi="Times New Roman" w:cs="Times New Roman"/>
          <w:lang w:val="en-CA"/>
        </w:rPr>
        <w:t>The Supplemental Listing Document may specify terms which shall, to the extent so specified or to the extent inconsistent with the relevant terms</w:t>
      </w:r>
      <w:r w:rsidR="00C14FE8" w:rsidRPr="000D7A90">
        <w:rPr>
          <w:rFonts w:ascii="Times New Roman" w:hAnsi="Times New Roman" w:cs="Times New Roman"/>
          <w:lang w:val="en-CA"/>
        </w:rPr>
        <w:t xml:space="preserve"> of this Term Sheet</w:t>
      </w:r>
      <w:r w:rsidRPr="000D7A90">
        <w:rPr>
          <w:rFonts w:ascii="Times New Roman" w:hAnsi="Times New Roman" w:cs="Times New Roman"/>
          <w:lang w:val="en-CA"/>
        </w:rPr>
        <w:t>, replace or modify the relevant terms for the purpose of this series of Certificates.</w:t>
      </w:r>
    </w:p>
    <w:p w14:paraId="3B7C0FB5" w14:textId="77777777" w:rsidR="005C2717" w:rsidRPr="000D7A90" w:rsidRDefault="007158A6" w:rsidP="000E0CA6">
      <w:pPr>
        <w:numPr>
          <w:ilvl w:val="0"/>
          <w:numId w:val="7"/>
        </w:numPr>
        <w:spacing w:after="0" w:line="240" w:lineRule="auto"/>
        <w:jc w:val="both"/>
        <w:rPr>
          <w:rFonts w:ascii="Times New Roman" w:hAnsi="Times New Roman"/>
          <w:b/>
          <w:sz w:val="20"/>
          <w:szCs w:val="20"/>
          <w:lang w:val="en-CA"/>
        </w:rPr>
      </w:pPr>
      <w:r w:rsidRPr="000D7A90">
        <w:rPr>
          <w:rFonts w:ascii="Times New Roman" w:hAnsi="Times New Roman"/>
          <w:b/>
          <w:sz w:val="20"/>
          <w:szCs w:val="20"/>
          <w:lang w:val="en-CA"/>
        </w:rPr>
        <w:t xml:space="preserve">If you are in any doubt </w:t>
      </w:r>
      <w:r w:rsidR="007C0080" w:rsidRPr="000D7A90">
        <w:rPr>
          <w:rFonts w:ascii="Times New Roman" w:hAnsi="Times New Roman"/>
          <w:b/>
          <w:sz w:val="20"/>
          <w:szCs w:val="20"/>
          <w:lang w:val="en-CA"/>
        </w:rPr>
        <w:t xml:space="preserve">on </w:t>
      </w:r>
      <w:r w:rsidRPr="000D7A90">
        <w:rPr>
          <w:rFonts w:ascii="Times New Roman" w:hAnsi="Times New Roman"/>
          <w:b/>
          <w:sz w:val="20"/>
          <w:szCs w:val="20"/>
          <w:lang w:val="en-CA"/>
        </w:rPr>
        <w:t xml:space="preserve">whether </w:t>
      </w:r>
      <w:r w:rsidR="00B070EB" w:rsidRPr="000D7A90">
        <w:rPr>
          <w:rFonts w:ascii="Times New Roman" w:hAnsi="Times New Roman"/>
          <w:b/>
          <w:sz w:val="20"/>
          <w:szCs w:val="20"/>
          <w:lang w:val="en-CA"/>
        </w:rPr>
        <w:t>Certificates</w:t>
      </w:r>
      <w:r w:rsidRPr="000D7A90">
        <w:rPr>
          <w:rFonts w:ascii="Times New Roman" w:hAnsi="Times New Roman"/>
          <w:b/>
          <w:sz w:val="20"/>
          <w:szCs w:val="20"/>
          <w:lang w:val="en-CA"/>
        </w:rPr>
        <w:t xml:space="preserve"> are suitable for you, you should consult your financial advisers or such other professional advisers to the extent that you consider necessary</w:t>
      </w:r>
      <w:r w:rsidR="005C2717" w:rsidRPr="000D7A90">
        <w:rPr>
          <w:rFonts w:ascii="Times New Roman" w:hAnsi="Times New Roman"/>
          <w:b/>
          <w:sz w:val="20"/>
          <w:szCs w:val="20"/>
          <w:lang w:val="en-CA"/>
        </w:rPr>
        <w:t xml:space="preserve">. </w:t>
      </w:r>
    </w:p>
    <w:p w14:paraId="21737091" w14:textId="77777777" w:rsidR="00E51733" w:rsidRPr="000D7A90" w:rsidRDefault="007158A6" w:rsidP="00E51733">
      <w:pPr>
        <w:numPr>
          <w:ilvl w:val="0"/>
          <w:numId w:val="7"/>
        </w:numPr>
        <w:spacing w:after="0" w:line="240" w:lineRule="auto"/>
        <w:jc w:val="both"/>
        <w:rPr>
          <w:rFonts w:ascii="Times New Roman" w:hAnsi="Times New Roman"/>
          <w:b/>
          <w:sz w:val="20"/>
          <w:szCs w:val="20"/>
          <w:lang w:val="en-CA"/>
        </w:rPr>
      </w:pPr>
      <w:r w:rsidRPr="000D7A90">
        <w:rPr>
          <w:rFonts w:ascii="Times New Roman" w:hAnsi="Times New Roman"/>
          <w:sz w:val="20"/>
          <w:szCs w:val="20"/>
          <w:lang w:val="en-CA"/>
        </w:rPr>
        <w:t xml:space="preserve">Please read the Listing Documents and the risk factors stated in such Listing Documents and in this Term Sheet carefully. </w:t>
      </w:r>
      <w:r w:rsidRPr="000D7A90">
        <w:rPr>
          <w:rFonts w:ascii="Times New Roman" w:hAnsi="Times New Roman"/>
          <w:b/>
          <w:sz w:val="20"/>
          <w:szCs w:val="20"/>
          <w:lang w:val="en-CA"/>
        </w:rPr>
        <w:t xml:space="preserve">You should not invest in </w:t>
      </w:r>
      <w:r w:rsidR="00B070EB" w:rsidRPr="000D7A90">
        <w:rPr>
          <w:rFonts w:ascii="Times New Roman" w:hAnsi="Times New Roman"/>
          <w:b/>
          <w:sz w:val="20"/>
          <w:szCs w:val="20"/>
          <w:lang w:val="en-CA"/>
        </w:rPr>
        <w:t>Certificates</w:t>
      </w:r>
      <w:r w:rsidRPr="000D7A90">
        <w:rPr>
          <w:rFonts w:ascii="Times New Roman" w:hAnsi="Times New Roman"/>
          <w:b/>
          <w:sz w:val="20"/>
          <w:szCs w:val="20"/>
          <w:lang w:val="en-CA"/>
        </w:rPr>
        <w:t xml:space="preserve"> if you do not understand the risks or are not willing to assume the risks</w:t>
      </w:r>
      <w:r w:rsidR="005C2717" w:rsidRPr="000D7A90">
        <w:rPr>
          <w:rFonts w:ascii="Times New Roman" w:hAnsi="Times New Roman"/>
          <w:b/>
          <w:sz w:val="20"/>
          <w:szCs w:val="20"/>
          <w:lang w:val="en-CA"/>
        </w:rPr>
        <w:t>.</w:t>
      </w:r>
      <w:r w:rsidR="00E51733" w:rsidRPr="000D7A90">
        <w:rPr>
          <w:rFonts w:ascii="Times New Roman" w:hAnsi="Times New Roman"/>
          <w:b/>
          <w:sz w:val="20"/>
          <w:szCs w:val="20"/>
          <w:lang w:val="en-CA"/>
        </w:rPr>
        <w:t xml:space="preserve"> The Certificates are classified as </w:t>
      </w:r>
      <w:r w:rsidR="002D5EBD" w:rsidRPr="000D7A90">
        <w:rPr>
          <w:rFonts w:ascii="Times New Roman" w:hAnsi="Times New Roman"/>
          <w:b/>
          <w:sz w:val="20"/>
          <w:szCs w:val="20"/>
          <w:lang w:val="en-CA"/>
        </w:rPr>
        <w:t>capital markets products other than prescribed capital markets products</w:t>
      </w:r>
      <w:r w:rsidR="002D5EBD" w:rsidRPr="000D7A90">
        <w:rPr>
          <w:rStyle w:val="FootnoteReference"/>
          <w:rFonts w:ascii="Times New Roman" w:hAnsi="Times New Roman"/>
          <w:b/>
          <w:sz w:val="20"/>
          <w:szCs w:val="20"/>
          <w:lang w:val="en-CA"/>
        </w:rPr>
        <w:footnoteReference w:id="1"/>
      </w:r>
      <w:r w:rsidR="002D5EBD" w:rsidRPr="000D7A90">
        <w:rPr>
          <w:rFonts w:ascii="Times New Roman" w:hAnsi="Times New Roman"/>
          <w:b/>
          <w:sz w:val="20"/>
          <w:szCs w:val="20"/>
          <w:lang w:val="en-CA"/>
        </w:rPr>
        <w:t xml:space="preserve"> and </w:t>
      </w:r>
      <w:r w:rsidR="00E51733" w:rsidRPr="000D7A90">
        <w:rPr>
          <w:rFonts w:ascii="Times New Roman" w:hAnsi="Times New Roman"/>
          <w:b/>
          <w:sz w:val="20"/>
          <w:szCs w:val="20"/>
          <w:lang w:val="en-CA"/>
        </w:rPr>
        <w:t xml:space="preserve">Specified Investment Products </w:t>
      </w:r>
      <w:r w:rsidR="002D5EBD" w:rsidRPr="000D7A90">
        <w:rPr>
          <w:rFonts w:ascii="Times New Roman" w:hAnsi="Times New Roman"/>
          <w:b/>
          <w:sz w:val="20"/>
          <w:szCs w:val="20"/>
          <w:lang w:val="en-CA"/>
        </w:rPr>
        <w:t>(SIPs)</w:t>
      </w:r>
      <w:r w:rsidR="002D5EBD" w:rsidRPr="000D7A90">
        <w:rPr>
          <w:rStyle w:val="FootnoteReference"/>
          <w:rFonts w:ascii="Times New Roman" w:hAnsi="Times New Roman"/>
          <w:b/>
          <w:sz w:val="20"/>
          <w:szCs w:val="20"/>
          <w:lang w:val="en-CA"/>
        </w:rPr>
        <w:t xml:space="preserve"> </w:t>
      </w:r>
      <w:r w:rsidR="002D5EBD" w:rsidRPr="000D7A90">
        <w:rPr>
          <w:rStyle w:val="FootnoteReference"/>
          <w:rFonts w:ascii="Times New Roman" w:hAnsi="Times New Roman"/>
          <w:b/>
          <w:sz w:val="20"/>
          <w:szCs w:val="20"/>
          <w:lang w:val="en-CA"/>
        </w:rPr>
        <w:footnoteReference w:id="2"/>
      </w:r>
      <w:r w:rsidR="001A5B6C">
        <w:rPr>
          <w:rFonts w:ascii="Times New Roman" w:hAnsi="Times New Roman"/>
          <w:b/>
          <w:sz w:val="20"/>
          <w:szCs w:val="20"/>
          <w:lang w:val="en-CA"/>
        </w:rPr>
        <w:t xml:space="preserve">, </w:t>
      </w:r>
      <w:r w:rsidR="00E51733" w:rsidRPr="000D7A90">
        <w:rPr>
          <w:rFonts w:ascii="Times New Roman" w:hAnsi="Times New Roman"/>
          <w:b/>
          <w:sz w:val="20"/>
          <w:szCs w:val="20"/>
          <w:lang w:val="en-CA"/>
        </w:rPr>
        <w:t xml:space="preserve">and </w:t>
      </w:r>
      <w:r w:rsidR="00EF6E1C" w:rsidRPr="000D7A90">
        <w:rPr>
          <w:rFonts w:ascii="Times New Roman" w:hAnsi="Times New Roman"/>
          <w:b/>
          <w:sz w:val="20"/>
          <w:szCs w:val="20"/>
          <w:lang w:val="en-CA"/>
        </w:rPr>
        <w:t>may</w:t>
      </w:r>
      <w:r w:rsidR="00E51733" w:rsidRPr="000D7A90">
        <w:rPr>
          <w:rFonts w:ascii="Times New Roman" w:hAnsi="Times New Roman"/>
          <w:b/>
          <w:sz w:val="20"/>
          <w:szCs w:val="20"/>
          <w:lang w:val="en-CA"/>
        </w:rPr>
        <w:t xml:space="preserve"> only be sold to retail investors with enhanced safeguards, including an assessment of such investors’ investment knowledge or experience. </w:t>
      </w:r>
    </w:p>
    <w:p w14:paraId="64B22E09" w14:textId="77777777" w:rsidR="005C2717" w:rsidRPr="000D7A90" w:rsidRDefault="007158A6" w:rsidP="000E0CA6">
      <w:pPr>
        <w:numPr>
          <w:ilvl w:val="0"/>
          <w:numId w:val="7"/>
        </w:numPr>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This Term</w:t>
      </w:r>
      <w:r w:rsidR="00E74A3E" w:rsidRPr="000D7A90">
        <w:rPr>
          <w:rFonts w:ascii="Times New Roman" w:hAnsi="Times New Roman"/>
          <w:sz w:val="20"/>
          <w:szCs w:val="20"/>
          <w:lang w:val="en-CA"/>
        </w:rPr>
        <w:t xml:space="preserve"> Sheet</w:t>
      </w:r>
      <w:r w:rsidRPr="000D7A90">
        <w:rPr>
          <w:rFonts w:ascii="Times New Roman" w:hAnsi="Times New Roman"/>
          <w:sz w:val="20"/>
          <w:szCs w:val="20"/>
          <w:lang w:val="en-CA"/>
        </w:rPr>
        <w:t xml:space="preserve"> </w:t>
      </w:r>
      <w:r w:rsidR="009A61DB" w:rsidRPr="000D7A90">
        <w:rPr>
          <w:rFonts w:ascii="Times New Roman" w:hAnsi="Times New Roman"/>
          <w:sz w:val="20"/>
          <w:szCs w:val="20"/>
          <w:lang w:val="en-CA"/>
        </w:rPr>
        <w:t xml:space="preserve">does not constitute or form part of any offer, or invitation, to subscribe for or to sell, or solicitation of any offer to subscribe for or to purchase, </w:t>
      </w:r>
      <w:r w:rsidR="00B070EB" w:rsidRPr="000D7A90">
        <w:rPr>
          <w:rFonts w:ascii="Times New Roman" w:hAnsi="Times New Roman"/>
          <w:sz w:val="20"/>
          <w:szCs w:val="20"/>
          <w:lang w:val="en-CA"/>
        </w:rPr>
        <w:t>Certificates</w:t>
      </w:r>
      <w:r w:rsidR="009A61DB" w:rsidRPr="000D7A90">
        <w:rPr>
          <w:rFonts w:ascii="Times New Roman" w:hAnsi="Times New Roman"/>
          <w:sz w:val="20"/>
          <w:szCs w:val="20"/>
          <w:lang w:val="en-CA"/>
        </w:rPr>
        <w:t xml:space="preserve"> or other securities of the Issuer or the Guarantor, nor is it calculated to invite, nor does it permit the making of, offers by the public to subscribe for or purchase for cash or other consideration </w:t>
      </w:r>
      <w:r w:rsidR="00B070EB" w:rsidRPr="000D7A90">
        <w:rPr>
          <w:rFonts w:ascii="Times New Roman" w:hAnsi="Times New Roman"/>
          <w:sz w:val="20"/>
          <w:szCs w:val="20"/>
          <w:lang w:val="en-CA"/>
        </w:rPr>
        <w:t>Certificates</w:t>
      </w:r>
      <w:r w:rsidR="009A61DB" w:rsidRPr="000D7A90">
        <w:rPr>
          <w:rFonts w:ascii="Times New Roman" w:hAnsi="Times New Roman"/>
          <w:sz w:val="20"/>
          <w:szCs w:val="20"/>
          <w:lang w:val="en-CA"/>
        </w:rPr>
        <w:t xml:space="preserve"> or other securities of the Issuer or the Guarantor</w:t>
      </w:r>
      <w:r w:rsidRPr="000D7A90">
        <w:rPr>
          <w:rFonts w:ascii="Times New Roman" w:hAnsi="Times New Roman"/>
          <w:sz w:val="20"/>
          <w:szCs w:val="20"/>
          <w:lang w:val="en-CA"/>
        </w:rPr>
        <w:t>. This Term Sheet may not be distributed or circulated by you to any person other than in a manner which complies with the restrictions set out in the section entitled “Sales Restrictions” in the B</w:t>
      </w:r>
      <w:r w:rsidR="00E91515" w:rsidRPr="000D7A90">
        <w:rPr>
          <w:rFonts w:ascii="Times New Roman" w:hAnsi="Times New Roman"/>
          <w:sz w:val="20"/>
          <w:szCs w:val="20"/>
          <w:lang w:val="en-CA"/>
        </w:rPr>
        <w:t>ase Listing Document</w:t>
      </w:r>
      <w:r w:rsidR="005C2717" w:rsidRPr="000D7A90">
        <w:rPr>
          <w:rFonts w:ascii="Times New Roman" w:hAnsi="Times New Roman"/>
          <w:sz w:val="20"/>
          <w:szCs w:val="20"/>
        </w:rPr>
        <w:t>.</w:t>
      </w:r>
    </w:p>
    <w:p w14:paraId="229CF46D" w14:textId="77777777" w:rsidR="009F7D74" w:rsidRPr="000D7A90" w:rsidRDefault="009F7D74" w:rsidP="000E0CA6">
      <w:pPr>
        <w:spacing w:after="0" w:line="240" w:lineRule="auto"/>
        <w:jc w:val="both"/>
        <w:rPr>
          <w:rFonts w:ascii="Times New Roman" w:hAnsi="Times New Roman"/>
          <w:sz w:val="12"/>
          <w:szCs w:val="12"/>
        </w:rPr>
      </w:pPr>
    </w:p>
    <w:tbl>
      <w:tblPr>
        <w:tblW w:w="11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4060"/>
        <w:gridCol w:w="1437"/>
        <w:gridCol w:w="1113"/>
        <w:gridCol w:w="1994"/>
      </w:tblGrid>
      <w:tr w:rsidR="009F7D74" w:rsidRPr="000D7A90" w14:paraId="5E8DB559" w14:textId="77777777" w:rsidTr="00A44B0F">
        <w:trPr>
          <w:jc w:val="center"/>
        </w:trPr>
        <w:tc>
          <w:tcPr>
            <w:tcW w:w="11027" w:type="dxa"/>
            <w:gridSpan w:val="5"/>
            <w:shd w:val="solid" w:color="auto" w:fill="auto"/>
          </w:tcPr>
          <w:p w14:paraId="7A59B550" w14:textId="77777777" w:rsidR="009F7D74" w:rsidRPr="000D7A90" w:rsidRDefault="00342E39" w:rsidP="00A44B0F">
            <w:pPr>
              <w:keepLines/>
              <w:spacing w:after="0" w:line="240" w:lineRule="auto"/>
              <w:jc w:val="center"/>
              <w:rPr>
                <w:rFonts w:ascii="Times New Roman" w:hAnsi="Times New Roman"/>
                <w:b/>
                <w:sz w:val="20"/>
                <w:szCs w:val="20"/>
              </w:rPr>
            </w:pPr>
            <w:r w:rsidRPr="000D7A90">
              <w:rPr>
                <w:rFonts w:ascii="Times New Roman" w:hAnsi="Times New Roman"/>
                <w:b/>
                <w:sz w:val="20"/>
                <w:szCs w:val="20"/>
              </w:rPr>
              <w:t xml:space="preserve">A.  </w:t>
            </w:r>
            <w:r w:rsidR="009F7D74" w:rsidRPr="000D7A90">
              <w:rPr>
                <w:rFonts w:ascii="Times New Roman" w:hAnsi="Times New Roman"/>
                <w:b/>
                <w:sz w:val="20"/>
                <w:szCs w:val="20"/>
              </w:rPr>
              <w:t>TERMS OF THE ISSUE</w:t>
            </w:r>
          </w:p>
        </w:tc>
      </w:tr>
      <w:tr w:rsidR="004478DB" w:rsidRPr="000D7A90" w14:paraId="5138EF7C" w14:textId="77777777" w:rsidTr="00E71E74">
        <w:trPr>
          <w:jc w:val="center"/>
        </w:trPr>
        <w:tc>
          <w:tcPr>
            <w:tcW w:w="2423" w:type="dxa"/>
            <w:shd w:val="clear" w:color="auto" w:fill="F3C3B7"/>
          </w:tcPr>
          <w:p w14:paraId="7D72F7C3" w14:textId="77777777" w:rsidR="009F7D74" w:rsidRPr="000D7A90" w:rsidRDefault="009F7D74"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SGX Counter Full Name</w:t>
            </w:r>
          </w:p>
          <w:p w14:paraId="3E97EB47" w14:textId="77777777" w:rsidR="004660AD" w:rsidRPr="000D7A90" w:rsidRDefault="009F7D74"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(SGX Stock Code)</w:t>
            </w:r>
            <w:r w:rsidR="003621BE">
              <w:rPr>
                <w:rFonts w:ascii="Times New Roman" w:hAnsi="Times New Roman"/>
                <w:b/>
                <w:sz w:val="20"/>
                <w:szCs w:val="20"/>
              </w:rPr>
              <w:t xml:space="preserve"> and ISIN</w:t>
            </w:r>
          </w:p>
        </w:tc>
        <w:tc>
          <w:tcPr>
            <w:tcW w:w="4060" w:type="dxa"/>
            <w:shd w:val="clear" w:color="auto" w:fill="auto"/>
          </w:tcPr>
          <w:p w14:paraId="6529CAF2" w14:textId="77777777" w:rsidR="00EF4D4E" w:rsidRDefault="00001C3A" w:rsidP="00351950">
            <w:pPr>
              <w:keepLines/>
              <w:spacing w:after="0" w:line="240" w:lineRule="auto"/>
              <w:rPr>
                <w:rFonts w:ascii="Times New Roman" w:hAnsi="Times New Roman"/>
                <w:sz w:val="20"/>
                <w:szCs w:val="20"/>
                <w:lang w:val="en-CA"/>
              </w:rPr>
            </w:pPr>
            <w:r w:rsidRPr="00005FE2">
              <w:rPr>
                <w:rFonts w:ascii="Times New Roman" w:hAnsi="Times New Roman"/>
                <w:sz w:val="20"/>
                <w:szCs w:val="20"/>
                <w:lang w:val="en-CA"/>
              </w:rPr>
              <w:t>SGX Counter Full Name</w:t>
            </w:r>
            <w:r w:rsidR="009D3230">
              <w:rPr>
                <w:rFonts w:ascii="Times New Roman" w:hAnsi="Times New Roman"/>
                <w:sz w:val="20"/>
                <w:szCs w:val="20"/>
                <w:lang w:val="en-CA"/>
              </w:rPr>
              <w:t>:</w:t>
            </w:r>
          </w:p>
          <w:p w14:paraId="0F5BA30C" w14:textId="77777777" w:rsidR="009D3230" w:rsidRDefault="009D3230" w:rsidP="00351950">
            <w:pPr>
              <w:keepLines/>
              <w:spacing w:after="0" w:line="240" w:lineRule="auto"/>
              <w:rPr>
                <w:rFonts w:ascii="Times New Roman" w:hAnsi="Times New Roman"/>
                <w:sz w:val="20"/>
                <w:szCs w:val="20"/>
                <w:lang w:val="en-CA"/>
              </w:rPr>
            </w:pPr>
            <w:r w:rsidRPr="000D7A90">
              <w:rPr>
                <w:rFonts w:ascii="Times New Roman" w:hAnsi="Times New Roman"/>
                <w:sz w:val="20"/>
                <w:szCs w:val="20"/>
                <w:lang w:val="en-CA"/>
              </w:rPr>
              <w:t>BYD 5xShortSG261217</w:t>
            </w:r>
          </w:p>
          <w:p w14:paraId="498AC3DF" w14:textId="77777777" w:rsidR="003621BE" w:rsidRDefault="00001C3A" w:rsidP="00351950">
            <w:pPr>
              <w:keepLines/>
              <w:spacing w:after="0" w:line="240" w:lineRule="auto"/>
              <w:rPr>
                <w:rFonts w:ascii="Times New Roman" w:hAnsi="Times New Roman"/>
                <w:sz w:val="20"/>
                <w:szCs w:val="20"/>
                <w:lang w:val="en-CA"/>
              </w:rPr>
            </w:pPr>
            <w:r w:rsidRPr="00005FE2">
              <w:rPr>
                <w:rFonts w:ascii="Times New Roman" w:hAnsi="Times New Roman"/>
                <w:sz w:val="20"/>
                <w:szCs w:val="20"/>
                <w:lang w:val="en-CA"/>
              </w:rPr>
              <w:t xml:space="preserve">SGX Stock Code: </w:t>
            </w:r>
            <w:r w:rsidR="0095658F" w:rsidRPr="000D7A90">
              <w:rPr>
                <w:rFonts w:ascii="Times New Roman" w:hAnsi="Times New Roman"/>
                <w:sz w:val="20"/>
                <w:szCs w:val="20"/>
                <w:lang w:val="en-CA"/>
              </w:rPr>
              <w:t>RDSW</w:t>
            </w:r>
          </w:p>
          <w:p w14:paraId="6B892AE9" w14:textId="77777777" w:rsidR="003621BE" w:rsidRPr="000D7A90" w:rsidRDefault="00BC43DE" w:rsidP="00351950">
            <w:pPr>
              <w:keepLines/>
              <w:spacing w:after="0" w:line="240" w:lineRule="auto"/>
              <w:rPr>
                <w:rFonts w:ascii="Times New Roman" w:hAnsi="Times New Roman"/>
                <w:sz w:val="20"/>
                <w:szCs w:val="20"/>
              </w:rPr>
            </w:pPr>
            <w:r>
              <w:rPr>
                <w:rFonts w:ascii="Times New Roman" w:hAnsi="Times New Roman"/>
                <w:sz w:val="20"/>
                <w:szCs w:val="20"/>
                <w:lang w:val="en-CA"/>
              </w:rPr>
              <w:t xml:space="preserve">ISIN: </w:t>
            </w:r>
            <w:r w:rsidR="003621BE">
              <w:rPr>
                <w:rFonts w:ascii="Times New Roman" w:hAnsi="Times New Roman"/>
                <w:sz w:val="20"/>
                <w:szCs w:val="20"/>
                <w:lang w:val="en-CA"/>
              </w:rPr>
              <w:t>LU2517565201</w:t>
            </w:r>
          </w:p>
        </w:tc>
        <w:tc>
          <w:tcPr>
            <w:tcW w:w="1437" w:type="dxa"/>
            <w:shd w:val="clear" w:color="auto" w:fill="F3C3B7"/>
          </w:tcPr>
          <w:p w14:paraId="084011E0" w14:textId="77777777" w:rsidR="009F7D74" w:rsidRPr="000D7A90" w:rsidRDefault="001D1267" w:rsidP="00A44B0F">
            <w:pPr>
              <w:keepLines/>
              <w:spacing w:after="0" w:line="240" w:lineRule="auto"/>
              <w:jc w:val="both"/>
              <w:rPr>
                <w:rFonts w:ascii="Times New Roman" w:hAnsi="Times New Roman"/>
                <w:b/>
                <w:sz w:val="20"/>
                <w:szCs w:val="20"/>
              </w:rPr>
            </w:pPr>
            <w:r>
              <w:rPr>
                <w:rFonts w:ascii="Times New Roman" w:hAnsi="Times New Roman"/>
                <w:b/>
                <w:sz w:val="20"/>
                <w:szCs w:val="20"/>
              </w:rPr>
              <w:t xml:space="preserve">Further </w:t>
            </w:r>
            <w:r w:rsidR="009F7D74" w:rsidRPr="000D7A90">
              <w:rPr>
                <w:rFonts w:ascii="Times New Roman" w:hAnsi="Times New Roman"/>
                <w:b/>
                <w:sz w:val="20"/>
                <w:szCs w:val="20"/>
              </w:rPr>
              <w:t>Issue Size</w:t>
            </w:r>
          </w:p>
        </w:tc>
        <w:tc>
          <w:tcPr>
            <w:tcW w:w="3107" w:type="dxa"/>
            <w:gridSpan w:val="2"/>
            <w:shd w:val="clear" w:color="auto" w:fill="auto"/>
          </w:tcPr>
          <w:p w14:paraId="1CFA8123" w14:textId="77777777" w:rsidR="009F7D74" w:rsidRPr="00D91FDC" w:rsidRDefault="00884E0F" w:rsidP="00884E0F">
            <w:pPr>
              <w:keepLines/>
              <w:spacing w:after="0" w:line="240" w:lineRule="auto"/>
              <w:rPr>
                <w:rFonts w:ascii="Times New Roman" w:hAnsi="Times New Roman"/>
                <w:sz w:val="20"/>
                <w:szCs w:val="20"/>
              </w:rPr>
            </w:pPr>
            <w:r w:rsidRPr="00884E0F">
              <w:rPr>
                <w:rFonts w:ascii="Times New Roman" w:hAnsi="Times New Roman"/>
                <w:sz w:val="20"/>
                <w:szCs w:val="20"/>
                <w:lang w:val="en-CA"/>
              </w:rPr>
              <w:t>35,000,000</w:t>
            </w:r>
            <w:r w:rsidR="00E9309F" w:rsidRPr="00884E0F">
              <w:rPr>
                <w:rFonts w:ascii="Times New Roman" w:hAnsi="Times New Roman"/>
                <w:b/>
                <w:sz w:val="20"/>
                <w:szCs w:val="20"/>
                <w:lang w:val="en-CA"/>
              </w:rPr>
              <w:t xml:space="preserve"> </w:t>
            </w:r>
            <w:r w:rsidR="00B070EB" w:rsidRPr="00D91FDC">
              <w:rPr>
                <w:rFonts w:ascii="Times New Roman" w:hAnsi="Times New Roman"/>
                <w:sz w:val="20"/>
                <w:szCs w:val="20"/>
                <w:lang w:val="en-CA"/>
              </w:rPr>
              <w:t>Certificates</w:t>
            </w:r>
            <w:r w:rsidR="00FE6CBD" w:rsidRPr="00D91FDC">
              <w:rPr>
                <w:rFonts w:ascii="Times New Roman" w:hAnsi="Times New Roman"/>
                <w:sz w:val="20"/>
                <w:szCs w:val="20"/>
                <w:lang w:val="en-CA"/>
              </w:rPr>
              <w:t xml:space="preserve"> (the </w:t>
            </w:r>
            <w:r w:rsidR="00FE6CBD" w:rsidRPr="00884E0F">
              <w:rPr>
                <w:rFonts w:ascii="Times New Roman" w:hAnsi="Times New Roman"/>
                <w:b/>
                <w:bCs/>
                <w:sz w:val="20"/>
                <w:szCs w:val="20"/>
                <w:lang w:val="en-CA"/>
              </w:rPr>
              <w:t>“New Certificates”</w:t>
            </w:r>
            <w:r w:rsidR="00FE6CBD" w:rsidRPr="00D91FDC">
              <w:rPr>
                <w:rFonts w:ascii="Times New Roman" w:hAnsi="Times New Roman"/>
                <w:sz w:val="20"/>
                <w:szCs w:val="20"/>
                <w:lang w:val="en-CA"/>
              </w:rPr>
              <w:t xml:space="preserve">), shall be consolidated and form a single series with an existing </w:t>
            </w:r>
            <w:r w:rsidR="003144A1">
              <w:rPr>
                <w:rFonts w:ascii="Times New Roman" w:hAnsi="Times New Roman"/>
                <w:sz w:val="20"/>
                <w:szCs w:val="20"/>
                <w:lang w:val="en-CA"/>
              </w:rPr>
              <w:t xml:space="preserve">issue </w:t>
            </w:r>
            <w:r w:rsidR="00FE6CBD" w:rsidRPr="00D91FDC">
              <w:rPr>
                <w:rFonts w:ascii="Times New Roman" w:hAnsi="Times New Roman"/>
                <w:sz w:val="20"/>
                <w:szCs w:val="20"/>
                <w:lang w:val="en-CA"/>
              </w:rPr>
              <w:t xml:space="preserve">of </w:t>
            </w:r>
            <w:r w:rsidRPr="00884E0F">
              <w:rPr>
                <w:rFonts w:ascii="Times New Roman" w:hAnsi="Times New Roman"/>
                <w:sz w:val="20"/>
                <w:szCs w:val="20"/>
                <w:lang w:val="en-CA"/>
              </w:rPr>
              <w:t>7,000,000</w:t>
            </w:r>
            <w:r w:rsidR="00FE6CBD" w:rsidRPr="00D91FDC">
              <w:rPr>
                <w:rFonts w:ascii="Times New Roman" w:hAnsi="Times New Roman"/>
                <w:sz w:val="20"/>
                <w:szCs w:val="20"/>
                <w:lang w:val="en-CA"/>
              </w:rPr>
              <w:t xml:space="preserve"> European </w:t>
            </w:r>
            <w:r w:rsidR="00FE6CBD" w:rsidRPr="00884E0F">
              <w:rPr>
                <w:rFonts w:ascii="Times New Roman" w:hAnsi="Times New Roman"/>
                <w:sz w:val="20"/>
                <w:szCs w:val="20"/>
              </w:rPr>
              <w:t xml:space="preserve">Style Cash Settled </w:t>
            </w:r>
            <w:r w:rsidR="00FE6CBD" w:rsidRPr="00884E0F">
              <w:rPr>
                <w:rFonts w:ascii="Times New Roman" w:hAnsi="Times New Roman"/>
                <w:bCs/>
                <w:sz w:val="20"/>
                <w:szCs w:val="20"/>
                <w:lang w:val="en-CA"/>
              </w:rPr>
              <w:t>Short Certificates relating to the Ordinary H shares of BYD Company Limited (</w:t>
            </w:r>
            <w:r w:rsidR="00FE6CBD" w:rsidRPr="00D91FDC">
              <w:rPr>
                <w:rFonts w:ascii="Times New Roman" w:hAnsi="Times New Roman"/>
                <w:sz w:val="20"/>
                <w:szCs w:val="20"/>
                <w:lang w:val="en-CA"/>
              </w:rPr>
              <w:t>BYD 5xShortSG261217 (RDSW) listed on the Singapore Exchange Securities Trading Limited (the</w:t>
            </w:r>
            <w:r w:rsidR="00FE6CBD" w:rsidRPr="00884E0F">
              <w:rPr>
                <w:rFonts w:ascii="Times New Roman" w:hAnsi="Times New Roman"/>
                <w:b/>
                <w:bCs/>
                <w:sz w:val="20"/>
                <w:szCs w:val="20"/>
                <w:lang w:val="en-CA"/>
              </w:rPr>
              <w:t>“SGX-ST”</w:t>
            </w:r>
            <w:r w:rsidR="00FE6CBD" w:rsidRPr="00D91FDC">
              <w:rPr>
                <w:rFonts w:ascii="Times New Roman" w:hAnsi="Times New Roman"/>
                <w:sz w:val="20"/>
                <w:szCs w:val="20"/>
                <w:lang w:val="en-CA"/>
              </w:rPr>
              <w:t xml:space="preserve">) on </w:t>
            </w:r>
            <w:r w:rsidRPr="00884E0F">
              <w:rPr>
                <w:rFonts w:ascii="Times New Roman" w:hAnsi="Times New Roman"/>
                <w:sz w:val="20"/>
                <w:szCs w:val="20"/>
                <w:lang w:val="en-US"/>
              </w:rPr>
              <w:t>20 December 2024</w:t>
            </w:r>
            <w:r w:rsidR="00FE6CBD" w:rsidRPr="00D91FDC">
              <w:rPr>
                <w:rFonts w:ascii="Times New Roman" w:hAnsi="Times New Roman"/>
                <w:sz w:val="20"/>
                <w:szCs w:val="20"/>
                <w:lang w:val="en-US"/>
              </w:rPr>
              <w:t xml:space="preserve"> (the </w:t>
            </w:r>
            <w:r w:rsidR="00FF0B4C">
              <w:rPr>
                <w:rFonts w:ascii="Times New Roman" w:hAnsi="Times New Roman"/>
                <w:b/>
                <w:bCs/>
                <w:sz w:val="20"/>
                <w:szCs w:val="20"/>
                <w:lang w:val="en-US"/>
              </w:rPr>
              <w:t>Ex</w:t>
            </w:r>
            <w:r w:rsidR="00FE6CBD" w:rsidRPr="00D91FDC">
              <w:rPr>
                <w:rFonts w:ascii="Times New Roman" w:hAnsi="Times New Roman"/>
                <w:b/>
                <w:bCs/>
                <w:sz w:val="20"/>
                <w:szCs w:val="20"/>
                <w:lang w:val="en-US"/>
              </w:rPr>
              <w:t>isting Certificates”</w:t>
            </w:r>
            <w:r w:rsidR="00FE6CBD" w:rsidRPr="00D91FDC">
              <w:rPr>
                <w:rFonts w:ascii="Times New Roman" w:hAnsi="Times New Roman"/>
                <w:sz w:val="20"/>
                <w:szCs w:val="20"/>
                <w:lang w:val="en-US"/>
              </w:rPr>
              <w:t xml:space="preserve">, together with the New Certificates, the </w:t>
            </w:r>
            <w:r w:rsidR="00FE6CBD" w:rsidRPr="00884E0F">
              <w:rPr>
                <w:rFonts w:ascii="Times New Roman" w:hAnsi="Times New Roman"/>
                <w:b/>
                <w:bCs/>
                <w:sz w:val="20"/>
                <w:szCs w:val="20"/>
                <w:lang w:val="en-US"/>
              </w:rPr>
              <w:t>“Certificates”</w:t>
            </w:r>
            <w:r w:rsidR="00FE6CBD" w:rsidRPr="00D91FDC">
              <w:rPr>
                <w:rFonts w:ascii="Times New Roman" w:hAnsi="Times New Roman"/>
                <w:sz w:val="20"/>
                <w:szCs w:val="20"/>
                <w:lang w:val="en-US"/>
              </w:rPr>
              <w:t>).</w:t>
            </w:r>
          </w:p>
        </w:tc>
      </w:tr>
      <w:tr w:rsidR="004478DB" w:rsidRPr="005903ED" w14:paraId="6F946631" w14:textId="77777777" w:rsidTr="00E71E74">
        <w:trPr>
          <w:jc w:val="center"/>
        </w:trPr>
        <w:tc>
          <w:tcPr>
            <w:tcW w:w="2423" w:type="dxa"/>
            <w:shd w:val="clear" w:color="auto" w:fill="F3C3B7"/>
          </w:tcPr>
          <w:p w14:paraId="104844BD" w14:textId="77777777" w:rsidR="007158A6" w:rsidRPr="000D7A90" w:rsidRDefault="007158A6"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Type</w:t>
            </w:r>
          </w:p>
        </w:tc>
        <w:tc>
          <w:tcPr>
            <w:tcW w:w="4060" w:type="dxa"/>
            <w:shd w:val="clear" w:color="auto" w:fill="auto"/>
          </w:tcPr>
          <w:p w14:paraId="3F81AE39" w14:textId="77777777" w:rsidR="001A5B6C" w:rsidRPr="000D7A90" w:rsidRDefault="007158A6" w:rsidP="001F55C4">
            <w:pPr>
              <w:keepLines/>
              <w:spacing w:after="0" w:line="240" w:lineRule="auto"/>
              <w:jc w:val="both"/>
              <w:rPr>
                <w:rFonts w:ascii="Times New Roman" w:hAnsi="Times New Roman"/>
                <w:sz w:val="20"/>
                <w:szCs w:val="20"/>
              </w:rPr>
            </w:pPr>
            <w:r w:rsidRPr="000D7A90">
              <w:rPr>
                <w:rFonts w:ascii="Times New Roman" w:hAnsi="Times New Roman"/>
                <w:sz w:val="20"/>
                <w:szCs w:val="20"/>
              </w:rPr>
              <w:t xml:space="preserve">European Style </w:t>
            </w:r>
            <w:r w:rsidR="00D9124C" w:rsidRPr="000D7A90">
              <w:rPr>
                <w:rFonts w:ascii="Times New Roman" w:hAnsi="Times New Roman"/>
                <w:sz w:val="20"/>
                <w:szCs w:val="20"/>
              </w:rPr>
              <w:t>Cash Settled</w:t>
            </w:r>
            <w:r w:rsidR="00D30CEF" w:rsidRPr="000D7A90">
              <w:rPr>
                <w:rFonts w:ascii="Times New Roman" w:hAnsi="Times New Roman"/>
                <w:sz w:val="20"/>
                <w:szCs w:val="20"/>
              </w:rPr>
              <w:t xml:space="preserve"> </w:t>
            </w:r>
            <w:r w:rsidR="00A16967" w:rsidRPr="000D7A90">
              <w:rPr>
                <w:rFonts w:ascii="Times New Roman" w:hAnsi="Times New Roman"/>
                <w:sz w:val="20"/>
                <w:lang w:val="en-CA"/>
              </w:rPr>
              <w:t>Short</w:t>
            </w:r>
            <w:r w:rsidR="00D9124C" w:rsidRPr="000D7A90">
              <w:rPr>
                <w:rFonts w:ascii="Times New Roman" w:hAnsi="Times New Roman"/>
                <w:sz w:val="20"/>
                <w:szCs w:val="20"/>
              </w:rPr>
              <w:t xml:space="preserve"> </w:t>
            </w:r>
            <w:r w:rsidR="007A675A" w:rsidRPr="000D7A90">
              <w:rPr>
                <w:rFonts w:ascii="Times New Roman" w:hAnsi="Times New Roman"/>
                <w:sz w:val="20"/>
                <w:szCs w:val="20"/>
              </w:rPr>
              <w:t>Certificates</w:t>
            </w:r>
            <w:r w:rsidR="00FE0FC4" w:rsidRPr="000D7A90">
              <w:rPr>
                <w:rFonts w:ascii="Times New Roman" w:hAnsi="Times New Roman"/>
                <w:sz w:val="20"/>
                <w:szCs w:val="20"/>
              </w:rPr>
              <w:t xml:space="preserve"> on Single Equities</w:t>
            </w:r>
          </w:p>
        </w:tc>
        <w:tc>
          <w:tcPr>
            <w:tcW w:w="1437" w:type="dxa"/>
            <w:shd w:val="clear" w:color="auto" w:fill="F3C3B7"/>
          </w:tcPr>
          <w:p w14:paraId="6D0596F2" w14:textId="77777777" w:rsidR="007158A6" w:rsidRPr="000D7A90" w:rsidRDefault="007158A6"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 xml:space="preserve">Launch Date </w:t>
            </w:r>
          </w:p>
        </w:tc>
        <w:tc>
          <w:tcPr>
            <w:tcW w:w="3107" w:type="dxa"/>
            <w:gridSpan w:val="2"/>
            <w:shd w:val="clear" w:color="auto" w:fill="auto"/>
          </w:tcPr>
          <w:p w14:paraId="0A7CC4BE" w14:textId="77777777" w:rsidR="007158A6" w:rsidRPr="000D7A90" w:rsidRDefault="00E9309F" w:rsidP="005E4565">
            <w:pPr>
              <w:keepLines/>
              <w:spacing w:after="0" w:line="240" w:lineRule="auto"/>
              <w:jc w:val="both"/>
              <w:rPr>
                <w:rFonts w:ascii="Times New Roman" w:hAnsi="Times New Roman"/>
                <w:sz w:val="20"/>
                <w:szCs w:val="20"/>
                <w:lang w:val="fr-FR"/>
              </w:rPr>
            </w:pPr>
            <w:r w:rsidRPr="000D7A90">
              <w:rPr>
                <w:rFonts w:ascii="Times New Roman" w:hAnsi="Times New Roman"/>
                <w:sz w:val="20"/>
                <w:szCs w:val="20"/>
                <w:lang w:val="fr-FR"/>
              </w:rPr>
              <w:t>27 February 2025</w:t>
            </w:r>
          </w:p>
        </w:tc>
      </w:tr>
      <w:tr w:rsidR="004478DB" w:rsidRPr="000D7A90" w14:paraId="3C8BC8E0" w14:textId="77777777" w:rsidTr="00E71E74">
        <w:trPr>
          <w:trHeight w:val="377"/>
          <w:jc w:val="center"/>
        </w:trPr>
        <w:tc>
          <w:tcPr>
            <w:tcW w:w="2423" w:type="dxa"/>
            <w:shd w:val="clear" w:color="auto" w:fill="F3C3B7"/>
          </w:tcPr>
          <w:p w14:paraId="2B215658" w14:textId="77777777" w:rsidR="002B36C0" w:rsidRPr="000D7A90" w:rsidRDefault="00316C5E" w:rsidP="00680F39">
            <w:pPr>
              <w:keepLines/>
              <w:spacing w:after="0" w:line="240" w:lineRule="auto"/>
              <w:jc w:val="both"/>
              <w:rPr>
                <w:rFonts w:ascii="Times New Roman" w:hAnsi="Times New Roman"/>
                <w:b/>
                <w:sz w:val="20"/>
                <w:szCs w:val="20"/>
              </w:rPr>
            </w:pPr>
            <w:r w:rsidRPr="000D7A90">
              <w:rPr>
                <w:rFonts w:ascii="Times New Roman" w:hAnsi="Times New Roman"/>
                <w:b/>
                <w:lang w:val="en-CA"/>
              </w:rPr>
              <w:t>Underlying Stock</w:t>
            </w:r>
          </w:p>
        </w:tc>
        <w:tc>
          <w:tcPr>
            <w:tcW w:w="4060" w:type="dxa"/>
            <w:shd w:val="clear" w:color="auto" w:fill="auto"/>
          </w:tcPr>
          <w:p w14:paraId="38FA4137" w14:textId="77777777" w:rsidR="00EB2213" w:rsidRPr="000D7A90" w:rsidRDefault="00680F39" w:rsidP="0012361A">
            <w:pPr>
              <w:autoSpaceDE w:val="0"/>
              <w:autoSpaceDN w:val="0"/>
              <w:spacing w:after="0" w:line="240" w:lineRule="auto"/>
              <w:rPr>
                <w:rFonts w:ascii="Times New Roman" w:hAnsi="Times New Roman"/>
                <w:lang w:val="en-US"/>
              </w:rPr>
            </w:pPr>
            <w:r w:rsidRPr="000D7A90">
              <w:rPr>
                <w:rFonts w:ascii="Times New Roman" w:hAnsi="Times New Roman"/>
                <w:sz w:val="20"/>
                <w:szCs w:val="20"/>
              </w:rPr>
              <w:t>Ordinary H shares of BYD Company Limited</w:t>
            </w:r>
          </w:p>
        </w:tc>
        <w:tc>
          <w:tcPr>
            <w:tcW w:w="1437" w:type="dxa"/>
            <w:shd w:val="clear" w:color="auto" w:fill="F3C3B7"/>
          </w:tcPr>
          <w:p w14:paraId="73A4AD40" w14:textId="77777777" w:rsidR="002B36C0" w:rsidRPr="000D7A90" w:rsidRDefault="002B36C0" w:rsidP="00894700">
            <w:pPr>
              <w:keepLines/>
              <w:spacing w:after="0" w:line="240" w:lineRule="auto"/>
              <w:jc w:val="both"/>
              <w:rPr>
                <w:rFonts w:ascii="Times New Roman" w:hAnsi="Times New Roman"/>
                <w:b/>
                <w:sz w:val="20"/>
                <w:szCs w:val="20"/>
              </w:rPr>
            </w:pPr>
            <w:r w:rsidRPr="000D7A90">
              <w:rPr>
                <w:rFonts w:ascii="Times New Roman" w:hAnsi="Times New Roman"/>
                <w:b/>
                <w:sz w:val="20"/>
                <w:szCs w:val="20"/>
                <w:lang w:val="en-CA"/>
              </w:rPr>
              <w:t>Issue/Initial Settlement Date</w:t>
            </w:r>
          </w:p>
        </w:tc>
        <w:tc>
          <w:tcPr>
            <w:tcW w:w="3107" w:type="dxa"/>
            <w:gridSpan w:val="2"/>
            <w:shd w:val="clear" w:color="auto" w:fill="auto"/>
          </w:tcPr>
          <w:p w14:paraId="0F975B07" w14:textId="77777777" w:rsidR="002B36C0" w:rsidRPr="000D7A90" w:rsidRDefault="00E9309F" w:rsidP="009733A2">
            <w:pPr>
              <w:keepLines/>
              <w:spacing w:after="0" w:line="240" w:lineRule="auto"/>
              <w:jc w:val="both"/>
              <w:rPr>
                <w:rFonts w:ascii="Times New Roman" w:hAnsi="Times New Roman"/>
                <w:sz w:val="20"/>
                <w:szCs w:val="20"/>
                <w:lang w:val="en-CA"/>
              </w:rPr>
            </w:pPr>
            <w:r w:rsidRPr="000D7A90">
              <w:rPr>
                <w:rFonts w:ascii="Times New Roman" w:hAnsi="Times New Roman"/>
                <w:sz w:val="20"/>
                <w:szCs w:val="20"/>
              </w:rPr>
              <w:t>03 March 2025</w:t>
            </w:r>
          </w:p>
        </w:tc>
      </w:tr>
      <w:tr w:rsidR="004478DB" w:rsidRPr="005903ED" w14:paraId="6076DA4E" w14:textId="77777777" w:rsidTr="00E71E74">
        <w:trPr>
          <w:trHeight w:val="440"/>
          <w:jc w:val="center"/>
        </w:trPr>
        <w:tc>
          <w:tcPr>
            <w:tcW w:w="2423" w:type="dxa"/>
            <w:shd w:val="clear" w:color="auto" w:fill="F3C3B7"/>
          </w:tcPr>
          <w:p w14:paraId="59A60F17" w14:textId="77777777" w:rsidR="00472775" w:rsidRPr="000D7A90" w:rsidRDefault="00E71E74" w:rsidP="00A44B0F">
            <w:pPr>
              <w:keepLines/>
              <w:spacing w:after="0" w:line="240" w:lineRule="auto"/>
              <w:jc w:val="both"/>
              <w:rPr>
                <w:rFonts w:ascii="Times New Roman" w:hAnsi="Times New Roman"/>
                <w:b/>
                <w:sz w:val="20"/>
                <w:szCs w:val="20"/>
                <w:lang w:val="en-CA"/>
              </w:rPr>
            </w:pPr>
            <w:r w:rsidRPr="000D7A90">
              <w:rPr>
                <w:rFonts w:ascii="Times New Roman" w:hAnsi="Times New Roman"/>
                <w:b/>
                <w:lang w:val="en-CA"/>
              </w:rPr>
              <w:t>Company</w:t>
            </w:r>
          </w:p>
        </w:tc>
        <w:tc>
          <w:tcPr>
            <w:tcW w:w="4060" w:type="dxa"/>
            <w:shd w:val="clear" w:color="auto" w:fill="auto"/>
          </w:tcPr>
          <w:p w14:paraId="529DDDC4" w14:textId="77777777" w:rsidR="00472775" w:rsidRPr="000D7A90" w:rsidRDefault="00680F39" w:rsidP="00374E1A">
            <w:pPr>
              <w:keepLines/>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BYD Company Limited</w:t>
            </w:r>
            <w:r w:rsidR="00D30CEF" w:rsidRPr="000D7A90">
              <w:rPr>
                <w:rFonts w:ascii="Times New Roman" w:hAnsi="Times New Roman"/>
                <w:sz w:val="20"/>
                <w:szCs w:val="20"/>
                <w:lang w:val="en-CA"/>
              </w:rPr>
              <w:t xml:space="preserve"> </w:t>
            </w:r>
            <w:r w:rsidR="00316C5E" w:rsidRPr="000D7A90">
              <w:rPr>
                <w:rFonts w:ascii="Times New Roman" w:hAnsi="Times New Roman"/>
                <w:sz w:val="20"/>
                <w:szCs w:val="20"/>
                <w:lang w:val="en-CA"/>
              </w:rPr>
              <w:t xml:space="preserve">(RIC: </w:t>
            </w:r>
            <w:r w:rsidR="00DB142B" w:rsidRPr="000D7A90">
              <w:rPr>
                <w:rFonts w:ascii="Times New Roman" w:hAnsi="Times New Roman"/>
                <w:sz w:val="20"/>
                <w:szCs w:val="20"/>
                <w:lang w:val="en-CA"/>
              </w:rPr>
              <w:t>1211.HK)</w:t>
            </w:r>
          </w:p>
        </w:tc>
        <w:tc>
          <w:tcPr>
            <w:tcW w:w="1437" w:type="dxa"/>
            <w:shd w:val="clear" w:color="auto" w:fill="F3C3B7"/>
          </w:tcPr>
          <w:p w14:paraId="0D517E13" w14:textId="77777777" w:rsidR="00472775" w:rsidRPr="000D7A90" w:rsidRDefault="00472775" w:rsidP="00894700">
            <w:pPr>
              <w:keepLines/>
              <w:spacing w:after="0" w:line="240" w:lineRule="auto"/>
              <w:jc w:val="both"/>
              <w:rPr>
                <w:rFonts w:ascii="Times New Roman" w:hAnsi="Times New Roman"/>
                <w:b/>
                <w:sz w:val="20"/>
                <w:szCs w:val="20"/>
                <w:lang w:val="en-CA"/>
              </w:rPr>
            </w:pPr>
            <w:r w:rsidRPr="000D7A90">
              <w:rPr>
                <w:rFonts w:ascii="Times New Roman" w:hAnsi="Times New Roman"/>
                <w:b/>
                <w:sz w:val="20"/>
                <w:szCs w:val="20"/>
              </w:rPr>
              <w:t>Expected Listing Date</w:t>
            </w:r>
          </w:p>
        </w:tc>
        <w:tc>
          <w:tcPr>
            <w:tcW w:w="3107" w:type="dxa"/>
            <w:gridSpan w:val="2"/>
            <w:shd w:val="clear" w:color="auto" w:fill="auto"/>
          </w:tcPr>
          <w:p w14:paraId="0A5E5887" w14:textId="77777777" w:rsidR="00472775" w:rsidRPr="000D7A90" w:rsidRDefault="00E9309F" w:rsidP="005E4565">
            <w:pPr>
              <w:keepLines/>
              <w:spacing w:after="0" w:line="240" w:lineRule="auto"/>
              <w:jc w:val="both"/>
              <w:rPr>
                <w:rFonts w:ascii="Times New Roman" w:hAnsi="Times New Roman"/>
                <w:sz w:val="20"/>
                <w:szCs w:val="20"/>
                <w:lang w:val="fr-FR"/>
              </w:rPr>
            </w:pPr>
            <w:r w:rsidRPr="000D7A90">
              <w:rPr>
                <w:rFonts w:ascii="Times New Roman" w:hAnsi="Times New Roman"/>
                <w:sz w:val="20"/>
                <w:szCs w:val="20"/>
                <w:lang w:val="fr-FR"/>
              </w:rPr>
              <w:t>04 March 2025</w:t>
            </w:r>
          </w:p>
        </w:tc>
      </w:tr>
      <w:tr w:rsidR="004478DB" w:rsidRPr="000D7A90" w14:paraId="57027062" w14:textId="77777777" w:rsidTr="00E71E74">
        <w:trPr>
          <w:trHeight w:val="467"/>
          <w:jc w:val="center"/>
        </w:trPr>
        <w:tc>
          <w:tcPr>
            <w:tcW w:w="2423" w:type="dxa"/>
            <w:shd w:val="clear" w:color="auto" w:fill="F3C3B7"/>
          </w:tcPr>
          <w:p w14:paraId="4AA1C311" w14:textId="77777777" w:rsidR="00650E36" w:rsidRPr="000D7A90" w:rsidRDefault="00650E36" w:rsidP="00E71E74">
            <w:pPr>
              <w:keepLines/>
              <w:spacing w:after="0" w:line="240" w:lineRule="auto"/>
              <w:rPr>
                <w:rFonts w:ascii="Times New Roman" w:hAnsi="Times New Roman"/>
                <w:b/>
                <w:sz w:val="20"/>
                <w:szCs w:val="20"/>
              </w:rPr>
            </w:pPr>
            <w:r w:rsidRPr="000D7A90">
              <w:rPr>
                <w:rFonts w:ascii="Times New Roman" w:hAnsi="Times New Roman"/>
                <w:b/>
                <w:sz w:val="20"/>
                <w:szCs w:val="20"/>
              </w:rPr>
              <w:t>Underlying Price</w:t>
            </w:r>
            <w:r w:rsidRPr="000D7A90">
              <w:rPr>
                <w:rStyle w:val="FootnoteReference"/>
                <w:rFonts w:ascii="Times New Roman" w:hAnsi="Times New Roman"/>
                <w:b/>
                <w:sz w:val="20"/>
                <w:szCs w:val="20"/>
              </w:rPr>
              <w:footnoteReference w:id="3"/>
            </w:r>
            <w:r w:rsidRPr="000D7A90">
              <w:rPr>
                <w:rFonts w:ascii="Times New Roman" w:hAnsi="Times New Roman"/>
                <w:b/>
                <w:sz w:val="20"/>
                <w:szCs w:val="20"/>
              </w:rPr>
              <w:t xml:space="preserve"> and Source </w:t>
            </w:r>
          </w:p>
        </w:tc>
        <w:tc>
          <w:tcPr>
            <w:tcW w:w="4060" w:type="dxa"/>
            <w:shd w:val="clear" w:color="auto" w:fill="auto"/>
          </w:tcPr>
          <w:p w14:paraId="3AC5501F" w14:textId="77777777" w:rsidR="00650E36" w:rsidRPr="000D7A90" w:rsidRDefault="00F01A6A" w:rsidP="00E71E74">
            <w:pPr>
              <w:keepLines/>
              <w:spacing w:after="0" w:line="240" w:lineRule="auto"/>
              <w:jc w:val="both"/>
              <w:rPr>
                <w:rFonts w:ascii="Times New Roman" w:hAnsi="Times New Roman"/>
                <w:sz w:val="20"/>
                <w:szCs w:val="20"/>
              </w:rPr>
            </w:pPr>
            <w:r w:rsidRPr="00B77BCF">
              <w:rPr>
                <w:rFonts w:ascii="Times New Roman" w:hAnsi="Times New Roman"/>
                <w:bCs/>
                <w:sz w:val="20"/>
                <w:szCs w:val="20"/>
                <w:lang w:val="en-CA"/>
              </w:rPr>
              <w:t>HKD</w:t>
            </w:r>
            <w:bookmarkStart w:id="1" w:name="_Hlk80637650"/>
            <w:r w:rsidR="00884E0F" w:rsidRPr="00B77BCF">
              <w:rPr>
                <w:rFonts w:ascii="Times New Roman" w:hAnsi="Times New Roman"/>
                <w:sz w:val="20"/>
                <w:szCs w:val="20"/>
              </w:rPr>
              <w:t>268.60</w:t>
            </w:r>
            <w:bookmarkEnd w:id="1"/>
            <w:r w:rsidR="00884E0F" w:rsidRPr="008049EA">
              <w:rPr>
                <w:rFonts w:ascii="Times New Roman" w:hAnsi="Times New Roman"/>
                <w:sz w:val="20"/>
                <w:szCs w:val="20"/>
              </w:rPr>
              <w:t>,</w:t>
            </w:r>
            <w:r w:rsidR="00FE6CBD">
              <w:rPr>
                <w:rFonts w:ascii="Times New Roman" w:hAnsi="Times New Roman"/>
                <w:sz w:val="20"/>
                <w:szCs w:val="20"/>
              </w:rPr>
              <w:t xml:space="preserve"> t</w:t>
            </w:r>
            <w:r w:rsidR="00695CEB" w:rsidRPr="000D7A90">
              <w:rPr>
                <w:rFonts w:ascii="Times New Roman" w:hAnsi="Times New Roman"/>
                <w:sz w:val="20"/>
                <w:szCs w:val="20"/>
              </w:rPr>
              <w:t xml:space="preserve">he closing price of the Underlying Stock </w:t>
            </w:r>
            <w:r w:rsidR="0071203F" w:rsidRPr="000D7A90">
              <w:rPr>
                <w:rFonts w:ascii="Times New Roman" w:hAnsi="Times New Roman"/>
                <w:sz w:val="20"/>
                <w:szCs w:val="20"/>
                <w:lang w:val="en-CA"/>
              </w:rPr>
              <w:t>o</w:t>
            </w:r>
            <w:r w:rsidR="00650E36" w:rsidRPr="000D7A90">
              <w:rPr>
                <w:rFonts w:ascii="Times New Roman" w:hAnsi="Times New Roman"/>
                <w:sz w:val="20"/>
                <w:szCs w:val="20"/>
              </w:rPr>
              <w:t xml:space="preserve">n </w:t>
            </w:r>
            <w:r w:rsidR="00884E0F" w:rsidRPr="00884E0F">
              <w:rPr>
                <w:rFonts w:ascii="Times New Roman" w:hAnsi="Times New Roman"/>
                <w:sz w:val="20"/>
                <w:szCs w:val="20"/>
              </w:rPr>
              <w:t>19 December 2024</w:t>
            </w:r>
            <w:r w:rsidR="00650E36" w:rsidRPr="000D7A90">
              <w:rPr>
                <w:rFonts w:ascii="Times New Roman" w:hAnsi="Times New Roman"/>
                <w:sz w:val="20"/>
                <w:szCs w:val="20"/>
              </w:rPr>
              <w:t xml:space="preserve"> </w:t>
            </w:r>
            <w:r w:rsidR="00EF6E1C" w:rsidRPr="000D7A90">
              <w:rPr>
                <w:rFonts w:ascii="Times New Roman" w:hAnsi="Times New Roman"/>
                <w:sz w:val="20"/>
                <w:szCs w:val="20"/>
              </w:rPr>
              <w:t>(Reuters</w:t>
            </w:r>
            <w:r w:rsidR="00650E36" w:rsidRPr="000D7A90">
              <w:rPr>
                <w:rFonts w:ascii="Times New Roman" w:hAnsi="Times New Roman"/>
                <w:sz w:val="20"/>
                <w:szCs w:val="20"/>
              </w:rPr>
              <w:t>)</w:t>
            </w:r>
          </w:p>
        </w:tc>
        <w:tc>
          <w:tcPr>
            <w:tcW w:w="1437" w:type="dxa"/>
            <w:vMerge w:val="restart"/>
            <w:shd w:val="clear" w:color="auto" w:fill="F3C3B7"/>
          </w:tcPr>
          <w:p w14:paraId="3E9F9326" w14:textId="77777777" w:rsidR="00650E36" w:rsidRPr="000D7A90" w:rsidRDefault="00650E36" w:rsidP="00E71E74">
            <w:pPr>
              <w:keepLines/>
              <w:spacing w:after="0" w:line="240" w:lineRule="auto"/>
              <w:jc w:val="both"/>
              <w:rPr>
                <w:rFonts w:ascii="Times New Roman" w:hAnsi="Times New Roman"/>
                <w:b/>
                <w:sz w:val="20"/>
                <w:szCs w:val="20"/>
              </w:rPr>
            </w:pPr>
            <w:r w:rsidRPr="000D7A90">
              <w:rPr>
                <w:rFonts w:ascii="Times New Roman" w:hAnsi="Times New Roman"/>
                <w:b/>
                <w:sz w:val="20"/>
                <w:szCs w:val="20"/>
              </w:rPr>
              <w:t>Expiry Date</w:t>
            </w:r>
            <w:r w:rsidRPr="000D7A90" w:rsidDel="00472775">
              <w:rPr>
                <w:rFonts w:ascii="Times New Roman" w:hAnsi="Times New Roman"/>
                <w:b/>
                <w:sz w:val="20"/>
                <w:szCs w:val="20"/>
              </w:rPr>
              <w:t xml:space="preserve"> </w:t>
            </w:r>
          </w:p>
        </w:tc>
        <w:tc>
          <w:tcPr>
            <w:tcW w:w="3107" w:type="dxa"/>
            <w:gridSpan w:val="2"/>
            <w:vMerge w:val="restart"/>
            <w:shd w:val="clear" w:color="auto" w:fill="auto"/>
          </w:tcPr>
          <w:p w14:paraId="0ADCE323" w14:textId="77777777" w:rsidR="00650E36" w:rsidRPr="000D7A90" w:rsidRDefault="00650E36" w:rsidP="00343DBA">
            <w:pPr>
              <w:pStyle w:val="PlainText"/>
              <w:spacing w:line="290" w:lineRule="auto"/>
              <w:jc w:val="both"/>
            </w:pPr>
            <w:r w:rsidRPr="000D7A90">
              <w:rPr>
                <w:rFonts w:ascii="Times New Roman" w:hAnsi="Times New Roman"/>
                <w:lang w:val="en-CA"/>
              </w:rPr>
              <w:t>17 December 2026</w:t>
            </w:r>
            <w:r w:rsidRPr="000D7A90">
              <w:rPr>
                <w:rFonts w:ascii="Times New Roman" w:hAnsi="Times New Roman"/>
              </w:rPr>
              <w:t xml:space="preserve"> </w:t>
            </w:r>
            <w:r w:rsidRPr="000D7A90">
              <w:rPr>
                <w:rFonts w:ascii="Times New Roman" w:eastAsia="SimHei" w:hAnsi="Times New Roman"/>
                <w:lang w:val="en-CA" w:eastAsia="zh-CN"/>
              </w:rPr>
              <w:t xml:space="preserve">(if the Expiry Date is not a Business Day, then the Expiry Date shall fall on the preceding Business Day and subject to adjustment of the Valuation Date upon the occurrence of Market </w:t>
            </w:r>
            <w:r w:rsidRPr="000D7A90">
              <w:rPr>
                <w:rFonts w:ascii="Times New Roman" w:eastAsia="SimHei" w:hAnsi="Times New Roman"/>
                <w:lang w:val="en-CA" w:eastAsia="zh-CN"/>
              </w:rPr>
              <w:lastRenderedPageBreak/>
              <w:t>Disruption Events as set out in the Conditions of the Certificates)</w:t>
            </w:r>
          </w:p>
        </w:tc>
      </w:tr>
      <w:tr w:rsidR="004478DB" w:rsidRPr="000D7A90" w14:paraId="7AC42D01" w14:textId="77777777" w:rsidTr="00E71E74">
        <w:trPr>
          <w:trHeight w:val="530"/>
          <w:jc w:val="center"/>
        </w:trPr>
        <w:tc>
          <w:tcPr>
            <w:tcW w:w="2423" w:type="dxa"/>
            <w:shd w:val="clear" w:color="auto" w:fill="F3C3B7"/>
          </w:tcPr>
          <w:p w14:paraId="139E420F" w14:textId="77777777" w:rsidR="00650E36" w:rsidRPr="000D7A90" w:rsidDel="00685E5E" w:rsidRDefault="00650E36" w:rsidP="00E71E74">
            <w:pPr>
              <w:keepLines/>
              <w:spacing w:after="0" w:line="240" w:lineRule="auto"/>
              <w:jc w:val="both"/>
              <w:rPr>
                <w:rFonts w:ascii="Times New Roman" w:hAnsi="Times New Roman"/>
                <w:b/>
                <w:sz w:val="20"/>
                <w:szCs w:val="20"/>
                <w:lang w:val="en-CA"/>
              </w:rPr>
            </w:pPr>
            <w:r w:rsidRPr="000D7A90">
              <w:rPr>
                <w:rFonts w:ascii="Times New Roman" w:hAnsi="Times New Roman"/>
                <w:b/>
                <w:sz w:val="20"/>
                <w:szCs w:val="20"/>
                <w:lang w:val="en-CA"/>
              </w:rPr>
              <w:t>Calculation Agent</w:t>
            </w:r>
          </w:p>
        </w:tc>
        <w:tc>
          <w:tcPr>
            <w:tcW w:w="4060" w:type="dxa"/>
            <w:shd w:val="clear" w:color="auto" w:fill="auto"/>
          </w:tcPr>
          <w:p w14:paraId="395906DA" w14:textId="77777777" w:rsidR="00650E36" w:rsidRPr="000D7A90" w:rsidRDefault="00650E36" w:rsidP="00E71E74">
            <w:pPr>
              <w:keepLines/>
              <w:spacing w:after="0" w:line="240" w:lineRule="auto"/>
              <w:rPr>
                <w:rFonts w:ascii="Times New Roman" w:hAnsi="Times New Roman"/>
                <w:sz w:val="20"/>
                <w:szCs w:val="20"/>
                <w:lang w:val="en-CA"/>
              </w:rPr>
            </w:pPr>
            <w:r w:rsidRPr="000D7A90">
              <w:rPr>
                <w:rFonts w:ascii="Times New Roman" w:hAnsi="Times New Roman"/>
                <w:sz w:val="20"/>
                <w:szCs w:val="20"/>
                <w:lang w:val="en-CA"/>
              </w:rPr>
              <w:t>Société Générale</w:t>
            </w:r>
          </w:p>
          <w:p w14:paraId="2768A506" w14:textId="77777777" w:rsidR="00650E36" w:rsidRPr="000D7A90" w:rsidDel="00685E5E" w:rsidRDefault="00650E36" w:rsidP="00E71E74">
            <w:pPr>
              <w:keepLines/>
              <w:spacing w:after="0" w:line="240" w:lineRule="auto"/>
              <w:jc w:val="both"/>
              <w:rPr>
                <w:rFonts w:ascii="Times New Roman" w:hAnsi="Times New Roman"/>
                <w:sz w:val="20"/>
                <w:szCs w:val="20"/>
                <w:lang w:val="en-CA"/>
              </w:rPr>
            </w:pPr>
          </w:p>
        </w:tc>
        <w:tc>
          <w:tcPr>
            <w:tcW w:w="1437" w:type="dxa"/>
            <w:vMerge/>
            <w:shd w:val="clear" w:color="auto" w:fill="F3C3B7"/>
          </w:tcPr>
          <w:p w14:paraId="748FAA1F" w14:textId="77777777" w:rsidR="00650E36" w:rsidRPr="000D7A90" w:rsidRDefault="00650E36" w:rsidP="00E71E74">
            <w:pPr>
              <w:keepLines/>
              <w:spacing w:after="0" w:line="240" w:lineRule="auto"/>
              <w:jc w:val="both"/>
              <w:rPr>
                <w:rFonts w:ascii="Times New Roman" w:hAnsi="Times New Roman"/>
                <w:b/>
                <w:sz w:val="20"/>
                <w:szCs w:val="20"/>
              </w:rPr>
            </w:pPr>
          </w:p>
        </w:tc>
        <w:tc>
          <w:tcPr>
            <w:tcW w:w="3107" w:type="dxa"/>
            <w:gridSpan w:val="2"/>
            <w:vMerge/>
            <w:shd w:val="clear" w:color="auto" w:fill="auto"/>
          </w:tcPr>
          <w:p w14:paraId="467E6A63" w14:textId="77777777" w:rsidR="00650E36" w:rsidRPr="000D7A90" w:rsidRDefault="00650E36" w:rsidP="00E71E74">
            <w:pPr>
              <w:keepLines/>
              <w:spacing w:after="0" w:line="240" w:lineRule="auto"/>
              <w:jc w:val="both"/>
              <w:rPr>
                <w:rFonts w:ascii="Times New Roman" w:hAnsi="Times New Roman"/>
                <w:sz w:val="20"/>
                <w:szCs w:val="20"/>
                <w:lang w:val="en-CA"/>
              </w:rPr>
            </w:pPr>
          </w:p>
        </w:tc>
      </w:tr>
      <w:tr w:rsidR="004478DB" w:rsidRPr="000D7A90" w14:paraId="2E9D3F1C" w14:textId="77777777" w:rsidTr="00E71E74">
        <w:trPr>
          <w:trHeight w:val="485"/>
          <w:jc w:val="center"/>
        </w:trPr>
        <w:tc>
          <w:tcPr>
            <w:tcW w:w="2423" w:type="dxa"/>
            <w:shd w:val="clear" w:color="auto" w:fill="F3C3B7"/>
          </w:tcPr>
          <w:p w14:paraId="52FF85C9" w14:textId="77777777" w:rsidR="00650E36" w:rsidRPr="000D7A90" w:rsidRDefault="00650E36" w:rsidP="00E61C27">
            <w:pPr>
              <w:keepLines/>
              <w:spacing w:after="0" w:line="240" w:lineRule="auto"/>
              <w:rPr>
                <w:rFonts w:ascii="Times New Roman" w:hAnsi="Times New Roman"/>
                <w:b/>
                <w:sz w:val="20"/>
                <w:szCs w:val="20"/>
              </w:rPr>
            </w:pPr>
            <w:r w:rsidRPr="000D7A90">
              <w:rPr>
                <w:rFonts w:ascii="Times New Roman" w:hAnsi="Times New Roman"/>
                <w:b/>
                <w:sz w:val="20"/>
                <w:szCs w:val="20"/>
              </w:rPr>
              <w:t>Issue Price</w:t>
            </w:r>
          </w:p>
        </w:tc>
        <w:tc>
          <w:tcPr>
            <w:tcW w:w="4060" w:type="dxa"/>
            <w:shd w:val="clear" w:color="auto" w:fill="auto"/>
          </w:tcPr>
          <w:p w14:paraId="2FBC44C4" w14:textId="77777777" w:rsidR="00650E36" w:rsidRPr="000D7A90" w:rsidRDefault="00650E36" w:rsidP="00CB63C9">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SGD 1.00</w:t>
            </w:r>
          </w:p>
        </w:tc>
        <w:tc>
          <w:tcPr>
            <w:tcW w:w="1437" w:type="dxa"/>
            <w:vMerge/>
            <w:shd w:val="clear" w:color="auto" w:fill="F3C3B7"/>
          </w:tcPr>
          <w:p w14:paraId="64A6D763" w14:textId="77777777" w:rsidR="00650E36" w:rsidRPr="000D7A90" w:rsidRDefault="00650E36" w:rsidP="00A44B0F">
            <w:pPr>
              <w:keepLines/>
              <w:spacing w:after="0" w:line="240" w:lineRule="auto"/>
              <w:jc w:val="both"/>
              <w:rPr>
                <w:rFonts w:ascii="Times New Roman" w:hAnsi="Times New Roman"/>
                <w:b/>
                <w:sz w:val="20"/>
                <w:szCs w:val="20"/>
              </w:rPr>
            </w:pPr>
          </w:p>
        </w:tc>
        <w:tc>
          <w:tcPr>
            <w:tcW w:w="3107" w:type="dxa"/>
            <w:gridSpan w:val="2"/>
            <w:vMerge/>
            <w:shd w:val="clear" w:color="auto" w:fill="auto"/>
          </w:tcPr>
          <w:p w14:paraId="6FA1D60A" w14:textId="77777777" w:rsidR="00650E36" w:rsidRPr="000D7A90" w:rsidRDefault="00650E36" w:rsidP="00A11A9C">
            <w:pPr>
              <w:pStyle w:val="PlainText"/>
              <w:spacing w:line="290" w:lineRule="auto"/>
              <w:jc w:val="both"/>
              <w:rPr>
                <w:rFonts w:ascii="Times New Roman" w:hAnsi="Times New Roman"/>
              </w:rPr>
            </w:pPr>
          </w:p>
        </w:tc>
      </w:tr>
      <w:tr w:rsidR="004478DB" w:rsidRPr="000D7A90" w14:paraId="4FFAB4C5" w14:textId="77777777" w:rsidTr="00E71E74">
        <w:trPr>
          <w:trHeight w:val="638"/>
          <w:jc w:val="center"/>
        </w:trPr>
        <w:tc>
          <w:tcPr>
            <w:tcW w:w="2423" w:type="dxa"/>
            <w:shd w:val="clear" w:color="auto" w:fill="F3C3B7"/>
          </w:tcPr>
          <w:p w14:paraId="618AEA37" w14:textId="77777777" w:rsidR="00A11A9C" w:rsidRPr="000D7A90" w:rsidRDefault="005E6299" w:rsidP="00E61C27">
            <w:pPr>
              <w:keepLines/>
              <w:spacing w:after="0" w:line="240" w:lineRule="auto"/>
              <w:rPr>
                <w:rFonts w:ascii="Times New Roman" w:hAnsi="Times New Roman"/>
                <w:b/>
                <w:sz w:val="20"/>
                <w:szCs w:val="20"/>
              </w:rPr>
            </w:pPr>
            <w:r w:rsidRPr="000D7A90">
              <w:rPr>
                <w:rFonts w:ascii="Times New Roman" w:hAnsi="Times New Roman"/>
                <w:b/>
                <w:sz w:val="20"/>
                <w:szCs w:val="20"/>
              </w:rPr>
              <w:t>Strike Level</w:t>
            </w:r>
          </w:p>
        </w:tc>
        <w:tc>
          <w:tcPr>
            <w:tcW w:w="4060" w:type="dxa"/>
            <w:shd w:val="clear" w:color="auto" w:fill="auto"/>
          </w:tcPr>
          <w:p w14:paraId="2948200A" w14:textId="77777777" w:rsidR="00A11A9C" w:rsidRPr="000D7A90" w:rsidRDefault="005E6299" w:rsidP="00A44B0F">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Zero</w:t>
            </w:r>
          </w:p>
        </w:tc>
        <w:tc>
          <w:tcPr>
            <w:tcW w:w="1437" w:type="dxa"/>
            <w:vMerge w:val="restart"/>
            <w:shd w:val="clear" w:color="auto" w:fill="F3C3B7"/>
          </w:tcPr>
          <w:p w14:paraId="4F01F43A" w14:textId="77777777" w:rsidR="00A11A9C" w:rsidRPr="000D7A90" w:rsidRDefault="00A11A9C"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Valuation Date</w:t>
            </w:r>
            <w:r w:rsidRPr="000D7A90" w:rsidDel="00A11A9C">
              <w:rPr>
                <w:rFonts w:ascii="Times New Roman" w:hAnsi="Times New Roman"/>
                <w:b/>
                <w:sz w:val="20"/>
                <w:szCs w:val="20"/>
              </w:rPr>
              <w:t xml:space="preserve"> </w:t>
            </w:r>
          </w:p>
          <w:p w14:paraId="190331AF" w14:textId="77777777" w:rsidR="00A11A9C" w:rsidRPr="000D7A90" w:rsidRDefault="00A11A9C" w:rsidP="00A44B0F">
            <w:pPr>
              <w:keepLines/>
              <w:spacing w:after="0" w:line="240" w:lineRule="auto"/>
              <w:jc w:val="both"/>
              <w:rPr>
                <w:rFonts w:ascii="Times New Roman" w:hAnsi="Times New Roman"/>
                <w:b/>
                <w:sz w:val="20"/>
                <w:szCs w:val="20"/>
              </w:rPr>
            </w:pPr>
          </w:p>
        </w:tc>
        <w:tc>
          <w:tcPr>
            <w:tcW w:w="3107" w:type="dxa"/>
            <w:gridSpan w:val="2"/>
            <w:vMerge w:val="restart"/>
            <w:shd w:val="clear" w:color="auto" w:fill="auto"/>
          </w:tcPr>
          <w:p w14:paraId="2A95CD88" w14:textId="77777777" w:rsidR="006B44B6" w:rsidRPr="00C52B5C" w:rsidRDefault="00E9309F" w:rsidP="00E51733">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16 December 2026</w:t>
            </w:r>
            <w:r w:rsidR="00A11A9C" w:rsidRPr="000D7A90">
              <w:rPr>
                <w:rFonts w:ascii="Times New Roman" w:hAnsi="Times New Roman"/>
                <w:sz w:val="20"/>
                <w:szCs w:val="20"/>
                <w:lang w:val="en-CA"/>
              </w:rPr>
              <w:t xml:space="preserve"> or if such day is not an </w:t>
            </w:r>
            <w:r w:rsidR="00C208FB" w:rsidRPr="000D7A90">
              <w:rPr>
                <w:rFonts w:ascii="Times New Roman" w:hAnsi="Times New Roman"/>
                <w:sz w:val="20"/>
                <w:szCs w:val="20"/>
                <w:lang w:val="en-CA"/>
              </w:rPr>
              <w:t>Exchange</w:t>
            </w:r>
            <w:r w:rsidR="00A11A9C" w:rsidRPr="000D7A90">
              <w:rPr>
                <w:rFonts w:ascii="Times New Roman" w:hAnsi="Times New Roman"/>
                <w:sz w:val="20"/>
                <w:szCs w:val="20"/>
                <w:lang w:val="en-CA"/>
              </w:rPr>
              <w:t xml:space="preserve"> Business Day, the immediately preceding</w:t>
            </w:r>
            <w:r w:rsidR="00A11A9C" w:rsidRPr="000D7A90">
              <w:rPr>
                <w:rFonts w:ascii="Times New Roman" w:hAnsi="Times New Roman"/>
                <w:sz w:val="20"/>
                <w:szCs w:val="20"/>
              </w:rPr>
              <w:t xml:space="preserve"> </w:t>
            </w:r>
            <w:r w:rsidR="00C208FB" w:rsidRPr="000D7A90">
              <w:rPr>
                <w:rFonts w:ascii="Times New Roman" w:hAnsi="Times New Roman"/>
                <w:sz w:val="20"/>
                <w:szCs w:val="20"/>
              </w:rPr>
              <w:t>Exchange</w:t>
            </w:r>
            <w:r w:rsidR="00A11A9C" w:rsidRPr="000D7A90">
              <w:rPr>
                <w:rFonts w:ascii="Times New Roman" w:hAnsi="Times New Roman"/>
                <w:sz w:val="20"/>
                <w:szCs w:val="20"/>
              </w:rPr>
              <w:t xml:space="preserve"> Business Day.</w:t>
            </w:r>
          </w:p>
        </w:tc>
      </w:tr>
      <w:tr w:rsidR="004478DB" w:rsidRPr="000D7A90" w14:paraId="52547D5E" w14:textId="77777777" w:rsidTr="00E71E74">
        <w:trPr>
          <w:trHeight w:val="629"/>
          <w:jc w:val="center"/>
        </w:trPr>
        <w:tc>
          <w:tcPr>
            <w:tcW w:w="2423" w:type="dxa"/>
            <w:shd w:val="clear" w:color="auto" w:fill="F3C3B7"/>
          </w:tcPr>
          <w:p w14:paraId="5FF5C5A7" w14:textId="77777777" w:rsidR="005E6299" w:rsidRPr="000D7A90" w:rsidRDefault="00E23A8A"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Daily Leverage</w:t>
            </w:r>
          </w:p>
          <w:p w14:paraId="72AC7A92" w14:textId="77777777" w:rsidR="005E6299" w:rsidRPr="000D7A90" w:rsidRDefault="005E6299" w:rsidP="00A44B0F">
            <w:pPr>
              <w:keepLines/>
              <w:spacing w:after="0" w:line="240" w:lineRule="auto"/>
              <w:jc w:val="both"/>
              <w:rPr>
                <w:rFonts w:ascii="Times New Roman" w:hAnsi="Times New Roman"/>
                <w:b/>
                <w:sz w:val="20"/>
                <w:szCs w:val="20"/>
              </w:rPr>
            </w:pPr>
          </w:p>
        </w:tc>
        <w:tc>
          <w:tcPr>
            <w:tcW w:w="4060" w:type="dxa"/>
            <w:shd w:val="clear" w:color="auto" w:fill="auto"/>
          </w:tcPr>
          <w:p w14:paraId="5DE72A40" w14:textId="77777777" w:rsidR="005E6299" w:rsidRPr="000D7A90" w:rsidRDefault="00EB606F" w:rsidP="00A44B0F">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-5x</w:t>
            </w:r>
            <w:r w:rsidR="00746472" w:rsidRPr="000D7A90">
              <w:rPr>
                <w:rFonts w:ascii="Times New Roman" w:hAnsi="Times New Roman"/>
                <w:sz w:val="20"/>
                <w:szCs w:val="20"/>
                <w:lang w:val="en-CA"/>
              </w:rPr>
              <w:t xml:space="preserve"> </w:t>
            </w:r>
            <w:r w:rsidR="00E946BE" w:rsidRPr="000D7A90">
              <w:rPr>
                <w:rFonts w:ascii="Times New Roman" w:hAnsi="Times New Roman"/>
                <w:sz w:val="20"/>
                <w:szCs w:val="20"/>
                <w:lang w:val="en-CA"/>
              </w:rPr>
              <w:t>(</w:t>
            </w:r>
            <w:r w:rsidR="00E23A8A" w:rsidRPr="000D7A90">
              <w:rPr>
                <w:rFonts w:ascii="Times New Roman" w:hAnsi="Times New Roman"/>
                <w:sz w:val="20"/>
                <w:szCs w:val="20"/>
                <w:lang w:val="en-CA"/>
              </w:rPr>
              <w:t>with</w:t>
            </w:r>
            <w:r w:rsidR="00E946BE" w:rsidRPr="000D7A90">
              <w:rPr>
                <w:rFonts w:ascii="Times New Roman" w:hAnsi="Times New Roman"/>
                <w:sz w:val="20"/>
                <w:szCs w:val="20"/>
                <w:lang w:val="en-CA"/>
              </w:rPr>
              <w:t xml:space="preserve">in </w:t>
            </w:r>
            <w:r w:rsidR="00FC70EE" w:rsidRPr="000D7A90">
              <w:rPr>
                <w:rFonts w:ascii="Times New Roman" w:hAnsi="Times New Roman"/>
                <w:sz w:val="20"/>
                <w:szCs w:val="20"/>
                <w:lang w:val="en-CA"/>
              </w:rPr>
              <w:t>the Leverage</w:t>
            </w:r>
            <w:r w:rsidR="00961E9E" w:rsidRPr="000D7A90">
              <w:rPr>
                <w:rFonts w:ascii="Times New Roman" w:hAnsi="Times New Roman"/>
                <w:sz w:val="20"/>
                <w:szCs w:val="20"/>
                <w:lang w:val="en-CA"/>
              </w:rPr>
              <w:t xml:space="preserve"> </w:t>
            </w:r>
            <w:r w:rsidR="00B95A52" w:rsidRPr="000D7A90">
              <w:rPr>
                <w:rFonts w:ascii="Times New Roman" w:hAnsi="Times New Roman"/>
                <w:sz w:val="20"/>
                <w:lang w:val="en-CA"/>
              </w:rPr>
              <w:t>I</w:t>
            </w:r>
            <w:r w:rsidR="00961E9E" w:rsidRPr="000D7A90">
              <w:rPr>
                <w:rFonts w:ascii="Times New Roman" w:hAnsi="Times New Roman"/>
                <w:sz w:val="20"/>
                <w:lang w:val="en-CA"/>
              </w:rPr>
              <w:t>nverse</w:t>
            </w:r>
            <w:r w:rsidR="00CF6494">
              <w:rPr>
                <w:rFonts w:ascii="Times New Roman" w:hAnsi="Times New Roman"/>
                <w:sz w:val="20"/>
                <w:lang w:val="en-CA"/>
              </w:rPr>
              <w:t xml:space="preserve"> </w:t>
            </w:r>
            <w:r w:rsidR="00E946BE" w:rsidRPr="000D7A90">
              <w:rPr>
                <w:rFonts w:ascii="Times New Roman" w:hAnsi="Times New Roman"/>
                <w:sz w:val="20"/>
                <w:szCs w:val="20"/>
                <w:lang w:val="en-CA"/>
              </w:rPr>
              <w:t xml:space="preserve">Strategy as described in Appendix </w:t>
            </w:r>
            <w:r w:rsidR="00A8197A" w:rsidRPr="000D7A90">
              <w:rPr>
                <w:rFonts w:ascii="Times New Roman" w:hAnsi="Times New Roman"/>
                <w:sz w:val="20"/>
                <w:szCs w:val="20"/>
                <w:lang w:val="en-CA"/>
              </w:rPr>
              <w:t>I</w:t>
            </w:r>
            <w:r w:rsidR="00E946BE" w:rsidRPr="000D7A90">
              <w:rPr>
                <w:rFonts w:ascii="Times New Roman" w:hAnsi="Times New Roman"/>
                <w:sz w:val="20"/>
                <w:szCs w:val="20"/>
                <w:lang w:val="en-CA"/>
              </w:rPr>
              <w:t>)</w:t>
            </w:r>
          </w:p>
        </w:tc>
        <w:tc>
          <w:tcPr>
            <w:tcW w:w="1437" w:type="dxa"/>
            <w:vMerge/>
            <w:shd w:val="clear" w:color="auto" w:fill="F3C3B7"/>
          </w:tcPr>
          <w:p w14:paraId="084CB2CB" w14:textId="77777777" w:rsidR="005E6299" w:rsidRPr="000D7A90" w:rsidRDefault="005E6299" w:rsidP="00A44B0F">
            <w:pPr>
              <w:keepLines/>
              <w:spacing w:after="0" w:line="240" w:lineRule="auto"/>
              <w:jc w:val="both"/>
              <w:rPr>
                <w:rFonts w:ascii="Times New Roman" w:hAnsi="Times New Roman"/>
                <w:b/>
                <w:sz w:val="20"/>
                <w:szCs w:val="20"/>
              </w:rPr>
            </w:pPr>
          </w:p>
        </w:tc>
        <w:tc>
          <w:tcPr>
            <w:tcW w:w="3107" w:type="dxa"/>
            <w:gridSpan w:val="2"/>
            <w:vMerge/>
            <w:shd w:val="clear" w:color="auto" w:fill="auto"/>
          </w:tcPr>
          <w:p w14:paraId="0173CB8C" w14:textId="77777777" w:rsidR="005E6299" w:rsidRPr="000D7A90" w:rsidRDefault="005E6299" w:rsidP="00F216FF">
            <w:pPr>
              <w:keepLines/>
              <w:spacing w:after="0" w:line="240" w:lineRule="auto"/>
              <w:jc w:val="both"/>
              <w:rPr>
                <w:rFonts w:ascii="Times New Roman" w:hAnsi="Times New Roman"/>
                <w:sz w:val="20"/>
                <w:szCs w:val="20"/>
              </w:rPr>
            </w:pPr>
          </w:p>
        </w:tc>
      </w:tr>
      <w:tr w:rsidR="004478DB" w:rsidRPr="000D7A90" w14:paraId="3A5C32A0" w14:textId="77777777" w:rsidTr="00E71E74">
        <w:trPr>
          <w:trHeight w:val="611"/>
          <w:jc w:val="center"/>
        </w:trPr>
        <w:tc>
          <w:tcPr>
            <w:tcW w:w="2423" w:type="dxa"/>
            <w:shd w:val="clear" w:color="auto" w:fill="F3C3B7"/>
          </w:tcPr>
          <w:p w14:paraId="0E5A723E" w14:textId="77777777" w:rsidR="005E6299" w:rsidRPr="000D7A90" w:rsidRDefault="005E6299" w:rsidP="00B070EB">
            <w:pPr>
              <w:keepLines/>
              <w:spacing w:after="0" w:line="240" w:lineRule="auto"/>
              <w:jc w:val="both"/>
              <w:rPr>
                <w:rFonts w:ascii="Times New Roman" w:hAnsi="Times New Roman"/>
                <w:b/>
                <w:sz w:val="20"/>
                <w:szCs w:val="20"/>
              </w:rPr>
            </w:pPr>
            <w:r w:rsidRPr="000D7A90">
              <w:rPr>
                <w:rFonts w:ascii="Times New Roman" w:hAnsi="Times New Roman"/>
                <w:b/>
                <w:sz w:val="20"/>
                <w:szCs w:val="20"/>
              </w:rPr>
              <w:t>Notional Amount per Certificate</w:t>
            </w:r>
          </w:p>
        </w:tc>
        <w:tc>
          <w:tcPr>
            <w:tcW w:w="4060" w:type="dxa"/>
            <w:shd w:val="clear" w:color="auto" w:fill="auto"/>
          </w:tcPr>
          <w:p w14:paraId="3EDD7377" w14:textId="77777777" w:rsidR="005E6299" w:rsidRPr="000D7A90" w:rsidRDefault="00E9309F" w:rsidP="00741605">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SGD 1.00</w:t>
            </w:r>
          </w:p>
        </w:tc>
        <w:tc>
          <w:tcPr>
            <w:tcW w:w="1437" w:type="dxa"/>
            <w:vMerge/>
            <w:shd w:val="clear" w:color="auto" w:fill="F3C3B7"/>
          </w:tcPr>
          <w:p w14:paraId="50A365E2" w14:textId="77777777" w:rsidR="005E6299" w:rsidRPr="000D7A90" w:rsidRDefault="005E6299" w:rsidP="00A44B0F">
            <w:pPr>
              <w:keepLines/>
              <w:spacing w:after="0" w:line="240" w:lineRule="auto"/>
              <w:jc w:val="both"/>
              <w:rPr>
                <w:rFonts w:ascii="Times New Roman" w:hAnsi="Times New Roman"/>
                <w:b/>
                <w:sz w:val="20"/>
                <w:szCs w:val="20"/>
              </w:rPr>
            </w:pPr>
          </w:p>
        </w:tc>
        <w:tc>
          <w:tcPr>
            <w:tcW w:w="3107" w:type="dxa"/>
            <w:gridSpan w:val="2"/>
            <w:vMerge/>
            <w:shd w:val="clear" w:color="auto" w:fill="auto"/>
          </w:tcPr>
          <w:p w14:paraId="27887E26" w14:textId="77777777" w:rsidR="005E6299" w:rsidRPr="000D7A90" w:rsidRDefault="005E6299" w:rsidP="00A44B0F">
            <w:pPr>
              <w:keepLines/>
              <w:spacing w:after="0" w:line="240" w:lineRule="auto"/>
              <w:jc w:val="both"/>
              <w:rPr>
                <w:rFonts w:ascii="Times New Roman" w:hAnsi="Times New Roman"/>
                <w:sz w:val="20"/>
                <w:szCs w:val="20"/>
              </w:rPr>
            </w:pPr>
          </w:p>
        </w:tc>
      </w:tr>
      <w:tr w:rsidR="004478DB" w:rsidRPr="000D7A90" w14:paraId="6CD4ED61" w14:textId="77777777" w:rsidTr="00E71E74">
        <w:trPr>
          <w:jc w:val="center"/>
        </w:trPr>
        <w:tc>
          <w:tcPr>
            <w:tcW w:w="2423" w:type="dxa"/>
            <w:shd w:val="clear" w:color="auto" w:fill="F3C3B7"/>
          </w:tcPr>
          <w:p w14:paraId="7E0EEE27" w14:textId="77777777" w:rsidR="00472775" w:rsidRPr="000D7A90" w:rsidRDefault="00472775"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Management Fee (p.a.)</w:t>
            </w:r>
            <w:r w:rsidRPr="000D7A90">
              <w:rPr>
                <w:rStyle w:val="FootnoteReference"/>
                <w:rFonts w:ascii="Times New Roman" w:hAnsi="Times New Roman"/>
                <w:b/>
                <w:sz w:val="20"/>
                <w:szCs w:val="20"/>
              </w:rPr>
              <w:footnoteReference w:id="4"/>
            </w:r>
          </w:p>
        </w:tc>
        <w:tc>
          <w:tcPr>
            <w:tcW w:w="4060" w:type="dxa"/>
            <w:shd w:val="clear" w:color="auto" w:fill="auto"/>
          </w:tcPr>
          <w:p w14:paraId="1DD339B1" w14:textId="77777777" w:rsidR="00472775" w:rsidRPr="000D7A90" w:rsidRDefault="00E9309F" w:rsidP="00F86107">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0.40%</w:t>
            </w:r>
          </w:p>
        </w:tc>
        <w:tc>
          <w:tcPr>
            <w:tcW w:w="1437" w:type="dxa"/>
            <w:vMerge w:val="restart"/>
            <w:shd w:val="clear" w:color="auto" w:fill="F3C3B7"/>
          </w:tcPr>
          <w:p w14:paraId="4B5907F4" w14:textId="77777777" w:rsidR="00472775" w:rsidRPr="000D7A90" w:rsidRDefault="00472775"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Last Trading Date</w:t>
            </w:r>
          </w:p>
        </w:tc>
        <w:tc>
          <w:tcPr>
            <w:tcW w:w="3107" w:type="dxa"/>
            <w:gridSpan w:val="2"/>
            <w:vMerge w:val="restart"/>
            <w:shd w:val="clear" w:color="auto" w:fill="auto"/>
          </w:tcPr>
          <w:p w14:paraId="3192EE83" w14:textId="77777777" w:rsidR="00472775" w:rsidRPr="000D7A90" w:rsidRDefault="00472775" w:rsidP="00E9309F">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 xml:space="preserve">The date falling 5 Business Days immediately preceding the Expiry Date, currently being </w:t>
            </w:r>
            <w:r w:rsidR="00E9309F" w:rsidRPr="000D7A90">
              <w:rPr>
                <w:rFonts w:ascii="Times New Roman" w:hAnsi="Times New Roman"/>
                <w:sz w:val="20"/>
                <w:szCs w:val="20"/>
                <w:lang w:val="en-CA"/>
              </w:rPr>
              <w:t>10 December 2026</w:t>
            </w:r>
          </w:p>
        </w:tc>
      </w:tr>
      <w:tr w:rsidR="004478DB" w:rsidRPr="000D7A90" w14:paraId="40FE22E5" w14:textId="77777777" w:rsidTr="00E71E74">
        <w:trPr>
          <w:trHeight w:val="278"/>
          <w:jc w:val="center"/>
        </w:trPr>
        <w:tc>
          <w:tcPr>
            <w:tcW w:w="2423" w:type="dxa"/>
            <w:shd w:val="clear" w:color="auto" w:fill="F3C3B7"/>
          </w:tcPr>
          <w:p w14:paraId="3FA3A19E" w14:textId="77777777" w:rsidR="00472775" w:rsidRPr="000D7A90" w:rsidRDefault="00472775"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Gap Premium (p.a.)</w:t>
            </w:r>
          </w:p>
        </w:tc>
        <w:tc>
          <w:tcPr>
            <w:tcW w:w="4060" w:type="dxa"/>
            <w:shd w:val="clear" w:color="auto" w:fill="auto"/>
          </w:tcPr>
          <w:p w14:paraId="037BFC26" w14:textId="77777777" w:rsidR="00472775" w:rsidRPr="000D7A90" w:rsidRDefault="00E9309F" w:rsidP="00A44B0F">
            <w:pPr>
              <w:keepLines/>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13.75%</w:t>
            </w:r>
            <w:r w:rsidR="00472775" w:rsidRPr="000D7A90">
              <w:rPr>
                <w:rFonts w:ascii="Times New Roman" w:hAnsi="Times New Roman"/>
                <w:sz w:val="20"/>
                <w:szCs w:val="20"/>
                <w:lang w:val="en-CA"/>
              </w:rPr>
              <w:t xml:space="preserve">, is a hedging cost </w:t>
            </w:r>
            <w:r w:rsidR="00B70D03" w:rsidRPr="000D7A90">
              <w:rPr>
                <w:rFonts w:ascii="Times New Roman" w:hAnsi="Times New Roman"/>
                <w:sz w:val="20"/>
                <w:szCs w:val="20"/>
                <w:lang w:val="en-CA"/>
              </w:rPr>
              <w:t>against</w:t>
            </w:r>
            <w:r w:rsidR="00472775" w:rsidRPr="000D7A90">
              <w:rPr>
                <w:rFonts w:ascii="Times New Roman" w:hAnsi="Times New Roman"/>
                <w:sz w:val="20"/>
                <w:szCs w:val="20"/>
                <w:lang w:val="en-CA"/>
              </w:rPr>
              <w:t xml:space="preserve"> extreme market movements overnight.</w:t>
            </w:r>
          </w:p>
        </w:tc>
        <w:tc>
          <w:tcPr>
            <w:tcW w:w="1437" w:type="dxa"/>
            <w:vMerge/>
            <w:shd w:val="clear" w:color="auto" w:fill="F3C3B7"/>
          </w:tcPr>
          <w:p w14:paraId="4684F7CD" w14:textId="77777777" w:rsidR="00472775" w:rsidRPr="000D7A90" w:rsidRDefault="00472775" w:rsidP="00A44B0F">
            <w:pPr>
              <w:keepLines/>
              <w:spacing w:after="0" w:line="240" w:lineRule="auto"/>
              <w:jc w:val="both"/>
              <w:rPr>
                <w:rFonts w:ascii="Times New Roman" w:hAnsi="Times New Roman"/>
                <w:b/>
                <w:sz w:val="20"/>
                <w:szCs w:val="20"/>
              </w:rPr>
            </w:pPr>
          </w:p>
        </w:tc>
        <w:tc>
          <w:tcPr>
            <w:tcW w:w="3107" w:type="dxa"/>
            <w:gridSpan w:val="2"/>
            <w:vMerge/>
            <w:shd w:val="clear" w:color="auto" w:fill="auto"/>
          </w:tcPr>
          <w:p w14:paraId="76233D93" w14:textId="77777777" w:rsidR="00472775" w:rsidRPr="000D7A90" w:rsidRDefault="00472775" w:rsidP="00A44B0F">
            <w:pPr>
              <w:keepLines/>
              <w:spacing w:after="0" w:line="240" w:lineRule="auto"/>
              <w:jc w:val="both"/>
              <w:rPr>
                <w:rFonts w:ascii="Times New Roman" w:hAnsi="Times New Roman"/>
                <w:sz w:val="20"/>
                <w:szCs w:val="20"/>
                <w:lang w:val="en-CA"/>
              </w:rPr>
            </w:pPr>
          </w:p>
        </w:tc>
      </w:tr>
      <w:tr w:rsidR="004478DB" w:rsidRPr="000D7A90" w14:paraId="3430A846" w14:textId="77777777" w:rsidTr="00E71E74">
        <w:trPr>
          <w:trHeight w:val="278"/>
          <w:jc w:val="center"/>
        </w:trPr>
        <w:tc>
          <w:tcPr>
            <w:tcW w:w="2423" w:type="dxa"/>
            <w:shd w:val="clear" w:color="auto" w:fill="F3C3B7"/>
          </w:tcPr>
          <w:p w14:paraId="708D73A5" w14:textId="77777777" w:rsidR="00B70D03" w:rsidRPr="000D7A90" w:rsidRDefault="0053172A" w:rsidP="00C21304">
            <w:pPr>
              <w:keepLines/>
              <w:spacing w:after="0" w:line="240" w:lineRule="auto"/>
              <w:jc w:val="both"/>
              <w:rPr>
                <w:rFonts w:ascii="Times New Roman" w:hAnsi="Times New Roman"/>
                <w:b/>
                <w:sz w:val="20"/>
                <w:szCs w:val="20"/>
              </w:rPr>
            </w:pPr>
            <w:r w:rsidRPr="000D7A90">
              <w:rPr>
                <w:rFonts w:ascii="Times New Roman" w:hAnsi="Times New Roman"/>
                <w:b/>
                <w:sz w:val="20"/>
                <w:lang w:val="en-CA"/>
              </w:rPr>
              <w:t>Stock</w:t>
            </w:r>
            <w:r w:rsidRPr="000D7A90">
              <w:rPr>
                <w:rFonts w:ascii="Times New Roman" w:hAnsi="Times New Roman"/>
                <w:b/>
                <w:lang w:val="en-CA"/>
              </w:rPr>
              <w:t xml:space="preserve"> Borrowing</w:t>
            </w:r>
            <w:r w:rsidRPr="000D7A90">
              <w:rPr>
                <w:rFonts w:ascii="Times New Roman" w:hAnsi="Times New Roman"/>
                <w:sz w:val="20"/>
                <w:szCs w:val="20"/>
                <w:lang w:val="en-CA"/>
              </w:rPr>
              <w:t xml:space="preserve"> </w:t>
            </w:r>
            <w:r w:rsidR="00B70D03" w:rsidRPr="000D7A90">
              <w:rPr>
                <w:rFonts w:ascii="Times New Roman" w:hAnsi="Times New Roman"/>
                <w:b/>
                <w:sz w:val="20"/>
                <w:szCs w:val="20"/>
              </w:rPr>
              <w:t>Cost</w:t>
            </w:r>
            <w:r w:rsidR="00B70D03" w:rsidRPr="000D7A90">
              <w:rPr>
                <w:rStyle w:val="FootnoteReference"/>
                <w:rFonts w:ascii="Times New Roman" w:hAnsi="Times New Roman"/>
                <w:b/>
                <w:sz w:val="20"/>
                <w:szCs w:val="20"/>
              </w:rPr>
              <w:footnoteReference w:id="5"/>
            </w:r>
          </w:p>
        </w:tc>
        <w:tc>
          <w:tcPr>
            <w:tcW w:w="4060" w:type="dxa"/>
            <w:shd w:val="clear" w:color="auto" w:fill="auto"/>
          </w:tcPr>
          <w:p w14:paraId="7D9A7394" w14:textId="77777777" w:rsidR="0053172A" w:rsidRPr="000D7A90" w:rsidRDefault="00BD6AA7" w:rsidP="00FC70EE">
            <w:pPr>
              <w:keepLines/>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 xml:space="preserve">The annualised costs for borrowing stocks </w:t>
            </w:r>
            <w:proofErr w:type="gramStart"/>
            <w:r w:rsidRPr="000D7A90">
              <w:rPr>
                <w:rFonts w:ascii="Times New Roman" w:hAnsi="Times New Roman"/>
                <w:sz w:val="20"/>
                <w:szCs w:val="20"/>
                <w:lang w:val="en-CA"/>
              </w:rPr>
              <w:t>in order to</w:t>
            </w:r>
            <w:proofErr w:type="gramEnd"/>
            <w:r w:rsidRPr="000D7A90">
              <w:rPr>
                <w:rFonts w:ascii="Times New Roman" w:hAnsi="Times New Roman"/>
                <w:sz w:val="20"/>
                <w:szCs w:val="20"/>
                <w:lang w:val="en-CA"/>
              </w:rPr>
              <w:t xml:space="preserve"> take an inverse exposure on the</w:t>
            </w:r>
            <w:r w:rsidRPr="006A7DEB">
              <w:rPr>
                <w:rFonts w:ascii="Times New Roman" w:hAnsi="Times New Roman"/>
                <w:sz w:val="20"/>
                <w:szCs w:val="20"/>
                <w:lang w:val="en-CA"/>
              </w:rPr>
              <w:t xml:space="preserve"> </w:t>
            </w:r>
            <w:r w:rsidRPr="000D7A90">
              <w:rPr>
                <w:rFonts w:ascii="Times New Roman" w:hAnsi="Times New Roman"/>
                <w:sz w:val="20"/>
                <w:szCs w:val="20"/>
                <w:lang w:val="en-CA"/>
              </w:rPr>
              <w:t>Underlying Stock</w:t>
            </w:r>
            <w:r w:rsidRPr="006A7DEB">
              <w:rPr>
                <w:rFonts w:ascii="Times New Roman" w:hAnsi="Times New Roman"/>
                <w:sz w:val="20"/>
                <w:szCs w:val="20"/>
                <w:lang w:val="en-CA"/>
              </w:rPr>
              <w:t>.</w:t>
            </w:r>
            <w:r w:rsidRPr="000D7A90">
              <w:rPr>
                <w:rFonts w:ascii="Times New Roman" w:hAnsi="Times New Roman"/>
                <w:sz w:val="20"/>
                <w:szCs w:val="20"/>
              </w:rPr>
              <w:t xml:space="preserve"> </w:t>
            </w:r>
            <w:r w:rsidRPr="000D7A90">
              <w:rPr>
                <w:rFonts w:ascii="Times New Roman" w:hAnsi="Times New Roman"/>
                <w:sz w:val="20"/>
                <w:szCs w:val="20"/>
                <w:lang w:val="en-CA"/>
              </w:rPr>
              <w:t xml:space="preserve"> </w:t>
            </w:r>
          </w:p>
        </w:tc>
        <w:tc>
          <w:tcPr>
            <w:tcW w:w="1437" w:type="dxa"/>
            <w:shd w:val="clear" w:color="auto" w:fill="F3C3B7"/>
          </w:tcPr>
          <w:p w14:paraId="2950F1AC" w14:textId="77777777" w:rsidR="00B70D03" w:rsidRPr="000D7A90" w:rsidRDefault="00B70D0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Rebalancing Cost</w:t>
            </w:r>
            <w:r w:rsidR="00190B61" w:rsidRPr="000D7A90">
              <w:rPr>
                <w:rFonts w:ascii="Times New Roman" w:hAnsi="Times New Roman"/>
                <w:b/>
                <w:sz w:val="20"/>
                <w:szCs w:val="20"/>
                <w:vertAlign w:val="superscript"/>
              </w:rPr>
              <w:t>5</w:t>
            </w:r>
          </w:p>
        </w:tc>
        <w:tc>
          <w:tcPr>
            <w:tcW w:w="3107" w:type="dxa"/>
            <w:gridSpan w:val="2"/>
            <w:shd w:val="clear" w:color="auto" w:fill="auto"/>
          </w:tcPr>
          <w:p w14:paraId="21542588" w14:textId="77777777" w:rsidR="00B70D03" w:rsidRPr="000D7A90" w:rsidRDefault="00B70D03" w:rsidP="00524520">
            <w:pPr>
              <w:keepLines/>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The transaction costs (if applicable), computed as a function of leverage and daily</w:t>
            </w:r>
            <w:r w:rsidR="00AE3678" w:rsidRPr="000D7A90">
              <w:rPr>
                <w:rFonts w:ascii="Times New Roman" w:hAnsi="Times New Roman"/>
                <w:sz w:val="20"/>
                <w:szCs w:val="20"/>
                <w:lang w:val="en-CA"/>
              </w:rPr>
              <w:t xml:space="preserve"> </w:t>
            </w:r>
            <w:r w:rsidR="00AE3678" w:rsidRPr="000D7A90">
              <w:rPr>
                <w:rFonts w:ascii="Times New Roman" w:hAnsi="Times New Roman"/>
                <w:sz w:val="20"/>
                <w:lang w:val="en-CA"/>
              </w:rPr>
              <w:t>inverse</w:t>
            </w:r>
            <w:r w:rsidRPr="000D7A90">
              <w:rPr>
                <w:rFonts w:ascii="Times New Roman" w:hAnsi="Times New Roman"/>
                <w:sz w:val="20"/>
                <w:szCs w:val="20"/>
                <w:lang w:val="en-CA"/>
              </w:rPr>
              <w:t xml:space="preserve"> performance of the </w:t>
            </w:r>
            <w:r w:rsidR="00FC70EE" w:rsidRPr="000D7A90">
              <w:rPr>
                <w:rFonts w:ascii="Times New Roman" w:hAnsi="Times New Roman"/>
                <w:sz w:val="20"/>
                <w:szCs w:val="20"/>
                <w:lang w:val="en-CA"/>
              </w:rPr>
              <w:t>Underlying Stock.</w:t>
            </w:r>
          </w:p>
        </w:tc>
      </w:tr>
      <w:tr w:rsidR="004478DB" w:rsidRPr="000D7A90" w14:paraId="018FD54B" w14:textId="77777777" w:rsidTr="00E71E74">
        <w:trPr>
          <w:jc w:val="center"/>
        </w:trPr>
        <w:tc>
          <w:tcPr>
            <w:tcW w:w="2423" w:type="dxa"/>
            <w:shd w:val="clear" w:color="auto" w:fill="F3C3B7"/>
          </w:tcPr>
          <w:p w14:paraId="49B4656A" w14:textId="77777777" w:rsidR="00472775" w:rsidRPr="000D7A90" w:rsidRDefault="00472775" w:rsidP="00A44B0F">
            <w:pPr>
              <w:spacing w:after="0" w:line="240" w:lineRule="auto"/>
              <w:jc w:val="both"/>
              <w:rPr>
                <w:rFonts w:ascii="Times New Roman" w:hAnsi="Times New Roman"/>
                <w:b/>
                <w:sz w:val="20"/>
                <w:szCs w:val="20"/>
              </w:rPr>
            </w:pPr>
            <w:r w:rsidRPr="000D7A90">
              <w:rPr>
                <w:rFonts w:ascii="Times New Roman" w:hAnsi="Times New Roman"/>
                <w:b/>
                <w:sz w:val="20"/>
                <w:szCs w:val="20"/>
              </w:rPr>
              <w:t>Board Lot</w:t>
            </w:r>
          </w:p>
        </w:tc>
        <w:tc>
          <w:tcPr>
            <w:tcW w:w="4060" w:type="dxa"/>
            <w:shd w:val="clear" w:color="auto" w:fill="auto"/>
          </w:tcPr>
          <w:p w14:paraId="28A36123" w14:textId="77777777" w:rsidR="00472775" w:rsidRPr="000D7A90" w:rsidRDefault="00472775" w:rsidP="00A44B0F">
            <w:pPr>
              <w:spacing w:after="0" w:line="240" w:lineRule="auto"/>
              <w:jc w:val="both"/>
              <w:rPr>
                <w:rFonts w:ascii="Times New Roman" w:hAnsi="Times New Roman"/>
                <w:sz w:val="20"/>
                <w:szCs w:val="20"/>
              </w:rPr>
            </w:pPr>
            <w:r w:rsidRPr="000D7A90">
              <w:rPr>
                <w:rFonts w:ascii="Times New Roman" w:hAnsi="Times New Roman"/>
                <w:sz w:val="20"/>
                <w:szCs w:val="20"/>
              </w:rPr>
              <w:t>100 Certificates</w:t>
            </w:r>
          </w:p>
        </w:tc>
        <w:tc>
          <w:tcPr>
            <w:tcW w:w="1437" w:type="dxa"/>
            <w:shd w:val="clear" w:color="auto" w:fill="F3C3B7"/>
          </w:tcPr>
          <w:p w14:paraId="1ED23616" w14:textId="77777777" w:rsidR="00472775" w:rsidRPr="000D7A90" w:rsidRDefault="00472775" w:rsidP="00A44B0F">
            <w:pPr>
              <w:spacing w:after="0" w:line="240" w:lineRule="auto"/>
              <w:jc w:val="both"/>
              <w:rPr>
                <w:rFonts w:ascii="Times New Roman" w:hAnsi="Times New Roman"/>
                <w:b/>
                <w:sz w:val="20"/>
                <w:szCs w:val="20"/>
              </w:rPr>
            </w:pPr>
            <w:r w:rsidRPr="000D7A90">
              <w:rPr>
                <w:rFonts w:ascii="Times New Roman" w:hAnsi="Times New Roman"/>
                <w:b/>
                <w:sz w:val="20"/>
                <w:szCs w:val="20"/>
              </w:rPr>
              <w:t>Settlement Date</w:t>
            </w:r>
          </w:p>
        </w:tc>
        <w:tc>
          <w:tcPr>
            <w:tcW w:w="3107" w:type="dxa"/>
            <w:gridSpan w:val="2"/>
            <w:shd w:val="clear" w:color="auto" w:fill="auto"/>
          </w:tcPr>
          <w:p w14:paraId="0171B094" w14:textId="77777777" w:rsidR="00472775" w:rsidRPr="000D7A90" w:rsidRDefault="00472775" w:rsidP="004F471C">
            <w:pPr>
              <w:spacing w:after="0" w:line="240" w:lineRule="auto"/>
              <w:jc w:val="both"/>
              <w:rPr>
                <w:rFonts w:ascii="Times New Roman" w:hAnsi="Times New Roman"/>
                <w:sz w:val="20"/>
                <w:szCs w:val="20"/>
              </w:rPr>
            </w:pPr>
            <w:r w:rsidRPr="000D7A90">
              <w:rPr>
                <w:rFonts w:ascii="Times New Roman" w:hAnsi="Times New Roman"/>
                <w:sz w:val="20"/>
                <w:szCs w:val="20"/>
                <w:lang w:val="en-CA"/>
              </w:rPr>
              <w:t>No later than five Business Days following the Expiry Date</w:t>
            </w:r>
            <w:r w:rsidRPr="000D7A90">
              <w:rPr>
                <w:rFonts w:ascii="Times New Roman" w:hAnsi="Times New Roman"/>
                <w:sz w:val="20"/>
                <w:szCs w:val="20"/>
              </w:rPr>
              <w:t xml:space="preserve">, currently being </w:t>
            </w:r>
            <w:r w:rsidR="004F471C" w:rsidRPr="000D7A90">
              <w:rPr>
                <w:rFonts w:ascii="Times New Roman" w:hAnsi="Times New Roman"/>
                <w:sz w:val="20"/>
                <w:szCs w:val="20"/>
                <w:lang w:val="en-CA"/>
              </w:rPr>
              <w:t>24 December 2026</w:t>
            </w:r>
          </w:p>
        </w:tc>
      </w:tr>
      <w:tr w:rsidR="004478DB" w:rsidRPr="000D7A90" w14:paraId="3279DC4C" w14:textId="77777777" w:rsidTr="00E71E74">
        <w:trPr>
          <w:trHeight w:val="458"/>
          <w:jc w:val="center"/>
        </w:trPr>
        <w:tc>
          <w:tcPr>
            <w:tcW w:w="2423" w:type="dxa"/>
            <w:shd w:val="clear" w:color="auto" w:fill="F3C3B7"/>
          </w:tcPr>
          <w:p w14:paraId="05F64237" w14:textId="77777777" w:rsidR="00650E36" w:rsidRPr="000D7A90" w:rsidRDefault="00650E36" w:rsidP="008A26A8">
            <w:pPr>
              <w:spacing w:after="0" w:line="240" w:lineRule="auto"/>
              <w:jc w:val="both"/>
              <w:rPr>
                <w:rFonts w:ascii="Times New Roman" w:hAnsi="Times New Roman"/>
                <w:b/>
                <w:sz w:val="20"/>
                <w:szCs w:val="20"/>
              </w:rPr>
            </w:pPr>
            <w:r w:rsidRPr="000D7A90">
              <w:rPr>
                <w:rFonts w:ascii="Times New Roman" w:hAnsi="Times New Roman"/>
                <w:b/>
                <w:sz w:val="20"/>
                <w:szCs w:val="20"/>
              </w:rPr>
              <w:t>Relevant Stock Exchange for the Certificates</w:t>
            </w:r>
          </w:p>
        </w:tc>
        <w:tc>
          <w:tcPr>
            <w:tcW w:w="4060" w:type="dxa"/>
            <w:shd w:val="clear" w:color="auto" w:fill="auto"/>
          </w:tcPr>
          <w:p w14:paraId="5356FE26" w14:textId="77777777" w:rsidR="00650E36" w:rsidRPr="000D7A90" w:rsidRDefault="00650E36" w:rsidP="00894700">
            <w:pPr>
              <w:spacing w:after="0" w:line="240" w:lineRule="auto"/>
              <w:jc w:val="both"/>
              <w:rPr>
                <w:rFonts w:ascii="Times New Roman" w:hAnsi="Times New Roman"/>
                <w:sz w:val="20"/>
                <w:szCs w:val="20"/>
              </w:rPr>
            </w:pPr>
            <w:r w:rsidRPr="000D7A90">
              <w:rPr>
                <w:rFonts w:ascii="Times New Roman" w:hAnsi="Times New Roman"/>
                <w:sz w:val="20"/>
                <w:szCs w:val="20"/>
                <w:lang w:val="en-CA"/>
              </w:rPr>
              <w:t xml:space="preserve">The </w:t>
            </w:r>
            <w:r w:rsidRPr="000D7A90">
              <w:rPr>
                <w:rFonts w:ascii="Times New Roman" w:hAnsi="Times New Roman"/>
                <w:b/>
                <w:sz w:val="20"/>
                <w:szCs w:val="20"/>
                <w:lang w:val="en-CA"/>
              </w:rPr>
              <w:t>SGX-ST</w:t>
            </w:r>
          </w:p>
        </w:tc>
        <w:tc>
          <w:tcPr>
            <w:tcW w:w="1437" w:type="dxa"/>
            <w:vMerge w:val="restart"/>
            <w:shd w:val="clear" w:color="auto" w:fill="F3C3B7"/>
          </w:tcPr>
          <w:p w14:paraId="4B60D1EA" w14:textId="77777777" w:rsidR="00650E36" w:rsidRPr="000D7A90" w:rsidRDefault="00650E36" w:rsidP="00A44B0F">
            <w:pPr>
              <w:spacing w:after="0" w:line="240" w:lineRule="auto"/>
              <w:jc w:val="both"/>
              <w:rPr>
                <w:rFonts w:ascii="Times New Roman" w:hAnsi="Times New Roman"/>
                <w:b/>
                <w:sz w:val="20"/>
                <w:szCs w:val="20"/>
              </w:rPr>
            </w:pPr>
            <w:r w:rsidRPr="000D7A90">
              <w:rPr>
                <w:rFonts w:ascii="Times New Roman" w:hAnsi="Times New Roman"/>
                <w:b/>
                <w:sz w:val="20"/>
                <w:szCs w:val="20"/>
              </w:rPr>
              <w:t>Listing</w:t>
            </w:r>
          </w:p>
        </w:tc>
        <w:tc>
          <w:tcPr>
            <w:tcW w:w="3107" w:type="dxa"/>
            <w:gridSpan w:val="2"/>
            <w:vMerge w:val="restart"/>
            <w:shd w:val="clear" w:color="auto" w:fill="auto"/>
          </w:tcPr>
          <w:p w14:paraId="5C61E422" w14:textId="77777777" w:rsidR="00650E36" w:rsidRPr="000D7A90" w:rsidRDefault="00650E36" w:rsidP="00A44B0F">
            <w:pPr>
              <w:spacing w:after="0" w:line="240" w:lineRule="auto"/>
              <w:jc w:val="both"/>
              <w:rPr>
                <w:rFonts w:ascii="Times New Roman" w:hAnsi="Times New Roman"/>
                <w:sz w:val="20"/>
              </w:rPr>
            </w:pPr>
            <w:r w:rsidRPr="000D7A90">
              <w:rPr>
                <w:rFonts w:ascii="Times New Roman" w:hAnsi="Times New Roman"/>
                <w:sz w:val="20"/>
                <w:szCs w:val="20"/>
                <w:lang w:val="en-CA"/>
              </w:rPr>
              <w:t xml:space="preserve">Application will be made for the listing of, and permission to deal in, the </w:t>
            </w:r>
            <w:r w:rsidR="004C61D3">
              <w:rPr>
                <w:rFonts w:ascii="Times New Roman" w:hAnsi="Times New Roman"/>
                <w:sz w:val="20"/>
                <w:szCs w:val="20"/>
                <w:lang w:val="en-CA"/>
              </w:rPr>
              <w:t xml:space="preserve">New </w:t>
            </w:r>
            <w:r w:rsidRPr="000D7A90">
              <w:rPr>
                <w:rFonts w:ascii="Times New Roman" w:hAnsi="Times New Roman"/>
                <w:sz w:val="20"/>
                <w:szCs w:val="20"/>
                <w:lang w:val="en-CA"/>
              </w:rPr>
              <w:t xml:space="preserve">Certificates on the SGX-ST and the issue of the </w:t>
            </w:r>
            <w:r w:rsidR="004C61D3">
              <w:rPr>
                <w:rFonts w:ascii="Times New Roman" w:hAnsi="Times New Roman"/>
                <w:sz w:val="20"/>
                <w:szCs w:val="20"/>
                <w:lang w:val="en-CA"/>
              </w:rPr>
              <w:t xml:space="preserve">New </w:t>
            </w:r>
            <w:r w:rsidRPr="000D7A90">
              <w:rPr>
                <w:rFonts w:ascii="Times New Roman" w:hAnsi="Times New Roman"/>
                <w:sz w:val="20"/>
                <w:szCs w:val="20"/>
                <w:lang w:val="en-CA"/>
              </w:rPr>
              <w:t>Certificates is conditional upon listing being granted</w:t>
            </w:r>
          </w:p>
        </w:tc>
      </w:tr>
      <w:tr w:rsidR="004478DB" w:rsidRPr="000D7A90" w14:paraId="19C985C5" w14:textId="77777777" w:rsidTr="00E71E74">
        <w:trPr>
          <w:trHeight w:val="458"/>
          <w:jc w:val="center"/>
        </w:trPr>
        <w:tc>
          <w:tcPr>
            <w:tcW w:w="2423" w:type="dxa"/>
            <w:shd w:val="clear" w:color="auto" w:fill="F3C3B7"/>
          </w:tcPr>
          <w:p w14:paraId="08051153" w14:textId="77777777" w:rsidR="00650E36" w:rsidRPr="000D7A90" w:rsidRDefault="00650E36" w:rsidP="000D7DAF">
            <w:pPr>
              <w:spacing w:after="0" w:line="240" w:lineRule="auto"/>
              <w:jc w:val="both"/>
              <w:rPr>
                <w:rFonts w:ascii="Times New Roman" w:hAnsi="Times New Roman"/>
                <w:b/>
                <w:sz w:val="20"/>
                <w:szCs w:val="20"/>
              </w:rPr>
            </w:pPr>
            <w:r w:rsidRPr="000D7A90">
              <w:rPr>
                <w:rFonts w:ascii="Times New Roman" w:hAnsi="Times New Roman"/>
                <w:b/>
                <w:sz w:val="20"/>
                <w:szCs w:val="20"/>
              </w:rPr>
              <w:t xml:space="preserve">Relevant Stock Exchange for the </w:t>
            </w:r>
            <w:r w:rsidRPr="000D7A90">
              <w:rPr>
                <w:rFonts w:ascii="Times New Roman" w:hAnsi="Times New Roman"/>
                <w:b/>
                <w:sz w:val="20"/>
                <w:szCs w:val="20"/>
                <w:lang w:val="en-CA"/>
              </w:rPr>
              <w:t>Underlying Stock</w:t>
            </w:r>
          </w:p>
        </w:tc>
        <w:tc>
          <w:tcPr>
            <w:tcW w:w="4060" w:type="dxa"/>
            <w:shd w:val="clear" w:color="auto" w:fill="auto"/>
          </w:tcPr>
          <w:p w14:paraId="45765C18" w14:textId="77777777" w:rsidR="00650E36" w:rsidRPr="000D7A90" w:rsidDel="009B5E4A" w:rsidRDefault="00650E36" w:rsidP="00FA7CFA">
            <w:pPr>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The Stock Exchange of Hong Kong Limited (“</w:t>
            </w:r>
            <w:r w:rsidRPr="000D7A90">
              <w:rPr>
                <w:rFonts w:ascii="Times New Roman" w:hAnsi="Times New Roman"/>
                <w:b/>
                <w:sz w:val="20"/>
                <w:szCs w:val="20"/>
                <w:lang w:val="en-CA"/>
              </w:rPr>
              <w:t>HKEX</w:t>
            </w:r>
            <w:r w:rsidRPr="000D7A90">
              <w:rPr>
                <w:rFonts w:ascii="Times New Roman" w:hAnsi="Times New Roman"/>
                <w:sz w:val="20"/>
                <w:szCs w:val="20"/>
                <w:lang w:val="en-CA"/>
              </w:rPr>
              <w:t>”)</w:t>
            </w:r>
          </w:p>
        </w:tc>
        <w:tc>
          <w:tcPr>
            <w:tcW w:w="1437" w:type="dxa"/>
            <w:vMerge/>
            <w:shd w:val="clear" w:color="auto" w:fill="F3C3B7"/>
          </w:tcPr>
          <w:p w14:paraId="68B7CE5F" w14:textId="77777777" w:rsidR="00650E36" w:rsidRPr="000D7A90" w:rsidRDefault="00650E36" w:rsidP="00A44B0F">
            <w:pPr>
              <w:spacing w:after="0" w:line="240" w:lineRule="auto"/>
              <w:jc w:val="both"/>
              <w:rPr>
                <w:rFonts w:ascii="Times New Roman" w:hAnsi="Times New Roman"/>
                <w:b/>
                <w:sz w:val="20"/>
                <w:szCs w:val="20"/>
              </w:rPr>
            </w:pPr>
          </w:p>
        </w:tc>
        <w:tc>
          <w:tcPr>
            <w:tcW w:w="3107" w:type="dxa"/>
            <w:gridSpan w:val="2"/>
            <w:vMerge/>
            <w:shd w:val="clear" w:color="auto" w:fill="auto"/>
          </w:tcPr>
          <w:p w14:paraId="6E75018E" w14:textId="77777777" w:rsidR="00650E36" w:rsidRPr="000D7A90" w:rsidRDefault="00650E36" w:rsidP="00A44B0F">
            <w:pPr>
              <w:spacing w:after="0" w:line="240" w:lineRule="auto"/>
              <w:jc w:val="both"/>
              <w:rPr>
                <w:rFonts w:ascii="Times New Roman" w:hAnsi="Times New Roman"/>
                <w:sz w:val="20"/>
                <w:szCs w:val="20"/>
                <w:lang w:val="en-CA"/>
              </w:rPr>
            </w:pPr>
          </w:p>
        </w:tc>
      </w:tr>
      <w:tr w:rsidR="004478DB" w:rsidRPr="000D7A90" w14:paraId="0E9A971F" w14:textId="77777777" w:rsidTr="00E71E74">
        <w:trPr>
          <w:jc w:val="center"/>
        </w:trPr>
        <w:tc>
          <w:tcPr>
            <w:tcW w:w="2423" w:type="dxa"/>
            <w:shd w:val="clear" w:color="auto" w:fill="F3C3B7"/>
          </w:tcPr>
          <w:p w14:paraId="631DA0AB"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Clearing System</w:t>
            </w:r>
          </w:p>
        </w:tc>
        <w:tc>
          <w:tcPr>
            <w:tcW w:w="4060" w:type="dxa"/>
            <w:shd w:val="clear" w:color="auto" w:fill="auto"/>
          </w:tcPr>
          <w:p w14:paraId="02A9B29E"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rPr>
              <w:t>The Central Depository (Pte) Limited (“</w:t>
            </w:r>
            <w:r w:rsidRPr="000D7A90">
              <w:rPr>
                <w:rFonts w:ascii="Times New Roman" w:hAnsi="Times New Roman"/>
                <w:b/>
                <w:sz w:val="20"/>
                <w:szCs w:val="20"/>
              </w:rPr>
              <w:t>CDP</w:t>
            </w:r>
            <w:r w:rsidRPr="000D7A90">
              <w:rPr>
                <w:rFonts w:ascii="Times New Roman" w:hAnsi="Times New Roman"/>
                <w:sz w:val="20"/>
                <w:szCs w:val="20"/>
              </w:rPr>
              <w:t>”)</w:t>
            </w:r>
          </w:p>
        </w:tc>
        <w:tc>
          <w:tcPr>
            <w:tcW w:w="1437" w:type="dxa"/>
            <w:shd w:val="clear" w:color="auto" w:fill="F3C3B7"/>
          </w:tcPr>
          <w:p w14:paraId="4335F97E"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Warrant Agent</w:t>
            </w:r>
          </w:p>
        </w:tc>
        <w:tc>
          <w:tcPr>
            <w:tcW w:w="3107" w:type="dxa"/>
            <w:gridSpan w:val="2"/>
            <w:shd w:val="clear" w:color="auto" w:fill="auto"/>
          </w:tcPr>
          <w:p w14:paraId="08B1230E"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CDP</w:t>
            </w:r>
          </w:p>
        </w:tc>
      </w:tr>
      <w:tr w:rsidR="004478DB" w:rsidRPr="000D7A90" w14:paraId="2727B7E6" w14:textId="77777777" w:rsidTr="00E71E74">
        <w:trPr>
          <w:jc w:val="center"/>
        </w:trPr>
        <w:tc>
          <w:tcPr>
            <w:tcW w:w="2423" w:type="dxa"/>
            <w:shd w:val="clear" w:color="auto" w:fill="F3C3B7"/>
          </w:tcPr>
          <w:p w14:paraId="5BA43B3B"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Exercise</w:t>
            </w:r>
          </w:p>
        </w:tc>
        <w:tc>
          <w:tcPr>
            <w:tcW w:w="4060" w:type="dxa"/>
            <w:shd w:val="clear" w:color="auto" w:fill="auto"/>
          </w:tcPr>
          <w:p w14:paraId="46811E66"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rPr>
              <w:t>Automatic Exercise</w:t>
            </w:r>
          </w:p>
        </w:tc>
        <w:tc>
          <w:tcPr>
            <w:tcW w:w="1437" w:type="dxa"/>
            <w:shd w:val="clear" w:color="auto" w:fill="F3C3B7"/>
          </w:tcPr>
          <w:p w14:paraId="62781255"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Settlement Method</w:t>
            </w:r>
          </w:p>
        </w:tc>
        <w:tc>
          <w:tcPr>
            <w:tcW w:w="3107" w:type="dxa"/>
            <w:gridSpan w:val="2"/>
            <w:shd w:val="clear" w:color="auto" w:fill="auto"/>
          </w:tcPr>
          <w:p w14:paraId="33643A92"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rPr>
              <w:t>Cash Settlement</w:t>
            </w:r>
          </w:p>
        </w:tc>
      </w:tr>
      <w:tr w:rsidR="004478DB" w:rsidRPr="000D7A90" w14:paraId="09BEAF95" w14:textId="77777777" w:rsidTr="00E71E74">
        <w:trPr>
          <w:jc w:val="center"/>
        </w:trPr>
        <w:tc>
          <w:tcPr>
            <w:tcW w:w="2423" w:type="dxa"/>
            <w:shd w:val="clear" w:color="auto" w:fill="F3C3B7"/>
          </w:tcPr>
          <w:p w14:paraId="39C6C99F"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Settlement Currency</w:t>
            </w:r>
          </w:p>
        </w:tc>
        <w:tc>
          <w:tcPr>
            <w:tcW w:w="4060" w:type="dxa"/>
            <w:shd w:val="clear" w:color="auto" w:fill="auto"/>
          </w:tcPr>
          <w:p w14:paraId="1A31B527" w14:textId="77777777" w:rsidR="00EB2213" w:rsidRPr="000D7A90" w:rsidRDefault="004F471C" w:rsidP="00374E1A">
            <w:pPr>
              <w:keepLines/>
              <w:spacing w:after="0" w:line="240" w:lineRule="auto"/>
              <w:jc w:val="both"/>
              <w:rPr>
                <w:rFonts w:ascii="Times New Roman" w:hAnsi="Times New Roman"/>
                <w:sz w:val="20"/>
                <w:szCs w:val="20"/>
              </w:rPr>
            </w:pPr>
            <w:r w:rsidRPr="000D7A90">
              <w:rPr>
                <w:rFonts w:ascii="Times New Roman" w:hAnsi="Times New Roman"/>
                <w:sz w:val="20"/>
                <w:szCs w:val="20"/>
              </w:rPr>
              <w:t>Singapore Dollar</w:t>
            </w:r>
            <w:r w:rsidR="00EB2213" w:rsidRPr="000D7A90">
              <w:rPr>
                <w:rFonts w:ascii="Times New Roman" w:hAnsi="Times New Roman"/>
                <w:sz w:val="20"/>
                <w:szCs w:val="20"/>
              </w:rPr>
              <w:t xml:space="preserve"> (“</w:t>
            </w:r>
            <w:r w:rsidRPr="000D7A90">
              <w:rPr>
                <w:rFonts w:ascii="Times New Roman" w:hAnsi="Times New Roman"/>
                <w:b/>
                <w:sz w:val="20"/>
                <w:szCs w:val="20"/>
              </w:rPr>
              <w:t>SGD</w:t>
            </w:r>
            <w:r w:rsidR="00EB2213" w:rsidRPr="000D7A90">
              <w:rPr>
                <w:rFonts w:ascii="Times New Roman" w:hAnsi="Times New Roman"/>
                <w:sz w:val="20"/>
                <w:szCs w:val="20"/>
              </w:rPr>
              <w:t>”)</w:t>
            </w:r>
          </w:p>
        </w:tc>
        <w:tc>
          <w:tcPr>
            <w:tcW w:w="1437" w:type="dxa"/>
            <w:shd w:val="clear" w:color="auto" w:fill="F3C3B7"/>
          </w:tcPr>
          <w:p w14:paraId="7FFF4B37" w14:textId="77777777" w:rsidR="00EB2213" w:rsidRPr="000D7A90" w:rsidRDefault="00C208FB"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Underlying Stock</w:t>
            </w:r>
            <w:r w:rsidR="00EB2213" w:rsidRPr="000D7A90">
              <w:rPr>
                <w:rFonts w:ascii="Times New Roman" w:hAnsi="Times New Roman"/>
                <w:b/>
                <w:sz w:val="20"/>
                <w:szCs w:val="20"/>
              </w:rPr>
              <w:t xml:space="preserve"> Currency</w:t>
            </w:r>
          </w:p>
        </w:tc>
        <w:tc>
          <w:tcPr>
            <w:tcW w:w="3107" w:type="dxa"/>
            <w:gridSpan w:val="2"/>
            <w:shd w:val="clear" w:color="auto" w:fill="auto"/>
          </w:tcPr>
          <w:p w14:paraId="7FF58A11" w14:textId="77777777" w:rsidR="00EB2213" w:rsidRPr="000D7A90" w:rsidRDefault="006A6B9B" w:rsidP="006A6B9B">
            <w:pPr>
              <w:keepLines/>
              <w:spacing w:after="0" w:line="240" w:lineRule="auto"/>
              <w:jc w:val="both"/>
              <w:rPr>
                <w:rFonts w:ascii="Times New Roman" w:hAnsi="Times New Roman"/>
                <w:bCs/>
                <w:sz w:val="20"/>
                <w:szCs w:val="20"/>
                <w:lang w:val="en-US"/>
              </w:rPr>
            </w:pPr>
            <w:r w:rsidRPr="000D7A90">
              <w:rPr>
                <w:rFonts w:ascii="Times New Roman" w:hAnsi="Times New Roman"/>
                <w:sz w:val="20"/>
                <w:szCs w:val="20"/>
                <w:lang w:val="en-CA"/>
              </w:rPr>
              <w:t>Hong Kong Dollar (“</w:t>
            </w:r>
            <w:r w:rsidR="004F471C" w:rsidRPr="000D7A90">
              <w:rPr>
                <w:rFonts w:ascii="Times New Roman" w:hAnsi="Times New Roman"/>
                <w:b/>
                <w:sz w:val="20"/>
                <w:szCs w:val="20"/>
                <w:lang w:val="en-CA"/>
              </w:rPr>
              <w:t>HKD</w:t>
            </w:r>
            <w:r w:rsidRPr="000D7A90">
              <w:rPr>
                <w:rFonts w:ascii="Times New Roman" w:hAnsi="Times New Roman"/>
                <w:sz w:val="20"/>
                <w:szCs w:val="20"/>
                <w:lang w:val="en-CA"/>
              </w:rPr>
              <w:t>”)</w:t>
            </w:r>
          </w:p>
        </w:tc>
      </w:tr>
      <w:tr w:rsidR="004478DB" w:rsidRPr="000D7A90" w14:paraId="71D0C580" w14:textId="77777777" w:rsidTr="00E71E74">
        <w:trPr>
          <w:jc w:val="center"/>
        </w:trPr>
        <w:tc>
          <w:tcPr>
            <w:tcW w:w="2423" w:type="dxa"/>
            <w:shd w:val="clear" w:color="auto" w:fill="F3C3B7"/>
          </w:tcPr>
          <w:p w14:paraId="73628EEA" w14:textId="77777777" w:rsidR="00AE4659" w:rsidRPr="000D7A90" w:rsidRDefault="00EB2213" w:rsidP="00E86CBD">
            <w:pPr>
              <w:keepLines/>
              <w:spacing w:after="0" w:line="240" w:lineRule="auto"/>
              <w:jc w:val="both"/>
              <w:rPr>
                <w:rFonts w:ascii="Times New Roman" w:hAnsi="Times New Roman"/>
                <w:bCs/>
                <w:sz w:val="20"/>
                <w:szCs w:val="20"/>
                <w:lang w:val="en-US"/>
              </w:rPr>
            </w:pPr>
            <w:r w:rsidRPr="000D7A90">
              <w:rPr>
                <w:rFonts w:ascii="Times New Roman" w:hAnsi="Times New Roman"/>
                <w:b/>
                <w:sz w:val="20"/>
                <w:szCs w:val="20"/>
              </w:rPr>
              <w:t>Business Day</w:t>
            </w:r>
            <w:r w:rsidR="00D30CEF" w:rsidRPr="000D7A90">
              <w:rPr>
                <w:rFonts w:ascii="Times New Roman" w:hAnsi="Times New Roman"/>
                <w:bCs/>
                <w:sz w:val="20"/>
                <w:szCs w:val="20"/>
                <w:lang w:val="en-US"/>
              </w:rPr>
              <w:t xml:space="preserve"> </w:t>
            </w:r>
            <w:r w:rsidRPr="000D7A90">
              <w:rPr>
                <w:rFonts w:ascii="Times New Roman" w:hAnsi="Times New Roman"/>
                <w:b/>
                <w:sz w:val="20"/>
                <w:szCs w:val="20"/>
              </w:rPr>
              <w:t>and Exchange Business Day</w:t>
            </w:r>
          </w:p>
        </w:tc>
        <w:tc>
          <w:tcPr>
            <w:tcW w:w="4060" w:type="dxa"/>
            <w:shd w:val="clear" w:color="auto" w:fill="auto"/>
          </w:tcPr>
          <w:p w14:paraId="27119228" w14:textId="77777777" w:rsidR="00EB2213" w:rsidRPr="000D7A90" w:rsidRDefault="00EB2213" w:rsidP="00EF1EC1">
            <w:pPr>
              <w:keepLines/>
              <w:spacing w:after="0" w:line="240" w:lineRule="auto"/>
              <w:jc w:val="both"/>
              <w:rPr>
                <w:rFonts w:ascii="Times New Roman" w:hAnsi="Times New Roman"/>
                <w:bCs/>
                <w:sz w:val="20"/>
                <w:szCs w:val="20"/>
                <w:lang w:val="en-US"/>
              </w:rPr>
            </w:pPr>
            <w:r w:rsidRPr="000D7A90">
              <w:rPr>
                <w:rFonts w:ascii="Times New Roman" w:hAnsi="Times New Roman"/>
                <w:sz w:val="20"/>
                <w:szCs w:val="20"/>
              </w:rPr>
              <w:t>A</w:t>
            </w:r>
            <w:r w:rsidRPr="000D7A90">
              <w:rPr>
                <w:rFonts w:ascii="Times New Roman" w:hAnsi="Times New Roman"/>
                <w:b/>
                <w:sz w:val="20"/>
                <w:szCs w:val="20"/>
              </w:rPr>
              <w:t xml:space="preserve"> “Business Day”</w:t>
            </w:r>
            <w:r w:rsidRPr="000D7A90">
              <w:rPr>
                <w:rFonts w:ascii="Times New Roman" w:hAnsi="Times New Roman"/>
                <w:bCs/>
                <w:sz w:val="20"/>
                <w:szCs w:val="20"/>
              </w:rPr>
              <w:t xml:space="preserve"> is a</w:t>
            </w:r>
            <w:r w:rsidRPr="000D7A90">
              <w:rPr>
                <w:rFonts w:ascii="Times New Roman" w:hAnsi="Times New Roman"/>
                <w:bCs/>
                <w:sz w:val="20"/>
                <w:szCs w:val="20"/>
                <w:lang w:val="en-US"/>
              </w:rPr>
              <w:t xml:space="preserve"> day on which the SGX-ST is open for dealings in Singapore during its normal trading hours and banks are open for business in Singapore.</w:t>
            </w:r>
          </w:p>
          <w:p w14:paraId="6820D8C7" w14:textId="77777777" w:rsidR="00812DA2" w:rsidRPr="000D7A90" w:rsidRDefault="00EB2213" w:rsidP="00A80E98">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An “</w:t>
            </w:r>
            <w:r w:rsidRPr="000D7A90">
              <w:rPr>
                <w:rFonts w:ascii="Times New Roman" w:hAnsi="Times New Roman"/>
                <w:b/>
                <w:sz w:val="20"/>
                <w:szCs w:val="20"/>
                <w:lang w:val="en-CA"/>
              </w:rPr>
              <w:t>Exchange Business Day</w:t>
            </w:r>
            <w:r w:rsidRPr="000D7A90">
              <w:rPr>
                <w:rFonts w:ascii="Times New Roman" w:hAnsi="Times New Roman"/>
                <w:sz w:val="20"/>
                <w:szCs w:val="20"/>
                <w:lang w:val="en-CA"/>
              </w:rPr>
              <w:t xml:space="preserve">” is a day on which the SGX-ST </w:t>
            </w:r>
            <w:r w:rsidR="000D536E" w:rsidRPr="000D7A90">
              <w:rPr>
                <w:rFonts w:ascii="Times New Roman" w:hAnsi="Times New Roman"/>
                <w:sz w:val="20"/>
                <w:szCs w:val="20"/>
                <w:lang w:val="en-CA"/>
              </w:rPr>
              <w:t>and</w:t>
            </w:r>
            <w:r w:rsidR="008A1A3D" w:rsidRPr="000D7A90">
              <w:rPr>
                <w:rFonts w:ascii="Times New Roman" w:hAnsi="Times New Roman"/>
                <w:sz w:val="20"/>
                <w:szCs w:val="20"/>
                <w:lang w:val="en-CA"/>
              </w:rPr>
              <w:t xml:space="preserve"> </w:t>
            </w:r>
            <w:r w:rsidR="000D536E" w:rsidRPr="000D7A90">
              <w:rPr>
                <w:rFonts w:ascii="Times New Roman" w:hAnsi="Times New Roman"/>
                <w:sz w:val="20"/>
                <w:szCs w:val="20"/>
                <w:lang w:val="en-CA"/>
              </w:rPr>
              <w:t>the</w:t>
            </w:r>
            <w:r w:rsidR="008A1A3D" w:rsidRPr="000D7A90">
              <w:rPr>
                <w:rFonts w:ascii="Times New Roman" w:hAnsi="Times New Roman"/>
                <w:sz w:val="20"/>
                <w:szCs w:val="20"/>
                <w:lang w:val="en-CA"/>
              </w:rPr>
              <w:t xml:space="preserve"> HKEX</w:t>
            </w:r>
            <w:r w:rsidR="000D536E" w:rsidRPr="000D7A90">
              <w:rPr>
                <w:rFonts w:ascii="Times New Roman" w:hAnsi="Times New Roman"/>
                <w:sz w:val="20"/>
                <w:szCs w:val="20"/>
                <w:lang w:val="en-CA"/>
              </w:rPr>
              <w:t xml:space="preserve"> are</w:t>
            </w:r>
            <w:r w:rsidRPr="000D7A90">
              <w:rPr>
                <w:rFonts w:ascii="Times New Roman" w:hAnsi="Times New Roman"/>
                <w:sz w:val="20"/>
                <w:szCs w:val="20"/>
                <w:lang w:val="en-CA"/>
              </w:rPr>
              <w:t xml:space="preserve"> open for dealings</w:t>
            </w:r>
            <w:r w:rsidR="000D536E" w:rsidRPr="000D7A90">
              <w:rPr>
                <w:rFonts w:ascii="Times New Roman" w:hAnsi="Times New Roman"/>
                <w:sz w:val="20"/>
                <w:szCs w:val="20"/>
                <w:lang w:val="en-CA"/>
              </w:rPr>
              <w:t xml:space="preserve"> in Singapore and </w:t>
            </w:r>
            <w:r w:rsidR="004F471C" w:rsidRPr="000D7A90">
              <w:rPr>
                <w:rFonts w:ascii="Times New Roman" w:hAnsi="Times New Roman"/>
                <w:sz w:val="20"/>
                <w:szCs w:val="20"/>
                <w:lang w:val="en-CA"/>
              </w:rPr>
              <w:t>Hong Kong</w:t>
            </w:r>
            <w:r w:rsidR="000D536E" w:rsidRPr="000D7A90">
              <w:rPr>
                <w:rFonts w:ascii="Times New Roman" w:hAnsi="Times New Roman"/>
                <w:sz w:val="20"/>
                <w:szCs w:val="20"/>
                <w:lang w:val="en-CA"/>
              </w:rPr>
              <w:t xml:space="preserve"> respectively</w:t>
            </w:r>
            <w:r w:rsidRPr="000D7A90">
              <w:rPr>
                <w:rFonts w:ascii="Times New Roman" w:hAnsi="Times New Roman"/>
                <w:sz w:val="20"/>
                <w:szCs w:val="20"/>
                <w:lang w:val="en-CA"/>
              </w:rPr>
              <w:t xml:space="preserve"> during its normal trading hours and banks are open for business in Singapore</w:t>
            </w:r>
            <w:r w:rsidR="00C33E8A" w:rsidRPr="000D7A90">
              <w:rPr>
                <w:rFonts w:ascii="Times New Roman" w:hAnsi="Times New Roman"/>
                <w:sz w:val="20"/>
                <w:szCs w:val="20"/>
                <w:lang w:val="en-CA"/>
              </w:rPr>
              <w:t xml:space="preserve"> and </w:t>
            </w:r>
            <w:r w:rsidR="004F471C" w:rsidRPr="000D7A90">
              <w:rPr>
                <w:rFonts w:ascii="Times New Roman" w:hAnsi="Times New Roman"/>
                <w:sz w:val="20"/>
                <w:szCs w:val="20"/>
                <w:lang w:val="en-CA"/>
              </w:rPr>
              <w:t>Hong Kong</w:t>
            </w:r>
            <w:r w:rsidRPr="000D7A90">
              <w:rPr>
                <w:rFonts w:ascii="Times New Roman" w:hAnsi="Times New Roman"/>
                <w:sz w:val="20"/>
                <w:szCs w:val="20"/>
                <w:lang w:val="en-CA"/>
              </w:rPr>
              <w:t>.</w:t>
            </w:r>
          </w:p>
        </w:tc>
        <w:tc>
          <w:tcPr>
            <w:tcW w:w="1437" w:type="dxa"/>
            <w:shd w:val="clear" w:color="auto" w:fill="F3C3B7"/>
          </w:tcPr>
          <w:p w14:paraId="4F2938BD"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Governing Law</w:t>
            </w:r>
          </w:p>
        </w:tc>
        <w:tc>
          <w:tcPr>
            <w:tcW w:w="3107" w:type="dxa"/>
            <w:gridSpan w:val="2"/>
            <w:shd w:val="clear" w:color="auto" w:fill="auto"/>
          </w:tcPr>
          <w:p w14:paraId="7B727A75"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Singapore law</w:t>
            </w:r>
          </w:p>
        </w:tc>
      </w:tr>
      <w:tr w:rsidR="00EB2213" w:rsidRPr="000D7A90" w14:paraId="20E01E25" w14:textId="77777777" w:rsidTr="00E71E74">
        <w:trPr>
          <w:jc w:val="center"/>
        </w:trPr>
        <w:tc>
          <w:tcPr>
            <w:tcW w:w="2423" w:type="dxa"/>
            <w:shd w:val="clear" w:color="auto" w:fill="F3C3B7"/>
          </w:tcPr>
          <w:p w14:paraId="7135A806"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Cash Settlement Amount</w:t>
            </w:r>
          </w:p>
        </w:tc>
        <w:tc>
          <w:tcPr>
            <w:tcW w:w="8604" w:type="dxa"/>
            <w:gridSpan w:val="4"/>
            <w:shd w:val="clear" w:color="auto" w:fill="auto"/>
          </w:tcPr>
          <w:p w14:paraId="327BD701" w14:textId="77777777" w:rsidR="00EB2213" w:rsidRPr="000D7A90" w:rsidRDefault="00EB2213" w:rsidP="00A31328">
            <w:pPr>
              <w:keepLines/>
              <w:spacing w:after="0" w:line="240" w:lineRule="auto"/>
              <w:jc w:val="both"/>
              <w:rPr>
                <w:rFonts w:ascii="Times New Roman" w:hAnsi="Times New Roman"/>
                <w:sz w:val="20"/>
                <w:szCs w:val="20"/>
              </w:rPr>
            </w:pPr>
            <w:r w:rsidRPr="000D7A90">
              <w:rPr>
                <w:rFonts w:ascii="Times New Roman" w:hAnsi="Times New Roman"/>
                <w:sz w:val="20"/>
                <w:szCs w:val="20"/>
              </w:rPr>
              <w:t xml:space="preserve">In respect of each Certificate, shall be an amount payable in the Settlement Currency equal to: </w:t>
            </w:r>
          </w:p>
          <w:p w14:paraId="53F41FB2" w14:textId="77777777" w:rsidR="00EB2213" w:rsidRPr="000D7A90" w:rsidRDefault="00EB2213" w:rsidP="008A26A8">
            <w:pPr>
              <w:keepLines/>
              <w:spacing w:after="0" w:line="240" w:lineRule="auto"/>
              <w:jc w:val="both"/>
              <w:rPr>
                <w:rFonts w:ascii="Times New Roman" w:hAnsi="Times New Roman"/>
                <w:sz w:val="20"/>
                <w:szCs w:val="20"/>
              </w:rPr>
            </w:pPr>
            <w:r w:rsidRPr="000D7A90">
              <w:rPr>
                <w:rFonts w:ascii="Times New Roman" w:hAnsi="Times New Roman"/>
                <w:sz w:val="20"/>
                <w:szCs w:val="20"/>
              </w:rPr>
              <w:t>Notional Amount per Certificate x Closing Level</w:t>
            </w:r>
          </w:p>
          <w:p w14:paraId="5770E3CD" w14:textId="77777777" w:rsidR="00EB2213" w:rsidRPr="000D7A90" w:rsidRDefault="00EB2213" w:rsidP="008A26A8">
            <w:pPr>
              <w:keepLines/>
              <w:spacing w:after="0" w:line="240" w:lineRule="auto"/>
              <w:jc w:val="both"/>
              <w:rPr>
                <w:rFonts w:ascii="Times New Roman" w:hAnsi="Times New Roman"/>
                <w:sz w:val="20"/>
                <w:szCs w:val="20"/>
              </w:rPr>
            </w:pPr>
            <w:r w:rsidRPr="000D7A90">
              <w:rPr>
                <w:rFonts w:ascii="Times New Roman" w:hAnsi="Times New Roman"/>
                <w:sz w:val="20"/>
                <w:szCs w:val="20"/>
              </w:rPr>
              <w:t xml:space="preserve">Please refer to the “Information relating to the European Style Cash Settled </w:t>
            </w:r>
            <w:r w:rsidR="00CD6ECC" w:rsidRPr="000D7A90">
              <w:rPr>
                <w:rFonts w:ascii="Times New Roman" w:hAnsi="Times New Roman"/>
                <w:sz w:val="20"/>
                <w:szCs w:val="20"/>
              </w:rPr>
              <w:t>Short</w:t>
            </w:r>
            <w:r w:rsidR="00CD6ECC" w:rsidRPr="000D7A90">
              <w:rPr>
                <w:rFonts w:ascii="Times New Roman" w:hAnsi="Times New Roman"/>
                <w:b/>
                <w:lang w:val="en-CA"/>
              </w:rPr>
              <w:t xml:space="preserve"> </w:t>
            </w:r>
            <w:r w:rsidR="0071203F" w:rsidRPr="000D7A90">
              <w:rPr>
                <w:rFonts w:ascii="Times New Roman" w:hAnsi="Times New Roman"/>
                <w:sz w:val="20"/>
                <w:szCs w:val="20"/>
              </w:rPr>
              <w:t>Certificates on Single Equities</w:t>
            </w:r>
            <w:r w:rsidR="00181FB6" w:rsidRPr="000D7A90">
              <w:rPr>
                <w:rFonts w:ascii="Times New Roman" w:hAnsi="Times New Roman"/>
                <w:sz w:val="20"/>
                <w:szCs w:val="20"/>
              </w:rPr>
              <w:t>”</w:t>
            </w:r>
            <w:r w:rsidR="0071203F" w:rsidRPr="000D7A90">
              <w:rPr>
                <w:rFonts w:ascii="Times New Roman" w:hAnsi="Times New Roman"/>
                <w:sz w:val="20"/>
                <w:szCs w:val="20"/>
              </w:rPr>
              <w:t xml:space="preserve"> </w:t>
            </w:r>
            <w:r w:rsidRPr="000D7A90">
              <w:rPr>
                <w:rFonts w:ascii="Times New Roman" w:hAnsi="Times New Roman"/>
                <w:sz w:val="20"/>
                <w:szCs w:val="20"/>
              </w:rPr>
              <w:t>section of the Supplemental Listing Document for examples and illustrations of the calculation of the Cash Settlement Amount.</w:t>
            </w:r>
          </w:p>
        </w:tc>
      </w:tr>
      <w:tr w:rsidR="00EB2213" w:rsidRPr="000D7A90" w14:paraId="285D9C00" w14:textId="77777777" w:rsidTr="00E71E74">
        <w:trPr>
          <w:jc w:val="center"/>
        </w:trPr>
        <w:tc>
          <w:tcPr>
            <w:tcW w:w="2423" w:type="dxa"/>
            <w:shd w:val="clear" w:color="auto" w:fill="F3C3B7"/>
          </w:tcPr>
          <w:p w14:paraId="50F12FC8"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Closing Level</w:t>
            </w:r>
          </w:p>
        </w:tc>
        <w:tc>
          <w:tcPr>
            <w:tcW w:w="8604" w:type="dxa"/>
            <w:gridSpan w:val="4"/>
            <w:shd w:val="clear" w:color="auto" w:fill="auto"/>
          </w:tcPr>
          <w:p w14:paraId="4FC2EA4A" w14:textId="77777777" w:rsidR="00EB2213" w:rsidRPr="000D7A90" w:rsidRDefault="00EB2213" w:rsidP="00A31328">
            <w:pPr>
              <w:keepLines/>
              <w:spacing w:after="0" w:line="240" w:lineRule="auto"/>
              <w:jc w:val="both"/>
              <w:rPr>
                <w:rFonts w:ascii="Times New Roman" w:hAnsi="Times New Roman"/>
                <w:sz w:val="20"/>
                <w:szCs w:val="20"/>
              </w:rPr>
            </w:pPr>
            <w:r w:rsidRPr="000D7A90">
              <w:rPr>
                <w:rFonts w:ascii="Times New Roman" w:hAnsi="Times New Roman"/>
                <w:sz w:val="20"/>
                <w:szCs w:val="20"/>
              </w:rPr>
              <w:t>In respect of each Certificate, shall be an amount payable in the Settlement Currency equal to:</w:t>
            </w:r>
          </w:p>
          <w:p w14:paraId="03A30289" w14:textId="77777777" w:rsidR="00EB2213" w:rsidRPr="000D7A90" w:rsidRDefault="00EB2213" w:rsidP="00A31328">
            <w:pPr>
              <w:keepLines/>
              <w:spacing w:after="0" w:line="240" w:lineRule="auto"/>
              <w:jc w:val="both"/>
              <w:rPr>
                <w:rFonts w:ascii="Times New Roman" w:hAnsi="Times New Roman"/>
                <w:sz w:val="20"/>
                <w:szCs w:val="20"/>
              </w:rPr>
            </w:pPr>
          </w:p>
          <w:p w14:paraId="1FA4F998" w14:textId="77777777" w:rsidR="00EB2213" w:rsidRPr="000D7A90" w:rsidRDefault="00EB2213" w:rsidP="00A31328">
            <w:pPr>
              <w:keepLines/>
              <w:spacing w:after="0" w:line="240" w:lineRule="auto"/>
              <w:jc w:val="both"/>
              <w:rPr>
                <w:rFonts w:ascii="Times New Roman" w:hAnsi="Times New Roman"/>
                <w:sz w:val="20"/>
                <w:szCs w:val="20"/>
              </w:rPr>
            </w:pPr>
            <m:oMathPara>
              <m:oMath>
                <m:r>
                  <m:rPr>
                    <m:sty m:val="p"/>
                  </m:rPr>
                  <w:rPr>
                    <w:rFonts w:ascii="Cambria Math" w:hAnsi="Cambria Math"/>
                    <w:sz w:val="20"/>
                    <w:szCs w:val="20"/>
                  </w:rPr>
                  <m:t xml:space="preserve"> </m:t>
                </m:r>
                <m:d>
                  <m:dPr>
                    <m:ctrlPr>
                      <w:rPr>
                        <w:rFonts w:ascii="Cambria Math" w:hAnsi="Cambria Math"/>
                        <w:sz w:val="20"/>
                        <w:szCs w:val="20"/>
                      </w:rPr>
                    </m:ctrlPr>
                  </m:dPr>
                  <m:e>
                    <m:f>
                      <m:fPr>
                        <m:ctrlPr>
                          <w:rPr>
                            <w:rFonts w:ascii="Cambria Math" w:hAnsi="Cambria Math"/>
                            <w:i/>
                            <w:sz w:val="20"/>
                            <w:szCs w:val="20"/>
                          </w:rPr>
                        </m:ctrlPr>
                      </m:fPr>
                      <m:num>
                        <m:r>
                          <w:rPr>
                            <w:rFonts w:ascii="Cambria Math" w:hAnsi="Cambria Math"/>
                            <w:sz w:val="20"/>
                            <w:szCs w:val="20"/>
                          </w:rPr>
                          <m:t>Final Reference Level ×Final Exchange Rate</m:t>
                        </m:r>
                      </m:num>
                      <m:den>
                        <m:r>
                          <w:rPr>
                            <w:rFonts w:ascii="Cambria Math" w:hAnsi="Cambria Math"/>
                            <w:sz w:val="20"/>
                            <w:szCs w:val="20"/>
                          </w:rPr>
                          <m:t>Initial Reference Level ×Initial Exchange Rate</m:t>
                        </m:r>
                      </m:den>
                    </m:f>
                    <m:r>
                      <m:rPr>
                        <m:sty m:val="p"/>
                      </m:rPr>
                      <w:rPr>
                        <w:rFonts w:ascii="Cambria Math" w:hAnsi="Cambria Math"/>
                        <w:sz w:val="20"/>
                        <w:szCs w:val="20"/>
                      </w:rPr>
                      <m:t xml:space="preserve"> – </m:t>
                    </m:r>
                    <m:r>
                      <w:rPr>
                        <w:rFonts w:ascii="Cambria Math" w:hAnsi="Cambria Math"/>
                        <w:sz w:val="20"/>
                        <w:szCs w:val="20"/>
                      </w:rPr>
                      <m:t>Strike Level</m:t>
                    </m:r>
                  </m:e>
                </m:d>
                <m:r>
                  <w:rPr>
                    <w:rFonts w:ascii="Cambria Math" w:hAnsi="Cambria Math"/>
                    <w:sz w:val="20"/>
                    <w:szCs w:val="20"/>
                  </w:rPr>
                  <m:t>×Hedging Fee Factor</m:t>
                </m:r>
              </m:oMath>
            </m:oMathPara>
          </w:p>
          <w:p w14:paraId="1707FC0F" w14:textId="77777777" w:rsidR="00EB2213" w:rsidRPr="000D7A90" w:rsidRDefault="00EB2213" w:rsidP="00A31328">
            <w:pPr>
              <w:keepLines/>
              <w:spacing w:after="0" w:line="240" w:lineRule="auto"/>
              <w:jc w:val="both"/>
              <w:rPr>
                <w:rFonts w:ascii="Times New Roman" w:hAnsi="Times New Roman"/>
                <w:sz w:val="20"/>
                <w:szCs w:val="20"/>
              </w:rPr>
            </w:pPr>
          </w:p>
        </w:tc>
      </w:tr>
      <w:tr w:rsidR="00EB2213" w:rsidRPr="000D7A90" w14:paraId="3308D003" w14:textId="77777777" w:rsidTr="00E71E74">
        <w:trPr>
          <w:trHeight w:val="1385"/>
          <w:jc w:val="center"/>
        </w:trPr>
        <w:tc>
          <w:tcPr>
            <w:tcW w:w="2423" w:type="dxa"/>
            <w:shd w:val="clear" w:color="auto" w:fill="F3C3B7"/>
          </w:tcPr>
          <w:p w14:paraId="2A366998" w14:textId="77777777" w:rsidR="00EB2213" w:rsidRPr="000D7A90" w:rsidRDefault="00EB2213" w:rsidP="0002765B">
            <w:pPr>
              <w:keepLines/>
              <w:spacing w:after="0" w:line="240" w:lineRule="auto"/>
              <w:jc w:val="both"/>
              <w:rPr>
                <w:rFonts w:ascii="Times New Roman" w:hAnsi="Times New Roman"/>
                <w:b/>
                <w:sz w:val="20"/>
                <w:szCs w:val="20"/>
              </w:rPr>
            </w:pPr>
            <w:r w:rsidRPr="000D7A90">
              <w:rPr>
                <w:rFonts w:ascii="Times New Roman" w:hAnsi="Times New Roman"/>
                <w:b/>
                <w:sz w:val="20"/>
                <w:szCs w:val="20"/>
              </w:rPr>
              <w:lastRenderedPageBreak/>
              <w:t>Hedging Fee Factor</w:t>
            </w:r>
          </w:p>
        </w:tc>
        <w:tc>
          <w:tcPr>
            <w:tcW w:w="8604" w:type="dxa"/>
            <w:gridSpan w:val="4"/>
            <w:shd w:val="clear" w:color="auto" w:fill="auto"/>
          </w:tcPr>
          <w:p w14:paraId="047DAB8A" w14:textId="77777777" w:rsidR="00C208FB" w:rsidRPr="000D7A90" w:rsidRDefault="00C208FB" w:rsidP="00C208FB">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I</w:t>
            </w:r>
            <w:r w:rsidRPr="000D7A90">
              <w:rPr>
                <w:rFonts w:ascii="Times New Roman" w:hAnsi="Times New Roman"/>
                <w:sz w:val="20"/>
                <w:szCs w:val="20"/>
              </w:rPr>
              <w:t xml:space="preserve">n respect of each Certificate, shall be an amount calculated as: Product (for t from </w:t>
            </w:r>
            <w:r w:rsidR="008C6069">
              <w:rPr>
                <w:rFonts w:ascii="Times New Roman" w:hAnsi="Times New Roman"/>
                <w:sz w:val="20"/>
                <w:szCs w:val="20"/>
              </w:rPr>
              <w:t>2</w:t>
            </w:r>
            <w:r w:rsidRPr="000D7A90">
              <w:rPr>
                <w:rFonts w:ascii="Times New Roman" w:hAnsi="Times New Roman"/>
                <w:sz w:val="20"/>
                <w:szCs w:val="20"/>
              </w:rPr>
              <w:t xml:space="preserve"> to Valuation Date) of (1 – Management Fee x (ACT (t-</w:t>
            </w:r>
            <w:proofErr w:type="gramStart"/>
            <w:r w:rsidRPr="000D7A90">
              <w:rPr>
                <w:rFonts w:ascii="Times New Roman" w:hAnsi="Times New Roman"/>
                <w:sz w:val="20"/>
                <w:szCs w:val="20"/>
              </w:rPr>
              <w:t>1;t</w:t>
            </w:r>
            <w:proofErr w:type="gramEnd"/>
            <w:r w:rsidRPr="000D7A90">
              <w:rPr>
                <w:rFonts w:ascii="Times New Roman" w:hAnsi="Times New Roman"/>
                <w:sz w:val="20"/>
                <w:szCs w:val="20"/>
              </w:rPr>
              <w:t>) ÷ 360)) x (1 – Gap Premium (t-1) x (ACT (t-1;t) ÷ 360)), where:</w:t>
            </w:r>
          </w:p>
          <w:p w14:paraId="642A6CE7" w14:textId="77777777" w:rsidR="00C208FB" w:rsidRPr="000D7A90" w:rsidRDefault="00C208FB" w:rsidP="00C208FB">
            <w:pPr>
              <w:keepLines/>
              <w:spacing w:after="0" w:line="240" w:lineRule="auto"/>
              <w:jc w:val="both"/>
              <w:rPr>
                <w:rFonts w:ascii="Times New Roman" w:hAnsi="Times New Roman"/>
                <w:sz w:val="20"/>
                <w:szCs w:val="20"/>
              </w:rPr>
            </w:pPr>
            <w:r w:rsidRPr="000D7A90">
              <w:rPr>
                <w:rFonts w:ascii="Times New Roman" w:hAnsi="Times New Roman"/>
                <w:sz w:val="20"/>
                <w:szCs w:val="20"/>
              </w:rPr>
              <w:t>“</w:t>
            </w:r>
            <w:r w:rsidRPr="000D7A90">
              <w:rPr>
                <w:rFonts w:ascii="Times New Roman" w:hAnsi="Times New Roman"/>
                <w:b/>
                <w:sz w:val="20"/>
                <w:szCs w:val="20"/>
              </w:rPr>
              <w:t>t</w:t>
            </w:r>
            <w:r w:rsidRPr="000D7A90">
              <w:rPr>
                <w:rFonts w:ascii="Times New Roman" w:hAnsi="Times New Roman"/>
                <w:sz w:val="20"/>
                <w:szCs w:val="20"/>
              </w:rPr>
              <w:t>” refers to “</w:t>
            </w:r>
            <w:r w:rsidRPr="000D7A90">
              <w:rPr>
                <w:rFonts w:ascii="Times New Roman" w:hAnsi="Times New Roman"/>
                <w:b/>
                <w:sz w:val="20"/>
                <w:szCs w:val="20"/>
              </w:rPr>
              <w:t>Observation Date</w:t>
            </w:r>
            <w:r w:rsidRPr="000D7A90">
              <w:rPr>
                <w:rFonts w:ascii="Times New Roman" w:hAnsi="Times New Roman"/>
                <w:sz w:val="20"/>
                <w:szCs w:val="20"/>
              </w:rPr>
              <w:t xml:space="preserve">” which means each </w:t>
            </w:r>
            <w:r w:rsidR="007D2761" w:rsidRPr="000D7A90">
              <w:rPr>
                <w:rFonts w:ascii="Times New Roman" w:hAnsi="Times New Roman"/>
                <w:sz w:val="20"/>
                <w:szCs w:val="20"/>
              </w:rPr>
              <w:t>Underlying Stock</w:t>
            </w:r>
            <w:r w:rsidR="007D2761" w:rsidRPr="000D7A90">
              <w:rPr>
                <w:rFonts w:ascii="Times New Roman" w:hAnsi="Times New Roman"/>
                <w:lang w:val="en-US"/>
              </w:rPr>
              <w:t xml:space="preserve"> </w:t>
            </w:r>
            <w:r w:rsidRPr="000D7A90">
              <w:rPr>
                <w:rFonts w:ascii="Times New Roman" w:hAnsi="Times New Roman"/>
                <w:sz w:val="20"/>
                <w:szCs w:val="20"/>
              </w:rPr>
              <w:t>Business Day</w:t>
            </w:r>
            <w:r w:rsidR="0063646E">
              <w:rPr>
                <w:rFonts w:ascii="Times New Roman" w:hAnsi="Times New Roman"/>
                <w:sz w:val="20"/>
                <w:szCs w:val="20"/>
              </w:rPr>
              <w:t xml:space="preserve"> </w:t>
            </w:r>
            <w:r w:rsidR="0063646E" w:rsidRPr="001D13AB">
              <w:rPr>
                <w:rFonts w:ascii="Times New Roman" w:hAnsi="Times New Roman"/>
                <w:sz w:val="20"/>
                <w:szCs w:val="20"/>
              </w:rPr>
              <w:t>(subject to Market Disruption Event)</w:t>
            </w:r>
            <w:r w:rsidRPr="000D7A90">
              <w:rPr>
                <w:rFonts w:ascii="Times New Roman" w:hAnsi="Times New Roman"/>
                <w:sz w:val="20"/>
                <w:szCs w:val="20"/>
              </w:rPr>
              <w:t xml:space="preserve"> from (and including) the </w:t>
            </w:r>
            <w:r w:rsidR="007D2761" w:rsidRPr="000D7A90">
              <w:rPr>
                <w:rFonts w:ascii="Times New Roman" w:hAnsi="Times New Roman"/>
                <w:sz w:val="20"/>
                <w:szCs w:val="20"/>
              </w:rPr>
              <w:t>Underlying Stock</w:t>
            </w:r>
            <w:r w:rsidR="007D2761" w:rsidRPr="000D7A90">
              <w:rPr>
                <w:rFonts w:ascii="Times New Roman" w:hAnsi="Times New Roman"/>
                <w:lang w:val="en-US"/>
              </w:rPr>
              <w:t xml:space="preserve"> </w:t>
            </w:r>
            <w:r w:rsidRPr="000D7A90">
              <w:rPr>
                <w:rFonts w:ascii="Times New Roman" w:hAnsi="Times New Roman"/>
                <w:sz w:val="20"/>
                <w:szCs w:val="20"/>
              </w:rPr>
              <w:t xml:space="preserve">Business Day immediately preceding the </w:t>
            </w:r>
            <w:r w:rsidR="00884E0F" w:rsidRPr="00884E0F">
              <w:rPr>
                <w:rFonts w:ascii="Times New Roman" w:hAnsi="Times New Roman"/>
                <w:sz w:val="20"/>
                <w:szCs w:val="20"/>
                <w:lang w:val="en-US"/>
              </w:rPr>
              <w:t>20 December 2024</w:t>
            </w:r>
            <w:r w:rsidRPr="000D7A90">
              <w:rPr>
                <w:rFonts w:ascii="Times New Roman" w:hAnsi="Times New Roman"/>
                <w:sz w:val="20"/>
                <w:szCs w:val="20"/>
              </w:rPr>
              <w:t xml:space="preserve"> to the Valuation Date; and</w:t>
            </w:r>
          </w:p>
          <w:p w14:paraId="4AA0B45B" w14:textId="77777777" w:rsidR="00C208FB" w:rsidRDefault="00C208FB" w:rsidP="00C208FB">
            <w:pPr>
              <w:keepLines/>
              <w:spacing w:after="0" w:line="240" w:lineRule="auto"/>
              <w:jc w:val="both"/>
              <w:rPr>
                <w:rFonts w:ascii="Times New Roman" w:hAnsi="Times New Roman"/>
                <w:sz w:val="20"/>
                <w:szCs w:val="20"/>
              </w:rPr>
            </w:pPr>
            <w:r w:rsidRPr="000D7A90">
              <w:rPr>
                <w:rFonts w:ascii="Times New Roman" w:hAnsi="Times New Roman"/>
                <w:sz w:val="20"/>
                <w:szCs w:val="20"/>
              </w:rPr>
              <w:t>ACT (t-</w:t>
            </w:r>
            <w:proofErr w:type="gramStart"/>
            <w:r w:rsidRPr="000D7A90">
              <w:rPr>
                <w:rFonts w:ascii="Times New Roman" w:hAnsi="Times New Roman"/>
                <w:sz w:val="20"/>
                <w:szCs w:val="20"/>
              </w:rPr>
              <w:t>1;t</w:t>
            </w:r>
            <w:proofErr w:type="gramEnd"/>
            <w:r w:rsidRPr="000D7A90">
              <w:rPr>
                <w:rFonts w:ascii="Times New Roman" w:hAnsi="Times New Roman"/>
                <w:sz w:val="20"/>
                <w:szCs w:val="20"/>
              </w:rPr>
              <w:t xml:space="preserve">) means the number of calendar days between the </w:t>
            </w:r>
            <w:r w:rsidR="007D2761" w:rsidRPr="000D7A90">
              <w:rPr>
                <w:rFonts w:ascii="Times New Roman" w:hAnsi="Times New Roman"/>
                <w:sz w:val="20"/>
                <w:szCs w:val="20"/>
              </w:rPr>
              <w:t>Underlying Stock</w:t>
            </w:r>
            <w:r w:rsidR="007D2761" w:rsidRPr="000D7A90">
              <w:rPr>
                <w:rFonts w:ascii="Times New Roman" w:hAnsi="Times New Roman"/>
                <w:lang w:val="en-US"/>
              </w:rPr>
              <w:t xml:space="preserve"> </w:t>
            </w:r>
            <w:r w:rsidRPr="000D7A90">
              <w:rPr>
                <w:rFonts w:ascii="Times New Roman" w:hAnsi="Times New Roman"/>
                <w:sz w:val="20"/>
                <w:szCs w:val="20"/>
              </w:rPr>
              <w:t xml:space="preserve">Business Day immediately preceding the Observation Date (which is </w:t>
            </w:r>
            <w:r w:rsidR="0063646E">
              <w:rPr>
                <w:rFonts w:ascii="Times New Roman" w:hAnsi="Times New Roman"/>
                <w:sz w:val="20"/>
                <w:szCs w:val="20"/>
              </w:rPr>
              <w:t>“</w:t>
            </w:r>
            <w:r w:rsidRPr="000D7A90">
              <w:rPr>
                <w:rFonts w:ascii="Times New Roman" w:hAnsi="Times New Roman"/>
                <w:sz w:val="20"/>
                <w:szCs w:val="20"/>
              </w:rPr>
              <w:t>t-1</w:t>
            </w:r>
            <w:r w:rsidR="0063646E">
              <w:rPr>
                <w:rFonts w:ascii="Times New Roman" w:hAnsi="Times New Roman"/>
                <w:sz w:val="20"/>
                <w:szCs w:val="20"/>
              </w:rPr>
              <w:t>”</w:t>
            </w:r>
            <w:r w:rsidRPr="000D7A90">
              <w:rPr>
                <w:rFonts w:ascii="Times New Roman" w:hAnsi="Times New Roman"/>
                <w:sz w:val="20"/>
                <w:szCs w:val="20"/>
              </w:rPr>
              <w:t>) (included) and the Observation Date (which is “t”) (excluded).</w:t>
            </w:r>
          </w:p>
          <w:p w14:paraId="1233EA1E" w14:textId="77777777" w:rsidR="007D2761" w:rsidRPr="000D7A90" w:rsidRDefault="0063646E" w:rsidP="0002765B">
            <w:pPr>
              <w:keepLines/>
              <w:spacing w:after="0" w:line="240" w:lineRule="auto"/>
              <w:jc w:val="both"/>
              <w:rPr>
                <w:rFonts w:ascii="Times New Roman" w:hAnsi="Times New Roman"/>
                <w:lang w:val="en-CA"/>
              </w:rPr>
            </w:pPr>
            <w:r w:rsidRPr="001D13AB">
              <w:rPr>
                <w:rFonts w:ascii="Times New Roman" w:hAnsi="Times New Roman"/>
                <w:sz w:val="20"/>
                <w:szCs w:val="20"/>
              </w:rPr>
              <w:t xml:space="preserve">If the Issuer determines, in its sole discretion, that on any Observation Date a Market Disruption Event has occurred, then that Observation Date shall be postponed until the first succeeding </w:t>
            </w:r>
            <w:r w:rsidRPr="000D7A90">
              <w:rPr>
                <w:rFonts w:ascii="Times New Roman" w:hAnsi="Times New Roman"/>
                <w:sz w:val="20"/>
                <w:szCs w:val="20"/>
              </w:rPr>
              <w:t>Underlying Stock</w:t>
            </w:r>
            <w:r w:rsidRPr="001D13AB">
              <w:rPr>
                <w:rFonts w:ascii="Times New Roman" w:hAnsi="Times New Roman"/>
                <w:sz w:val="20"/>
                <w:szCs w:val="20"/>
              </w:rPr>
              <w:t xml:space="preserve"> Business Day on which there is no Market Disruption Event, unless there is a Market Disruption Event on each of the five </w:t>
            </w:r>
            <w:r w:rsidRPr="000D7A90">
              <w:rPr>
                <w:rFonts w:ascii="Times New Roman" w:hAnsi="Times New Roman"/>
                <w:sz w:val="20"/>
                <w:szCs w:val="20"/>
              </w:rPr>
              <w:t>Underlying Stock</w:t>
            </w:r>
            <w:r w:rsidRPr="001D13AB">
              <w:rPr>
                <w:rFonts w:ascii="Times New Roman" w:hAnsi="Times New Roman"/>
                <w:sz w:val="20"/>
                <w:szCs w:val="20"/>
              </w:rPr>
              <w:t xml:space="preserve"> Business Days immediately following the original date that, but for the Market Disruption Event, would have been an Observation Date. In that case, that fifth </w:t>
            </w:r>
            <w:r w:rsidRPr="000D7A90">
              <w:rPr>
                <w:rFonts w:ascii="Times New Roman" w:hAnsi="Times New Roman"/>
                <w:sz w:val="20"/>
                <w:szCs w:val="20"/>
              </w:rPr>
              <w:t>Underlying Stock</w:t>
            </w:r>
            <w:r w:rsidRPr="000D7A90">
              <w:rPr>
                <w:rFonts w:ascii="Times New Roman" w:hAnsi="Times New Roman"/>
                <w:lang w:val="en-US"/>
              </w:rPr>
              <w:t xml:space="preserve"> </w:t>
            </w:r>
            <w:r w:rsidRPr="001D13AB">
              <w:rPr>
                <w:rFonts w:ascii="Times New Roman" w:hAnsi="Times New Roman"/>
                <w:sz w:val="20"/>
                <w:szCs w:val="20"/>
              </w:rPr>
              <w:t xml:space="preserve">Business Day shall be deemed to be the Observation Date notwithstanding the Market Disruption Event and the Issuer shall determine, its good faith estimate of the level of the </w:t>
            </w:r>
            <w:r w:rsidR="00AD3EDA" w:rsidRPr="006B44B6">
              <w:rPr>
                <w:rFonts w:ascii="Times New Roman" w:hAnsi="Times New Roman"/>
                <w:sz w:val="20"/>
                <w:szCs w:val="20"/>
                <w:lang w:val="en-CA"/>
              </w:rPr>
              <w:t>Leverage</w:t>
            </w:r>
            <w:r w:rsidR="00AD3EDA" w:rsidRPr="001D13AB">
              <w:rPr>
                <w:rFonts w:ascii="Times New Roman" w:hAnsi="Times New Roman"/>
                <w:sz w:val="20"/>
                <w:szCs w:val="20"/>
              </w:rPr>
              <w:t xml:space="preserve"> </w:t>
            </w:r>
            <w:r w:rsidR="00AD3EDA">
              <w:rPr>
                <w:rFonts w:ascii="Times New Roman" w:hAnsi="Times New Roman"/>
                <w:sz w:val="20"/>
                <w:szCs w:val="20"/>
              </w:rPr>
              <w:t xml:space="preserve">Inverse </w:t>
            </w:r>
            <w:r w:rsidRPr="001D13AB">
              <w:rPr>
                <w:rFonts w:ascii="Times New Roman" w:hAnsi="Times New Roman"/>
                <w:sz w:val="20"/>
                <w:szCs w:val="20"/>
              </w:rPr>
              <w:t xml:space="preserve">Strategy and the value of the Certificate on that fifth </w:t>
            </w:r>
            <w:r w:rsidRPr="000D7A90">
              <w:rPr>
                <w:rFonts w:ascii="Times New Roman" w:hAnsi="Times New Roman"/>
                <w:sz w:val="20"/>
                <w:szCs w:val="20"/>
              </w:rPr>
              <w:t>Underlying Stock</w:t>
            </w:r>
            <w:r w:rsidRPr="001D13AB">
              <w:rPr>
                <w:rFonts w:ascii="Times New Roman" w:hAnsi="Times New Roman"/>
                <w:sz w:val="20"/>
                <w:szCs w:val="20"/>
              </w:rPr>
              <w:t xml:space="preserve"> Business Day in accordance with the formula for and method of calculation last in effect prior to the occurrence of the first Market Disruption Event taking into account, inter alia, the exchange traded or quoted price of the Underlying Stock and the potential increased cost of hedging by the Issuer as a result of the occurrence of the Market Disruption Event.</w:t>
            </w:r>
            <w:r w:rsidR="007D2761" w:rsidRPr="000D7A90">
              <w:rPr>
                <w:rFonts w:ascii="Times New Roman" w:hAnsi="Times New Roman"/>
                <w:sz w:val="20"/>
                <w:szCs w:val="20"/>
              </w:rPr>
              <w:t>An “</w:t>
            </w:r>
            <w:r w:rsidR="007D2761" w:rsidRPr="000D7A90">
              <w:rPr>
                <w:rFonts w:ascii="Times New Roman" w:hAnsi="Times New Roman"/>
                <w:b/>
                <w:sz w:val="20"/>
                <w:szCs w:val="20"/>
              </w:rPr>
              <w:t>Underlying Stock Business Day</w:t>
            </w:r>
            <w:r w:rsidR="007D2761" w:rsidRPr="000D7A90">
              <w:rPr>
                <w:rFonts w:ascii="Times New Roman" w:hAnsi="Times New Roman"/>
                <w:sz w:val="20"/>
                <w:szCs w:val="20"/>
              </w:rPr>
              <w:t>” means a day on which the HKEX is open for dealings in Hong Kong during its normal trading hours and banks are open for business in Hong Kong.</w:t>
            </w:r>
          </w:p>
          <w:p w14:paraId="6CA93951" w14:textId="77777777" w:rsidR="00EB2213" w:rsidRPr="000D7A90" w:rsidRDefault="00EB2213" w:rsidP="0002765B">
            <w:pPr>
              <w:keepLines/>
              <w:spacing w:after="0" w:line="240" w:lineRule="auto"/>
              <w:jc w:val="both"/>
              <w:rPr>
                <w:rFonts w:ascii="Times New Roman" w:hAnsi="Times New Roman"/>
                <w:sz w:val="20"/>
                <w:szCs w:val="20"/>
              </w:rPr>
            </w:pPr>
            <w:r w:rsidRPr="000D7A90">
              <w:rPr>
                <w:rFonts w:ascii="Times New Roman" w:hAnsi="Times New Roman"/>
                <w:sz w:val="20"/>
                <w:szCs w:val="20"/>
              </w:rPr>
              <w:t xml:space="preserve">Please refer to the “Information relating to the European Style Cash Settled </w:t>
            </w:r>
            <w:r w:rsidR="00A0716A" w:rsidRPr="000D7A90">
              <w:rPr>
                <w:rFonts w:ascii="Times New Roman" w:hAnsi="Times New Roman"/>
                <w:sz w:val="20"/>
                <w:szCs w:val="20"/>
              </w:rPr>
              <w:t>Short</w:t>
            </w:r>
            <w:r w:rsidR="00A0716A" w:rsidRPr="000D7A90">
              <w:rPr>
                <w:rFonts w:ascii="Times New Roman" w:hAnsi="Times New Roman"/>
                <w:b/>
                <w:lang w:val="en-CA"/>
              </w:rPr>
              <w:t xml:space="preserve"> </w:t>
            </w:r>
            <w:r w:rsidRPr="000D7A90">
              <w:rPr>
                <w:rFonts w:ascii="Times New Roman" w:hAnsi="Times New Roman"/>
                <w:sz w:val="20"/>
                <w:szCs w:val="20"/>
              </w:rPr>
              <w:t>Certificates</w:t>
            </w:r>
            <w:r w:rsidR="0071203F" w:rsidRPr="000D7A90">
              <w:rPr>
                <w:rFonts w:ascii="Times New Roman" w:hAnsi="Times New Roman"/>
                <w:sz w:val="20"/>
                <w:szCs w:val="20"/>
              </w:rPr>
              <w:t xml:space="preserve"> on Single Equities</w:t>
            </w:r>
            <w:r w:rsidR="00D30CEF" w:rsidRPr="000D7A90">
              <w:rPr>
                <w:rFonts w:ascii="Times New Roman" w:hAnsi="Times New Roman"/>
                <w:sz w:val="20"/>
                <w:szCs w:val="20"/>
              </w:rPr>
              <w:t>”</w:t>
            </w:r>
            <w:r w:rsidRPr="000D7A90">
              <w:rPr>
                <w:rFonts w:ascii="Times New Roman" w:hAnsi="Times New Roman"/>
                <w:sz w:val="20"/>
                <w:szCs w:val="20"/>
              </w:rPr>
              <w:t xml:space="preserve"> section of the Supplemental Listing Document for examples and illustrations of the calculation of the Hedging Fee Factor.</w:t>
            </w:r>
          </w:p>
        </w:tc>
      </w:tr>
      <w:tr w:rsidR="00EB2213" w:rsidRPr="000D7A90" w14:paraId="5C023793" w14:textId="77777777" w:rsidTr="00E71E74">
        <w:trPr>
          <w:jc w:val="center"/>
        </w:trPr>
        <w:tc>
          <w:tcPr>
            <w:tcW w:w="2423" w:type="dxa"/>
            <w:shd w:val="clear" w:color="auto" w:fill="F3C3B7"/>
          </w:tcPr>
          <w:p w14:paraId="7420D908"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Initial Reference Level</w:t>
            </w:r>
          </w:p>
        </w:tc>
        <w:tc>
          <w:tcPr>
            <w:tcW w:w="8604" w:type="dxa"/>
            <w:gridSpan w:val="4"/>
            <w:shd w:val="clear" w:color="auto" w:fill="auto"/>
          </w:tcPr>
          <w:p w14:paraId="2B32EEDC" w14:textId="77777777" w:rsidR="00EB2213" w:rsidRPr="000D7A90" w:rsidRDefault="000B674D" w:rsidP="006D6522">
            <w:pPr>
              <w:keepLines/>
              <w:spacing w:after="0" w:line="240" w:lineRule="auto"/>
              <w:jc w:val="both"/>
              <w:rPr>
                <w:rFonts w:ascii="Times New Roman" w:hAnsi="Times New Roman"/>
                <w:sz w:val="20"/>
                <w:szCs w:val="20"/>
              </w:rPr>
            </w:pPr>
            <w:r w:rsidRPr="000D7A90">
              <w:rPr>
                <w:rFonts w:ascii="Times New Roman" w:hAnsi="Times New Roman"/>
                <w:sz w:val="20"/>
                <w:szCs w:val="20"/>
              </w:rPr>
              <w:t>1</w:t>
            </w:r>
            <w:r w:rsidR="007A3D9F" w:rsidRPr="000D7A90">
              <w:rPr>
                <w:rFonts w:ascii="Times New Roman" w:hAnsi="Times New Roman"/>
                <w:sz w:val="20"/>
                <w:szCs w:val="20"/>
              </w:rPr>
              <w:t>,</w:t>
            </w:r>
            <w:r w:rsidRPr="000D7A90">
              <w:rPr>
                <w:rFonts w:ascii="Times New Roman" w:hAnsi="Times New Roman"/>
                <w:sz w:val="20"/>
                <w:szCs w:val="20"/>
              </w:rPr>
              <w:t>000</w:t>
            </w:r>
            <w:r w:rsidR="006D6522" w:rsidRPr="000D7A90">
              <w:rPr>
                <w:rFonts w:ascii="Times New Roman" w:hAnsi="Times New Roman"/>
                <w:sz w:val="20"/>
                <w:szCs w:val="20"/>
              </w:rPr>
              <w:t xml:space="preserve"> </w:t>
            </w:r>
          </w:p>
        </w:tc>
      </w:tr>
      <w:tr w:rsidR="00EB2213" w:rsidRPr="000D7A90" w14:paraId="333AA232" w14:textId="77777777" w:rsidTr="00E71E74">
        <w:trPr>
          <w:jc w:val="center"/>
        </w:trPr>
        <w:tc>
          <w:tcPr>
            <w:tcW w:w="2423" w:type="dxa"/>
            <w:shd w:val="clear" w:color="auto" w:fill="F3C3B7"/>
          </w:tcPr>
          <w:p w14:paraId="5C1AF172"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Final Reference Level</w:t>
            </w:r>
          </w:p>
        </w:tc>
        <w:tc>
          <w:tcPr>
            <w:tcW w:w="8604" w:type="dxa"/>
            <w:gridSpan w:val="4"/>
            <w:shd w:val="clear" w:color="auto" w:fill="auto"/>
          </w:tcPr>
          <w:p w14:paraId="10AD8399"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rPr>
              <w:t xml:space="preserve">The closing level of the </w:t>
            </w:r>
            <w:r w:rsidR="00961E9E" w:rsidRPr="000D7A90">
              <w:rPr>
                <w:rFonts w:ascii="Times New Roman" w:hAnsi="Times New Roman"/>
                <w:sz w:val="20"/>
                <w:szCs w:val="20"/>
              </w:rPr>
              <w:t xml:space="preserve">Leverage </w:t>
            </w:r>
            <w:r w:rsidR="00ED6AFD" w:rsidRPr="000D7A90">
              <w:rPr>
                <w:rFonts w:ascii="Times New Roman" w:hAnsi="Times New Roman"/>
                <w:sz w:val="20"/>
                <w:szCs w:val="20"/>
                <w:lang w:val="en-CA"/>
              </w:rPr>
              <w:t>Inverse</w:t>
            </w:r>
            <w:r w:rsidR="00961E9E" w:rsidRPr="000D7A90">
              <w:rPr>
                <w:rFonts w:ascii="Times New Roman" w:hAnsi="Times New Roman"/>
                <w:sz w:val="20"/>
                <w:szCs w:val="20"/>
                <w:lang w:val="en-CA"/>
              </w:rPr>
              <w:t xml:space="preserve"> </w:t>
            </w:r>
            <w:r w:rsidRPr="000D7A90">
              <w:rPr>
                <w:rFonts w:ascii="Times New Roman" w:hAnsi="Times New Roman"/>
                <w:sz w:val="20"/>
                <w:szCs w:val="20"/>
              </w:rPr>
              <w:t>Strategy on the Valuation Date</w:t>
            </w:r>
            <w:r w:rsidR="00AE208D" w:rsidRPr="000D7A90">
              <w:rPr>
                <w:rFonts w:ascii="Times New Roman" w:hAnsi="Times New Roman"/>
                <w:sz w:val="20"/>
                <w:szCs w:val="20"/>
              </w:rPr>
              <w:t>.</w:t>
            </w:r>
          </w:p>
          <w:p w14:paraId="6B9E4E9C" w14:textId="77777777" w:rsidR="00EB2213" w:rsidRPr="000D7A90" w:rsidRDefault="00EB2213" w:rsidP="005F4B17">
            <w:pPr>
              <w:keepLines/>
              <w:spacing w:after="0" w:line="240" w:lineRule="auto"/>
              <w:jc w:val="both"/>
              <w:rPr>
                <w:rFonts w:ascii="Times New Roman" w:hAnsi="Times New Roman"/>
                <w:sz w:val="20"/>
                <w:szCs w:val="20"/>
              </w:rPr>
            </w:pPr>
            <w:r w:rsidRPr="000D7A90">
              <w:rPr>
                <w:rFonts w:ascii="Times New Roman" w:hAnsi="Times New Roman"/>
                <w:sz w:val="20"/>
                <w:szCs w:val="20"/>
              </w:rPr>
              <w:t>Please refer to Appendix I “Specific Definitions relating to the</w:t>
            </w:r>
            <w:r w:rsidR="00961E9E" w:rsidRPr="000D7A90">
              <w:rPr>
                <w:rFonts w:ascii="Times New Roman" w:hAnsi="Times New Roman"/>
                <w:sz w:val="20"/>
                <w:szCs w:val="20"/>
              </w:rPr>
              <w:t xml:space="preserve"> Leverage</w:t>
            </w:r>
            <w:r w:rsidR="00041F22">
              <w:rPr>
                <w:rFonts w:ascii="Times New Roman" w:hAnsi="Times New Roman"/>
                <w:sz w:val="20"/>
                <w:szCs w:val="20"/>
              </w:rPr>
              <w:t xml:space="preserve"> </w:t>
            </w:r>
            <w:r w:rsidR="00ED6AFD" w:rsidRPr="000D7A90">
              <w:rPr>
                <w:rFonts w:ascii="Times New Roman" w:hAnsi="Times New Roman"/>
                <w:sz w:val="20"/>
                <w:szCs w:val="20"/>
                <w:lang w:val="en-CA"/>
              </w:rPr>
              <w:t>Inverse</w:t>
            </w:r>
            <w:r w:rsidR="00041F22">
              <w:rPr>
                <w:rFonts w:ascii="Times New Roman" w:hAnsi="Times New Roman"/>
                <w:sz w:val="20"/>
                <w:szCs w:val="20"/>
                <w:lang w:val="en-CA"/>
              </w:rPr>
              <w:t xml:space="preserve"> </w:t>
            </w:r>
            <w:r w:rsidRPr="000D7A90">
              <w:rPr>
                <w:rFonts w:ascii="Times New Roman" w:hAnsi="Times New Roman"/>
                <w:sz w:val="20"/>
                <w:szCs w:val="20"/>
              </w:rPr>
              <w:t xml:space="preserve">Strategy” for an illustration of the calculation of the closing level of the </w:t>
            </w:r>
            <w:r w:rsidR="00961E9E" w:rsidRPr="000D7A90">
              <w:rPr>
                <w:rFonts w:ascii="Times New Roman" w:hAnsi="Times New Roman"/>
                <w:sz w:val="20"/>
                <w:szCs w:val="20"/>
              </w:rPr>
              <w:t xml:space="preserve">Leverage </w:t>
            </w:r>
            <w:r w:rsidR="00ED6AFD" w:rsidRPr="000D7A90">
              <w:rPr>
                <w:rFonts w:ascii="Times New Roman" w:hAnsi="Times New Roman"/>
                <w:sz w:val="20"/>
                <w:szCs w:val="20"/>
                <w:lang w:val="en-CA"/>
              </w:rPr>
              <w:t>Inverse</w:t>
            </w:r>
            <w:r w:rsidRPr="000D7A90">
              <w:rPr>
                <w:rFonts w:ascii="Times New Roman" w:hAnsi="Times New Roman"/>
                <w:sz w:val="20"/>
                <w:szCs w:val="20"/>
              </w:rPr>
              <w:t>Strategy</w:t>
            </w:r>
            <w:r w:rsidR="00ED6AFD" w:rsidRPr="000D7A90">
              <w:rPr>
                <w:rFonts w:ascii="Times New Roman" w:hAnsi="Times New Roman"/>
                <w:sz w:val="20"/>
                <w:szCs w:val="20"/>
              </w:rPr>
              <w:t>.</w:t>
            </w:r>
          </w:p>
        </w:tc>
      </w:tr>
      <w:tr w:rsidR="00EB2213" w:rsidRPr="000D7A90" w14:paraId="4FD1C00D" w14:textId="77777777" w:rsidTr="00E71E74">
        <w:trPr>
          <w:jc w:val="center"/>
        </w:trPr>
        <w:tc>
          <w:tcPr>
            <w:tcW w:w="2423" w:type="dxa"/>
            <w:tcBorders>
              <w:bottom w:val="single" w:sz="4" w:space="0" w:color="auto"/>
            </w:tcBorders>
            <w:shd w:val="clear" w:color="auto" w:fill="F3C3B7"/>
          </w:tcPr>
          <w:p w14:paraId="6B6D24D0" w14:textId="77777777" w:rsidR="00EB2213" w:rsidRPr="00B77BCF" w:rsidRDefault="00EB2213" w:rsidP="00A44B0F">
            <w:pPr>
              <w:keepLines/>
              <w:spacing w:after="0" w:line="240" w:lineRule="auto"/>
              <w:jc w:val="both"/>
              <w:rPr>
                <w:rFonts w:ascii="Times New Roman" w:hAnsi="Times New Roman"/>
                <w:b/>
                <w:sz w:val="20"/>
                <w:szCs w:val="20"/>
                <w:vertAlign w:val="superscript"/>
              </w:rPr>
            </w:pPr>
            <w:r w:rsidRPr="00B77BCF">
              <w:rPr>
                <w:rFonts w:ascii="Times New Roman" w:hAnsi="Times New Roman"/>
                <w:b/>
                <w:sz w:val="20"/>
                <w:szCs w:val="20"/>
              </w:rPr>
              <w:t>Initial Exchange Rate</w:t>
            </w:r>
            <w:r w:rsidR="00A80E98" w:rsidRPr="00B77BCF">
              <w:rPr>
                <w:rFonts w:ascii="Times New Roman" w:hAnsi="Times New Roman"/>
                <w:b/>
                <w:sz w:val="20"/>
                <w:szCs w:val="20"/>
                <w:vertAlign w:val="superscript"/>
              </w:rPr>
              <w:t>3</w:t>
            </w:r>
          </w:p>
        </w:tc>
        <w:tc>
          <w:tcPr>
            <w:tcW w:w="8604" w:type="dxa"/>
            <w:gridSpan w:val="4"/>
            <w:shd w:val="clear" w:color="auto" w:fill="auto"/>
          </w:tcPr>
          <w:p w14:paraId="552A38CC" w14:textId="77777777" w:rsidR="00E4002E" w:rsidRPr="00B77BCF" w:rsidRDefault="000365C6" w:rsidP="00E4002E">
            <w:pPr>
              <w:keepLines/>
              <w:spacing w:after="0" w:line="240" w:lineRule="auto"/>
              <w:jc w:val="both"/>
              <w:rPr>
                <w:rFonts w:ascii="Times New Roman" w:hAnsi="Times New Roman"/>
                <w:lang w:val="en-CA"/>
              </w:rPr>
            </w:pPr>
            <w:r w:rsidRPr="00B77BCF">
              <w:rPr>
                <w:rFonts w:ascii="Times New Roman" w:hAnsi="Times New Roman"/>
                <w:lang w:val="en-CA"/>
              </w:rPr>
              <w:t>0.1749</w:t>
            </w:r>
            <w:r w:rsidR="00FE6CBD" w:rsidRPr="00B77BCF">
              <w:rPr>
                <w:rFonts w:ascii="Times New Roman" w:hAnsi="Times New Roman"/>
                <w:lang w:val="en-CA"/>
              </w:rPr>
              <w:t xml:space="preserve">, </w:t>
            </w:r>
            <w:r w:rsidR="00FE6CBD" w:rsidRPr="00B77BCF">
              <w:rPr>
                <w:rFonts w:ascii="Times New Roman" w:hAnsi="Times New Roman" w:hint="eastAsia"/>
                <w:sz w:val="20"/>
                <w:szCs w:val="20"/>
                <w:lang w:val="en-CA"/>
              </w:rPr>
              <w:t>t</w:t>
            </w:r>
            <w:r w:rsidR="00EB2213" w:rsidRPr="00B77BCF">
              <w:rPr>
                <w:rFonts w:ascii="Times New Roman" w:hAnsi="Times New Roman"/>
                <w:sz w:val="20"/>
                <w:szCs w:val="20"/>
                <w:lang w:val="en-CA"/>
              </w:rPr>
              <w:t xml:space="preserve">he rate for the conversion of </w:t>
            </w:r>
            <w:r w:rsidR="00CB63C9" w:rsidRPr="00B77BCF">
              <w:rPr>
                <w:rFonts w:ascii="Times New Roman" w:hAnsi="Times New Roman"/>
                <w:sz w:val="20"/>
                <w:szCs w:val="20"/>
                <w:lang w:val="en-CA"/>
              </w:rPr>
              <w:t>HKD</w:t>
            </w:r>
            <w:r w:rsidR="00EB2213" w:rsidRPr="00B77BCF">
              <w:rPr>
                <w:rFonts w:ascii="Times New Roman" w:hAnsi="Times New Roman"/>
                <w:sz w:val="20"/>
                <w:szCs w:val="20"/>
                <w:lang w:val="en-CA"/>
              </w:rPr>
              <w:t xml:space="preserve"> to </w:t>
            </w:r>
            <w:r w:rsidR="00CB63C9" w:rsidRPr="00B77BCF">
              <w:rPr>
                <w:rFonts w:ascii="Times New Roman" w:hAnsi="Times New Roman"/>
                <w:sz w:val="20"/>
                <w:szCs w:val="20"/>
                <w:lang w:val="en-CA"/>
              </w:rPr>
              <w:t>SGD</w:t>
            </w:r>
            <w:r w:rsidR="00EB2213" w:rsidRPr="00B77BCF">
              <w:rPr>
                <w:rFonts w:ascii="Times New Roman" w:hAnsi="Times New Roman"/>
                <w:sz w:val="20"/>
                <w:szCs w:val="20"/>
                <w:lang w:val="en-CA"/>
              </w:rPr>
              <w:t xml:space="preserve"> as at 5:00pm (Singapore Time) on</w:t>
            </w:r>
            <w:r w:rsidR="00224686" w:rsidRPr="00B77BCF">
              <w:rPr>
                <w:rFonts w:ascii="Times New Roman" w:hAnsi="Times New Roman"/>
                <w:sz w:val="20"/>
                <w:szCs w:val="20"/>
                <w:lang w:val="en-CA"/>
              </w:rPr>
              <w:t xml:space="preserve"> </w:t>
            </w:r>
            <w:r w:rsidR="00884E0F" w:rsidRPr="00B77BCF">
              <w:rPr>
                <w:rFonts w:ascii="Times New Roman" w:hAnsi="Times New Roman"/>
                <w:sz w:val="20"/>
                <w:szCs w:val="20"/>
                <w:lang w:val="en-CA"/>
              </w:rPr>
              <w:t>19 December 2024</w:t>
            </w:r>
            <w:r w:rsidR="00EB2213" w:rsidRPr="00B77BCF">
              <w:rPr>
                <w:rFonts w:ascii="Times New Roman" w:hAnsi="Times New Roman"/>
                <w:sz w:val="20"/>
                <w:szCs w:val="20"/>
                <w:lang w:val="en-CA"/>
              </w:rPr>
              <w:t>as shown on Reuters.</w:t>
            </w:r>
          </w:p>
        </w:tc>
      </w:tr>
      <w:tr w:rsidR="00EB2213" w:rsidRPr="000D7A90" w14:paraId="00249CCE" w14:textId="77777777" w:rsidTr="00E71E74">
        <w:trPr>
          <w:jc w:val="center"/>
        </w:trPr>
        <w:tc>
          <w:tcPr>
            <w:tcW w:w="2423" w:type="dxa"/>
            <w:tcBorders>
              <w:bottom w:val="single" w:sz="4" w:space="0" w:color="auto"/>
            </w:tcBorders>
            <w:shd w:val="clear" w:color="auto" w:fill="F3C3B7"/>
          </w:tcPr>
          <w:p w14:paraId="3CC199AD"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Final Exchange Rate</w:t>
            </w:r>
          </w:p>
        </w:tc>
        <w:tc>
          <w:tcPr>
            <w:tcW w:w="8604" w:type="dxa"/>
            <w:gridSpan w:val="4"/>
            <w:shd w:val="clear" w:color="auto" w:fill="auto"/>
          </w:tcPr>
          <w:p w14:paraId="6A314B5A" w14:textId="77777777" w:rsidR="00E4002E" w:rsidRPr="000D7A90" w:rsidRDefault="00EB2213" w:rsidP="00E4002E">
            <w:pPr>
              <w:keepLines/>
              <w:spacing w:after="0" w:line="240" w:lineRule="auto"/>
              <w:jc w:val="both"/>
              <w:rPr>
                <w:rFonts w:ascii="Times New Roman" w:hAnsi="Times New Roman"/>
                <w:lang w:val="en-CA"/>
              </w:rPr>
            </w:pPr>
            <w:r w:rsidRPr="000D7A90">
              <w:rPr>
                <w:rFonts w:ascii="Times New Roman" w:hAnsi="Times New Roman"/>
                <w:sz w:val="20"/>
                <w:szCs w:val="20"/>
                <w:lang w:val="en-CA"/>
              </w:rPr>
              <w:t xml:space="preserve">The rate for the conversion of </w:t>
            </w:r>
            <w:r w:rsidR="00CB63C9" w:rsidRPr="000D7A90">
              <w:rPr>
                <w:rFonts w:ascii="Times New Roman" w:hAnsi="Times New Roman"/>
                <w:sz w:val="20"/>
                <w:szCs w:val="20"/>
                <w:lang w:val="en-CA"/>
              </w:rPr>
              <w:t>HKD</w:t>
            </w:r>
            <w:r w:rsidRPr="000D7A90">
              <w:rPr>
                <w:rFonts w:ascii="Times New Roman" w:hAnsi="Times New Roman"/>
                <w:sz w:val="20"/>
                <w:szCs w:val="20"/>
                <w:lang w:val="en-CA"/>
              </w:rPr>
              <w:t xml:space="preserve"> to </w:t>
            </w:r>
            <w:r w:rsidR="00CB63C9" w:rsidRPr="000D7A90">
              <w:rPr>
                <w:rFonts w:ascii="Times New Roman" w:hAnsi="Times New Roman"/>
                <w:sz w:val="20"/>
                <w:szCs w:val="20"/>
                <w:lang w:val="en-CA"/>
              </w:rPr>
              <w:t>SGD</w:t>
            </w:r>
            <w:r w:rsidRPr="000D7A90">
              <w:rPr>
                <w:rFonts w:ascii="Times New Roman" w:hAnsi="Times New Roman"/>
                <w:sz w:val="20"/>
                <w:szCs w:val="20"/>
                <w:lang w:val="en-CA"/>
              </w:rPr>
              <w:t xml:space="preserve"> as at 5:00pm (Singapore Time) on the Valuation Date as shown on Reuters, provided that if the Reuters service ceases to display such information, as determined by the Issuer by reference to such source(s) as the Issuer may reasonably determine to be appropriate at such a time.</w:t>
            </w:r>
          </w:p>
        </w:tc>
      </w:tr>
      <w:tr w:rsidR="00EB2213" w:rsidRPr="000D7A90" w14:paraId="49154C8F" w14:textId="77777777" w:rsidTr="00E71E74">
        <w:trPr>
          <w:jc w:val="center"/>
        </w:trPr>
        <w:tc>
          <w:tcPr>
            <w:tcW w:w="2423" w:type="dxa"/>
            <w:tcBorders>
              <w:bottom w:val="single" w:sz="4" w:space="0" w:color="auto"/>
            </w:tcBorders>
            <w:shd w:val="clear" w:color="auto" w:fill="F3C3B7"/>
          </w:tcPr>
          <w:p w14:paraId="17A04DE6"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Air Bag Mechanism</w:t>
            </w:r>
          </w:p>
        </w:tc>
        <w:tc>
          <w:tcPr>
            <w:tcW w:w="8604" w:type="dxa"/>
            <w:gridSpan w:val="4"/>
            <w:shd w:val="clear" w:color="auto" w:fill="auto"/>
          </w:tcPr>
          <w:p w14:paraId="7BD939D5" w14:textId="77777777" w:rsidR="00EB2213" w:rsidRPr="000D7A90" w:rsidRDefault="00D1077C" w:rsidP="00C65BBB">
            <w:pPr>
              <w:keepLines/>
              <w:spacing w:after="0" w:line="240" w:lineRule="auto"/>
              <w:jc w:val="both"/>
              <w:rPr>
                <w:rFonts w:ascii="Times New Roman" w:hAnsi="Times New Roman"/>
                <w:sz w:val="20"/>
                <w:szCs w:val="20"/>
                <w:lang w:val="en-CA"/>
              </w:rPr>
            </w:pPr>
            <w:r w:rsidRPr="000D7A90">
              <w:rPr>
                <w:rFonts w:ascii="Times New Roman" w:hAnsi="Times New Roman"/>
                <w:sz w:val="20"/>
                <w:szCs w:val="20"/>
              </w:rPr>
              <w:t>The “</w:t>
            </w:r>
            <w:r w:rsidRPr="000D7A90">
              <w:rPr>
                <w:rFonts w:ascii="Times New Roman" w:hAnsi="Times New Roman"/>
                <w:b/>
                <w:sz w:val="20"/>
                <w:szCs w:val="20"/>
              </w:rPr>
              <w:t>Air Bag Mechanism</w:t>
            </w:r>
            <w:r w:rsidRPr="000D7A90">
              <w:rPr>
                <w:rFonts w:ascii="Times New Roman" w:hAnsi="Times New Roman"/>
                <w:sz w:val="20"/>
                <w:szCs w:val="20"/>
              </w:rPr>
              <w:t xml:space="preserve">” refers to the mechanism built in the Leverage Inverse </w:t>
            </w:r>
            <w:proofErr w:type="gramStart"/>
            <w:r w:rsidRPr="000D7A90">
              <w:rPr>
                <w:rFonts w:ascii="Times New Roman" w:hAnsi="Times New Roman"/>
                <w:sz w:val="20"/>
                <w:szCs w:val="20"/>
              </w:rPr>
              <w:t>Strategy</w:t>
            </w:r>
            <w:proofErr w:type="gramEnd"/>
            <w:r w:rsidRPr="000D7A90">
              <w:rPr>
                <w:rFonts w:ascii="Times New Roman" w:hAnsi="Times New Roman"/>
                <w:sz w:val="20"/>
                <w:szCs w:val="20"/>
              </w:rPr>
              <w:t xml:space="preserve"> and which is designed to reduce the Leverage Inverse Strategy exposure to the </w:t>
            </w:r>
            <w:r w:rsidR="00C208FB" w:rsidRPr="000D7A90">
              <w:rPr>
                <w:rFonts w:ascii="Times New Roman" w:hAnsi="Times New Roman"/>
                <w:sz w:val="20"/>
                <w:szCs w:val="20"/>
              </w:rPr>
              <w:t xml:space="preserve">Underlying Stock </w:t>
            </w:r>
            <w:r w:rsidRPr="000D7A90">
              <w:rPr>
                <w:rFonts w:ascii="Times New Roman" w:hAnsi="Times New Roman"/>
                <w:sz w:val="20"/>
                <w:szCs w:val="20"/>
              </w:rPr>
              <w:t xml:space="preserve">during extreme market conditions. If the </w:t>
            </w:r>
            <w:r w:rsidR="00C208FB" w:rsidRPr="000D7A90">
              <w:rPr>
                <w:rFonts w:ascii="Times New Roman" w:hAnsi="Times New Roman"/>
                <w:sz w:val="20"/>
                <w:szCs w:val="20"/>
              </w:rPr>
              <w:t xml:space="preserve">Underlying Stock </w:t>
            </w:r>
            <w:r w:rsidRPr="000D7A90">
              <w:rPr>
                <w:rFonts w:ascii="Times New Roman" w:hAnsi="Times New Roman"/>
                <w:sz w:val="20"/>
                <w:szCs w:val="20"/>
              </w:rPr>
              <w:t>rises by 15% or more during the trading day (which represents an approximately 75% loss after a</w:t>
            </w:r>
            <w:r w:rsidR="00A80E98">
              <w:rPr>
                <w:rFonts w:ascii="Times New Roman" w:hAnsi="Times New Roman"/>
                <w:sz w:val="20"/>
                <w:szCs w:val="20"/>
              </w:rPr>
              <w:t xml:space="preserve"> </w:t>
            </w:r>
            <w:r w:rsidR="00A0716A" w:rsidRPr="000D7A90">
              <w:rPr>
                <w:rFonts w:ascii="Times New Roman" w:hAnsi="Times New Roman"/>
                <w:sz w:val="20"/>
                <w:szCs w:val="20"/>
                <w:lang w:val="en-US"/>
              </w:rPr>
              <w:t xml:space="preserve">5 </w:t>
            </w:r>
            <w:r w:rsidRPr="000D7A90">
              <w:rPr>
                <w:rFonts w:ascii="Times New Roman" w:hAnsi="Times New Roman"/>
                <w:sz w:val="20"/>
                <w:szCs w:val="20"/>
              </w:rPr>
              <w:t xml:space="preserve">times inverse leverage), the Air Bag Mechanism is triggered and the Leverage Inverse Strategy is </w:t>
            </w:r>
            <w:r w:rsidRPr="000D7A90">
              <w:rPr>
                <w:rFonts w:ascii="Times New Roman" w:hAnsi="Times New Roman"/>
                <w:sz w:val="20"/>
                <w:szCs w:val="20"/>
                <w:lang w:val="en-CA"/>
              </w:rPr>
              <w:t xml:space="preserve">adjusted intra-day. The Air Bag Mechanism reduces the impact on the Leverage Inverse Strategy if the </w:t>
            </w:r>
            <w:r w:rsidR="00C208FB" w:rsidRPr="000D7A90">
              <w:rPr>
                <w:rFonts w:ascii="Times New Roman" w:hAnsi="Times New Roman"/>
                <w:sz w:val="20"/>
                <w:szCs w:val="20"/>
              </w:rPr>
              <w:t xml:space="preserve">Underlying Stock </w:t>
            </w:r>
            <w:r w:rsidRPr="000D7A90">
              <w:rPr>
                <w:rFonts w:ascii="Times New Roman" w:hAnsi="Times New Roman"/>
                <w:sz w:val="20"/>
                <w:szCs w:val="20"/>
                <w:lang w:val="en-CA"/>
              </w:rPr>
              <w:t xml:space="preserve">rises </w:t>
            </w:r>
            <w:proofErr w:type="gramStart"/>
            <w:r w:rsidRPr="000D7A90">
              <w:rPr>
                <w:rFonts w:ascii="Times New Roman" w:hAnsi="Times New Roman"/>
                <w:sz w:val="20"/>
                <w:szCs w:val="20"/>
                <w:lang w:val="en-CA"/>
              </w:rPr>
              <w:t>further, but</w:t>
            </w:r>
            <w:proofErr w:type="gramEnd"/>
            <w:r w:rsidRPr="000D7A90">
              <w:rPr>
                <w:rFonts w:ascii="Times New Roman" w:hAnsi="Times New Roman"/>
                <w:sz w:val="20"/>
                <w:szCs w:val="20"/>
                <w:lang w:val="en-CA"/>
              </w:rPr>
              <w:t xml:space="preserve"> will also maintain a reduced exposure to the </w:t>
            </w:r>
            <w:r w:rsidR="00C208FB" w:rsidRPr="000D7A90">
              <w:rPr>
                <w:rFonts w:ascii="Times New Roman" w:hAnsi="Times New Roman"/>
                <w:sz w:val="20"/>
                <w:szCs w:val="20"/>
              </w:rPr>
              <w:t xml:space="preserve">Underlying Stock </w:t>
            </w:r>
            <w:r w:rsidRPr="000D7A90">
              <w:rPr>
                <w:rFonts w:ascii="Times New Roman" w:hAnsi="Times New Roman"/>
                <w:sz w:val="20"/>
                <w:szCs w:val="20"/>
                <w:lang w:val="en-CA"/>
              </w:rPr>
              <w:t xml:space="preserve">in the event the </w:t>
            </w:r>
            <w:r w:rsidR="00C208FB" w:rsidRPr="000D7A90">
              <w:rPr>
                <w:rFonts w:ascii="Times New Roman" w:hAnsi="Times New Roman"/>
                <w:sz w:val="20"/>
                <w:szCs w:val="20"/>
              </w:rPr>
              <w:t xml:space="preserve">Underlying Stock </w:t>
            </w:r>
            <w:r w:rsidRPr="000D7A90">
              <w:rPr>
                <w:rFonts w:ascii="Times New Roman" w:hAnsi="Times New Roman"/>
                <w:sz w:val="20"/>
                <w:szCs w:val="20"/>
                <w:lang w:val="en-CA"/>
              </w:rPr>
              <w:t>starts to fall after the Air Bag Mechanism is triggered, thereby reducing its ability to recoup losses.</w:t>
            </w:r>
            <w:r w:rsidR="008A1A3D" w:rsidRPr="000D7A90">
              <w:rPr>
                <w:rFonts w:ascii="Times New Roman" w:hAnsi="Times New Roman"/>
                <w:sz w:val="20"/>
                <w:szCs w:val="20"/>
                <w:lang w:val="en-CA"/>
              </w:rPr>
              <w:t xml:space="preserve"> Trading of Certificates is suspended for at least 30 minutes after the Air Bag is triggered.</w:t>
            </w:r>
          </w:p>
          <w:p w14:paraId="578CA150" w14:textId="77777777" w:rsidR="00EB2213" w:rsidRPr="000D7A90" w:rsidRDefault="001463A0" w:rsidP="00336E70">
            <w:pPr>
              <w:keepLines/>
              <w:spacing w:after="0" w:line="240" w:lineRule="auto"/>
              <w:jc w:val="both"/>
              <w:rPr>
                <w:rFonts w:ascii="Times New Roman" w:hAnsi="Times New Roman"/>
                <w:lang w:val="en-CA"/>
              </w:rPr>
            </w:pPr>
            <w:r w:rsidRPr="000D7A90">
              <w:rPr>
                <w:rFonts w:ascii="Times New Roman" w:hAnsi="Times New Roman"/>
                <w:sz w:val="20"/>
                <w:szCs w:val="20"/>
                <w:lang w:val="en-CA"/>
              </w:rPr>
              <w:t xml:space="preserve">Please refer to “Product Specific Risks” relating to the Air Bag Mechanism, </w:t>
            </w:r>
            <w:r w:rsidR="00B70D03" w:rsidRPr="000D7A90">
              <w:rPr>
                <w:rFonts w:ascii="Times New Roman" w:hAnsi="Times New Roman"/>
                <w:sz w:val="20"/>
                <w:szCs w:val="20"/>
                <w:lang w:val="en-CA"/>
              </w:rPr>
              <w:t>the</w:t>
            </w:r>
            <w:r w:rsidRPr="000D7A90">
              <w:rPr>
                <w:rFonts w:ascii="Times New Roman" w:hAnsi="Times New Roman"/>
                <w:sz w:val="20"/>
                <w:szCs w:val="20"/>
                <w:lang w:val="en-CA"/>
              </w:rPr>
              <w:t xml:space="preserve"> “</w:t>
            </w:r>
            <w:r w:rsidRPr="000D7A90">
              <w:rPr>
                <w:rFonts w:ascii="Times New Roman" w:hAnsi="Times New Roman"/>
                <w:sz w:val="20"/>
                <w:szCs w:val="20"/>
              </w:rPr>
              <w:t>Extraordinary Strategy Adjustment for Performance Reasons (“Air Bag Mechanism”)</w:t>
            </w:r>
            <w:r w:rsidRPr="000D7A90">
              <w:rPr>
                <w:rFonts w:ascii="Times New Roman" w:hAnsi="Times New Roman"/>
                <w:sz w:val="20"/>
                <w:szCs w:val="20"/>
                <w:lang w:val="en-CA"/>
              </w:rPr>
              <w:t xml:space="preserve">” </w:t>
            </w:r>
            <w:r w:rsidR="00B70D03" w:rsidRPr="000D7A90">
              <w:rPr>
                <w:rFonts w:ascii="Times New Roman" w:hAnsi="Times New Roman"/>
                <w:sz w:val="20"/>
                <w:szCs w:val="20"/>
                <w:lang w:val="en-CA"/>
              </w:rPr>
              <w:t xml:space="preserve">section of Appendix I </w:t>
            </w:r>
            <w:r w:rsidRPr="000D7A90">
              <w:rPr>
                <w:rFonts w:ascii="Times New Roman" w:hAnsi="Times New Roman"/>
                <w:sz w:val="20"/>
                <w:szCs w:val="20"/>
                <w:lang w:val="en-CA"/>
              </w:rPr>
              <w:t>below, and the “Description of Air Bag Mechanism” section of the Supplemental Listing Document for further information of the Air Bag Mechanism.</w:t>
            </w:r>
          </w:p>
        </w:tc>
      </w:tr>
      <w:tr w:rsidR="00EB2213" w:rsidRPr="000D7A90" w14:paraId="2552A33E" w14:textId="77777777" w:rsidTr="00E71E74">
        <w:trPr>
          <w:jc w:val="center"/>
        </w:trPr>
        <w:tc>
          <w:tcPr>
            <w:tcW w:w="2423" w:type="dxa"/>
            <w:shd w:val="clear" w:color="auto" w:fill="F3C3B7"/>
          </w:tcPr>
          <w:p w14:paraId="5126E343"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Form</w:t>
            </w:r>
          </w:p>
        </w:tc>
        <w:tc>
          <w:tcPr>
            <w:tcW w:w="8604" w:type="dxa"/>
            <w:gridSpan w:val="4"/>
            <w:shd w:val="clear" w:color="auto" w:fill="auto"/>
          </w:tcPr>
          <w:p w14:paraId="5BE96EF5" w14:textId="77777777" w:rsidR="00EB2213" w:rsidRPr="000D7A90" w:rsidRDefault="00EB2213" w:rsidP="00313A4A">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 xml:space="preserve">The </w:t>
            </w:r>
            <w:r w:rsidR="004C61D3">
              <w:rPr>
                <w:rFonts w:ascii="Times New Roman" w:hAnsi="Times New Roman"/>
                <w:sz w:val="20"/>
                <w:szCs w:val="20"/>
                <w:lang w:val="en-CA"/>
              </w:rPr>
              <w:t xml:space="preserve">New </w:t>
            </w:r>
            <w:r w:rsidRPr="000D7A90">
              <w:rPr>
                <w:rFonts w:ascii="Times New Roman" w:hAnsi="Times New Roman"/>
                <w:sz w:val="20"/>
                <w:szCs w:val="20"/>
                <w:lang w:val="en-CA"/>
              </w:rPr>
              <w:t>Certificates will be represented by a global warrant, which will be deposited with the CDP. No definitive Warrants will be issued</w:t>
            </w:r>
            <w:r w:rsidRPr="000D7A90">
              <w:rPr>
                <w:rFonts w:ascii="Times New Roman" w:hAnsi="Times New Roman"/>
                <w:sz w:val="20"/>
                <w:szCs w:val="20"/>
              </w:rPr>
              <w:t>.</w:t>
            </w:r>
          </w:p>
        </w:tc>
      </w:tr>
      <w:tr w:rsidR="00EB2213" w:rsidRPr="000D7A90" w14:paraId="241425E5" w14:textId="77777777" w:rsidTr="00E71E74">
        <w:trPr>
          <w:jc w:val="center"/>
        </w:trPr>
        <w:tc>
          <w:tcPr>
            <w:tcW w:w="2423" w:type="dxa"/>
            <w:shd w:val="clear" w:color="auto" w:fill="F3C3B7"/>
          </w:tcPr>
          <w:p w14:paraId="6E4D4D20"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Adjustments and Extraordinary Events</w:t>
            </w:r>
          </w:p>
        </w:tc>
        <w:tc>
          <w:tcPr>
            <w:tcW w:w="8604" w:type="dxa"/>
            <w:gridSpan w:val="4"/>
            <w:shd w:val="clear" w:color="auto" w:fill="auto"/>
          </w:tcPr>
          <w:p w14:paraId="2694A908" w14:textId="77777777" w:rsidR="00D761A4" w:rsidRPr="000D7A90" w:rsidRDefault="007814B1" w:rsidP="00D761A4">
            <w:pPr>
              <w:keepLines/>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 xml:space="preserve">The Issuer has the right to </w:t>
            </w:r>
            <w:proofErr w:type="gramStart"/>
            <w:r w:rsidRPr="000D7A90">
              <w:rPr>
                <w:rFonts w:ascii="Times New Roman" w:hAnsi="Times New Roman"/>
                <w:sz w:val="20"/>
                <w:szCs w:val="20"/>
                <w:lang w:val="en-CA"/>
              </w:rPr>
              <w:t>make adjustments to</w:t>
            </w:r>
            <w:proofErr w:type="gramEnd"/>
            <w:r w:rsidRPr="000D7A90">
              <w:rPr>
                <w:rFonts w:ascii="Times New Roman" w:hAnsi="Times New Roman"/>
                <w:sz w:val="20"/>
                <w:szCs w:val="20"/>
                <w:lang w:val="en-CA"/>
              </w:rPr>
              <w:t xml:space="preserve"> the terms of the Certificates if certain events, including any capitalisation issue, rights issue, extraordinary distributions, merger, delisting, insolvency (as more specifically set out in the terms and conditions of the Certificates in the Listing Documents) occur in respect of the Underlying Stock.</w:t>
            </w:r>
            <w:r w:rsidR="00843369">
              <w:rPr>
                <w:rFonts w:ascii="Times New Roman" w:hAnsi="Times New Roman"/>
                <w:sz w:val="20"/>
                <w:szCs w:val="20"/>
                <w:lang w:val="en-CA"/>
              </w:rPr>
              <w:t xml:space="preserve"> </w:t>
            </w:r>
            <w:r w:rsidR="00843369" w:rsidRPr="008E7907">
              <w:rPr>
                <w:rFonts w:ascii="Times New Roman" w:hAnsi="Times New Roman"/>
                <w:sz w:val="20"/>
                <w:szCs w:val="20"/>
                <w:lang w:val="en-CA"/>
              </w:rPr>
              <w:t>For the avoidance of doubt, no notice will be given if the Issuer determines that adjustments will not be made.</w:t>
            </w:r>
          </w:p>
          <w:p w14:paraId="30255AAB" w14:textId="77777777" w:rsidR="0071203F" w:rsidRPr="000D7A90" w:rsidRDefault="0071203F" w:rsidP="00D761A4">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 xml:space="preserve">Please refer to the “Information relating to the European Style Cash Settled </w:t>
            </w:r>
            <w:r w:rsidR="00D022DE" w:rsidRPr="000D7A90">
              <w:rPr>
                <w:rFonts w:ascii="Times New Roman" w:hAnsi="Times New Roman"/>
                <w:sz w:val="20"/>
                <w:lang w:val="en-CA"/>
              </w:rPr>
              <w:t>Short</w:t>
            </w:r>
            <w:r w:rsidR="00D022DE" w:rsidRPr="000D7A90">
              <w:rPr>
                <w:rFonts w:ascii="Times New Roman" w:hAnsi="Times New Roman"/>
                <w:lang w:val="en-CA"/>
              </w:rPr>
              <w:t xml:space="preserve"> </w:t>
            </w:r>
            <w:r w:rsidRPr="000D7A90">
              <w:rPr>
                <w:rFonts w:ascii="Times New Roman" w:hAnsi="Times New Roman"/>
                <w:sz w:val="20"/>
                <w:szCs w:val="20"/>
                <w:lang w:val="en-CA"/>
              </w:rPr>
              <w:t>Certificates on Single Equities” section of the Supplemental Listing Document for examples and illustrations of adjustments that may be made to the terms of the Certificates due to certain corporate actions on the Underlying Stock.</w:t>
            </w:r>
          </w:p>
        </w:tc>
      </w:tr>
      <w:tr w:rsidR="00EB2213" w:rsidRPr="000D7A90" w14:paraId="0586E6FC" w14:textId="77777777" w:rsidTr="00E71E74">
        <w:trPr>
          <w:jc w:val="center"/>
        </w:trPr>
        <w:tc>
          <w:tcPr>
            <w:tcW w:w="2423" w:type="dxa"/>
            <w:shd w:val="clear" w:color="auto" w:fill="F3C3B7"/>
          </w:tcPr>
          <w:p w14:paraId="33FE7884"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Further Issuance</w:t>
            </w:r>
          </w:p>
        </w:tc>
        <w:tc>
          <w:tcPr>
            <w:tcW w:w="8604" w:type="dxa"/>
            <w:gridSpan w:val="4"/>
            <w:shd w:val="clear" w:color="auto" w:fill="auto"/>
          </w:tcPr>
          <w:p w14:paraId="44622DE1" w14:textId="77777777" w:rsidR="00EB2213" w:rsidRPr="000D7A90" w:rsidRDefault="00EB2213" w:rsidP="00313A4A">
            <w:pPr>
              <w:keepLines/>
              <w:spacing w:after="0" w:line="240" w:lineRule="auto"/>
              <w:jc w:val="both"/>
              <w:rPr>
                <w:rFonts w:ascii="Times New Roman" w:hAnsi="Times New Roman"/>
                <w:noProof/>
                <w:sz w:val="20"/>
                <w:szCs w:val="20"/>
              </w:rPr>
            </w:pPr>
            <w:r w:rsidRPr="000D7A90">
              <w:rPr>
                <w:rFonts w:ascii="Times New Roman" w:hAnsi="Times New Roman"/>
                <w:sz w:val="20"/>
                <w:szCs w:val="20"/>
                <w:lang w:val="en-CA"/>
              </w:rPr>
              <w:t>The Issuer may issue further certificates which will form a single series with the existing issue of Certificates, subject to the approval of the SGX-ST</w:t>
            </w:r>
            <w:r w:rsidRPr="000D7A90">
              <w:rPr>
                <w:rFonts w:ascii="Times New Roman" w:hAnsi="Times New Roman"/>
                <w:noProof/>
                <w:sz w:val="20"/>
                <w:szCs w:val="20"/>
              </w:rPr>
              <w:t xml:space="preserve">. </w:t>
            </w:r>
          </w:p>
        </w:tc>
      </w:tr>
      <w:tr w:rsidR="00EB2213" w:rsidRPr="000D7A90" w14:paraId="2A32FBD1" w14:textId="77777777" w:rsidTr="00E71E74">
        <w:trPr>
          <w:jc w:val="center"/>
        </w:trPr>
        <w:tc>
          <w:tcPr>
            <w:tcW w:w="2423" w:type="dxa"/>
            <w:shd w:val="clear" w:color="auto" w:fill="F3C3B7"/>
          </w:tcPr>
          <w:p w14:paraId="235807A6"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Documents</w:t>
            </w:r>
          </w:p>
        </w:tc>
        <w:tc>
          <w:tcPr>
            <w:tcW w:w="8604" w:type="dxa"/>
            <w:gridSpan w:val="4"/>
            <w:shd w:val="clear" w:color="auto" w:fill="auto"/>
          </w:tcPr>
          <w:p w14:paraId="032A2454" w14:textId="77777777" w:rsidR="00EB2213" w:rsidRPr="000D7A90" w:rsidRDefault="00EB2213" w:rsidP="00A44B0F">
            <w:pPr>
              <w:keepLines/>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The Listing Documents are and will be available for inspection during usual business hours on any weekday (public holidays excepted) at the following address:</w:t>
            </w:r>
          </w:p>
          <w:p w14:paraId="02C066C3"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Société Générale, Singapore</w:t>
            </w:r>
            <w:r w:rsidR="007D2761" w:rsidRPr="000D7A90">
              <w:rPr>
                <w:rFonts w:ascii="Times New Roman" w:hAnsi="Times New Roman"/>
                <w:sz w:val="20"/>
                <w:szCs w:val="20"/>
                <w:lang w:val="en-CA"/>
              </w:rPr>
              <w:t xml:space="preserve"> Branch, 8 Marina Boulevard, #12</w:t>
            </w:r>
            <w:r w:rsidRPr="000D7A90">
              <w:rPr>
                <w:rFonts w:ascii="Times New Roman" w:hAnsi="Times New Roman"/>
                <w:sz w:val="20"/>
                <w:szCs w:val="20"/>
                <w:lang w:val="en-CA"/>
              </w:rPr>
              <w:t>-01 Marina Bay Financial Centre Tower 1, Singapore 018981.</w:t>
            </w:r>
            <w:r w:rsidRPr="000D7A90">
              <w:rPr>
                <w:rFonts w:ascii="Times New Roman" w:hAnsi="Times New Roman"/>
                <w:sz w:val="20"/>
                <w:szCs w:val="20"/>
              </w:rPr>
              <w:t xml:space="preserve"> </w:t>
            </w:r>
          </w:p>
        </w:tc>
      </w:tr>
      <w:tr w:rsidR="00EB2213" w:rsidRPr="000D7A90" w14:paraId="1300B715" w14:textId="77777777" w:rsidTr="00E71E74">
        <w:trPr>
          <w:jc w:val="center"/>
        </w:trPr>
        <w:tc>
          <w:tcPr>
            <w:tcW w:w="2423" w:type="dxa"/>
            <w:shd w:val="clear" w:color="auto" w:fill="F3C3B7"/>
          </w:tcPr>
          <w:p w14:paraId="00F35B83"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lastRenderedPageBreak/>
              <w:t>Selling Restrictions</w:t>
            </w:r>
          </w:p>
        </w:tc>
        <w:tc>
          <w:tcPr>
            <w:tcW w:w="8604" w:type="dxa"/>
            <w:gridSpan w:val="4"/>
            <w:shd w:val="clear" w:color="auto" w:fill="auto"/>
          </w:tcPr>
          <w:p w14:paraId="130A7394" w14:textId="77777777" w:rsidR="00EB2213" w:rsidRPr="000D7A90" w:rsidRDefault="00EB2213" w:rsidP="00313A4A">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No action has been or will be taken by the Issuer that would permit a public offering of the Certificates or possession or distribution of any offering material in relation to the Certificates in any jurisdiction where action for that purpose is required. No offers, sales or deliveries of any Certificate or distribution of any offering material relating to the Certificates may be made in or from any jurisdiction except in circumstances which will result in compliance with any applicable laws or regulations.</w:t>
            </w:r>
            <w:r w:rsidRPr="000D7A90">
              <w:rPr>
                <w:rFonts w:ascii="Times New Roman" w:hAnsi="Times New Roman"/>
                <w:sz w:val="20"/>
                <w:szCs w:val="20"/>
              </w:rPr>
              <w:t xml:space="preserve"> </w:t>
            </w:r>
          </w:p>
        </w:tc>
      </w:tr>
      <w:tr w:rsidR="00EB2213" w:rsidRPr="000D7A90" w14:paraId="45FF8E0E" w14:textId="77777777" w:rsidTr="00A44B0F">
        <w:trPr>
          <w:jc w:val="center"/>
        </w:trPr>
        <w:tc>
          <w:tcPr>
            <w:tcW w:w="11027" w:type="dxa"/>
            <w:gridSpan w:val="5"/>
            <w:shd w:val="solid" w:color="auto" w:fill="auto"/>
          </w:tcPr>
          <w:p w14:paraId="1D7C5618" w14:textId="77777777" w:rsidR="00EB2213" w:rsidRPr="000D7A90" w:rsidRDefault="00EB2213" w:rsidP="00A44B0F">
            <w:pPr>
              <w:keepLines/>
              <w:spacing w:after="0" w:line="240" w:lineRule="auto"/>
              <w:jc w:val="center"/>
              <w:rPr>
                <w:rFonts w:ascii="Times New Roman" w:hAnsi="Times New Roman"/>
                <w:b/>
                <w:sz w:val="20"/>
                <w:szCs w:val="20"/>
              </w:rPr>
            </w:pPr>
            <w:r w:rsidRPr="000D7A90">
              <w:rPr>
                <w:rFonts w:ascii="Times New Roman" w:hAnsi="Times New Roman"/>
                <w:b/>
                <w:sz w:val="20"/>
                <w:szCs w:val="20"/>
              </w:rPr>
              <w:t xml:space="preserve">B.  </w:t>
            </w:r>
            <w:r w:rsidRPr="000D7A90">
              <w:rPr>
                <w:rFonts w:ascii="Times New Roman" w:hAnsi="Times New Roman"/>
                <w:b/>
                <w:lang w:val="en-CA"/>
              </w:rPr>
              <w:t>INFORMATION ON THE ISSUER AND GUARANTOR</w:t>
            </w:r>
          </w:p>
        </w:tc>
      </w:tr>
      <w:tr w:rsidR="00EB2213" w:rsidRPr="000D7A90" w14:paraId="44065E13" w14:textId="77777777" w:rsidTr="00E71E74">
        <w:trPr>
          <w:jc w:val="center"/>
        </w:trPr>
        <w:tc>
          <w:tcPr>
            <w:tcW w:w="2423" w:type="dxa"/>
            <w:shd w:val="clear" w:color="auto" w:fill="F3C3B7"/>
          </w:tcPr>
          <w:p w14:paraId="77F97B2C"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Name of Issuer</w:t>
            </w:r>
          </w:p>
        </w:tc>
        <w:tc>
          <w:tcPr>
            <w:tcW w:w="8604" w:type="dxa"/>
            <w:gridSpan w:val="4"/>
            <w:shd w:val="clear" w:color="auto" w:fill="auto"/>
          </w:tcPr>
          <w:p w14:paraId="38F74577" w14:textId="77777777" w:rsidR="00EB2213" w:rsidRPr="000D7A90" w:rsidRDefault="00EB2213" w:rsidP="00A44B0F">
            <w:pPr>
              <w:keepLines/>
              <w:spacing w:after="0" w:line="240" w:lineRule="auto"/>
              <w:rPr>
                <w:rFonts w:ascii="Times New Roman" w:hAnsi="Times New Roman"/>
                <w:sz w:val="20"/>
                <w:szCs w:val="20"/>
                <w:lang w:val="en-CA"/>
              </w:rPr>
            </w:pPr>
            <w:r w:rsidRPr="000D7A90">
              <w:rPr>
                <w:rFonts w:ascii="Times New Roman" w:hAnsi="Times New Roman"/>
                <w:sz w:val="20"/>
                <w:szCs w:val="20"/>
                <w:lang w:val="en-CA"/>
              </w:rPr>
              <w:t>SG Issuer</w:t>
            </w:r>
          </w:p>
          <w:p w14:paraId="0130B117"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 xml:space="preserve">The Issuer is incorporated in </w:t>
            </w:r>
            <w:r w:rsidRPr="000D7A90">
              <w:rPr>
                <w:rFonts w:ascii="Times New Roman" w:eastAsia="Times New Roman" w:hAnsi="Times New Roman"/>
                <w:sz w:val="20"/>
                <w:szCs w:val="20"/>
              </w:rPr>
              <w:t>Luxembourg</w:t>
            </w:r>
            <w:r w:rsidRPr="000D7A90">
              <w:rPr>
                <w:rFonts w:ascii="Times New Roman" w:hAnsi="Times New Roman"/>
                <w:sz w:val="20"/>
                <w:szCs w:val="20"/>
                <w:lang w:val="en-CA"/>
              </w:rPr>
              <w:t xml:space="preserve"> with limited liability.</w:t>
            </w:r>
          </w:p>
        </w:tc>
      </w:tr>
      <w:tr w:rsidR="00EB2213" w:rsidRPr="000D7A90" w14:paraId="3AF801A7" w14:textId="77777777" w:rsidTr="00E71E74">
        <w:trPr>
          <w:jc w:val="center"/>
        </w:trPr>
        <w:tc>
          <w:tcPr>
            <w:tcW w:w="2423" w:type="dxa"/>
            <w:shd w:val="clear" w:color="auto" w:fill="F3C3B7"/>
          </w:tcPr>
          <w:p w14:paraId="4353EAE0" w14:textId="77777777" w:rsidR="00EB2213" w:rsidRPr="000D7A90" w:rsidRDefault="00EB2213" w:rsidP="00A44B0F">
            <w:pPr>
              <w:keepLines/>
              <w:spacing w:after="0" w:line="240" w:lineRule="auto"/>
              <w:rPr>
                <w:rFonts w:ascii="Times New Roman" w:hAnsi="Times New Roman"/>
                <w:b/>
                <w:sz w:val="20"/>
                <w:szCs w:val="20"/>
                <w:lang w:val="en-CA"/>
              </w:rPr>
            </w:pPr>
            <w:r w:rsidRPr="000D7A90">
              <w:rPr>
                <w:rFonts w:ascii="Times New Roman" w:hAnsi="Times New Roman"/>
                <w:b/>
                <w:sz w:val="20"/>
                <w:szCs w:val="20"/>
                <w:lang w:val="en-CA"/>
              </w:rPr>
              <w:t>Name of Guarantor</w:t>
            </w:r>
          </w:p>
        </w:tc>
        <w:tc>
          <w:tcPr>
            <w:tcW w:w="8604" w:type="dxa"/>
            <w:gridSpan w:val="4"/>
            <w:shd w:val="clear" w:color="auto" w:fill="auto"/>
          </w:tcPr>
          <w:p w14:paraId="05666EDE" w14:textId="77777777" w:rsidR="00EB2213" w:rsidRPr="000D7A90" w:rsidRDefault="00EB2213" w:rsidP="00A44B0F">
            <w:pPr>
              <w:keepLines/>
              <w:spacing w:after="0" w:line="240" w:lineRule="auto"/>
              <w:rPr>
                <w:rFonts w:ascii="Times New Roman" w:hAnsi="Times New Roman"/>
                <w:sz w:val="20"/>
                <w:szCs w:val="20"/>
                <w:lang w:val="en-CA"/>
              </w:rPr>
            </w:pPr>
            <w:r w:rsidRPr="000D7A90">
              <w:rPr>
                <w:rFonts w:ascii="Times New Roman" w:hAnsi="Times New Roman"/>
                <w:sz w:val="20"/>
                <w:szCs w:val="20"/>
                <w:lang w:val="en-CA"/>
              </w:rPr>
              <w:t>Société Générale</w:t>
            </w:r>
          </w:p>
          <w:p w14:paraId="45B7E5CF"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 xml:space="preserve">The Guarantor is incorporated in France as a </w:t>
            </w:r>
            <w:r w:rsidRPr="000D7A90">
              <w:rPr>
                <w:rFonts w:ascii="Times New Roman" w:hAnsi="Times New Roman"/>
                <w:i/>
                <w:sz w:val="20"/>
                <w:szCs w:val="20"/>
                <w:lang w:val="en-CA"/>
              </w:rPr>
              <w:t>Société Anonyme</w:t>
            </w:r>
            <w:r w:rsidRPr="000D7A90">
              <w:rPr>
                <w:rFonts w:ascii="Times New Roman" w:hAnsi="Times New Roman"/>
                <w:sz w:val="20"/>
                <w:szCs w:val="20"/>
                <w:lang w:val="en-CA"/>
              </w:rPr>
              <w:t>.</w:t>
            </w:r>
          </w:p>
        </w:tc>
      </w:tr>
      <w:tr w:rsidR="00EB2213" w:rsidRPr="000D7A90" w14:paraId="44E3F83A" w14:textId="77777777" w:rsidTr="00E71E74">
        <w:trPr>
          <w:jc w:val="center"/>
        </w:trPr>
        <w:tc>
          <w:tcPr>
            <w:tcW w:w="2423" w:type="dxa"/>
            <w:shd w:val="clear" w:color="auto" w:fill="F3C3B7"/>
          </w:tcPr>
          <w:p w14:paraId="57643A22"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lang w:val="en-CA"/>
              </w:rPr>
              <w:t>Credit Rating of the Guarantor</w:t>
            </w:r>
          </w:p>
        </w:tc>
        <w:tc>
          <w:tcPr>
            <w:tcW w:w="8604" w:type="dxa"/>
            <w:gridSpan w:val="4"/>
            <w:shd w:val="clear" w:color="auto" w:fill="auto"/>
          </w:tcPr>
          <w:p w14:paraId="3B171BB8"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rPr>
              <w:t>As of the Launch Date:</w:t>
            </w:r>
          </w:p>
          <w:p w14:paraId="008F34DE" w14:textId="77777777" w:rsidR="00EB2213" w:rsidRPr="000D7A90" w:rsidRDefault="00EB2213" w:rsidP="00A44B0F">
            <w:pPr>
              <w:keepLines/>
              <w:spacing w:after="0" w:line="240" w:lineRule="auto"/>
              <w:rPr>
                <w:rFonts w:ascii="Times New Roman" w:hAnsi="Times New Roman"/>
                <w:sz w:val="20"/>
                <w:szCs w:val="20"/>
                <w:lang w:val="en-CA"/>
              </w:rPr>
            </w:pPr>
            <w:r w:rsidRPr="000D7A90">
              <w:rPr>
                <w:rFonts w:ascii="Times New Roman" w:hAnsi="Times New Roman"/>
                <w:sz w:val="20"/>
                <w:szCs w:val="20"/>
                <w:lang w:val="en-CA"/>
              </w:rPr>
              <w:t>Moo</w:t>
            </w:r>
            <w:r w:rsidR="00C26A73" w:rsidRPr="000D7A90">
              <w:rPr>
                <w:rFonts w:ascii="Times New Roman" w:hAnsi="Times New Roman"/>
                <w:sz w:val="20"/>
                <w:szCs w:val="20"/>
                <w:lang w:val="en-CA"/>
              </w:rPr>
              <w:t>dy’s Investors Service, Inc.: A1</w:t>
            </w:r>
          </w:p>
          <w:p w14:paraId="10EBE605" w14:textId="77777777" w:rsidR="00EB2213" w:rsidRPr="000D7A90" w:rsidRDefault="00EB2213" w:rsidP="00E51733">
            <w:pPr>
              <w:keepLines/>
              <w:spacing w:after="0" w:line="240" w:lineRule="auto"/>
              <w:rPr>
                <w:rFonts w:ascii="Times New Roman" w:hAnsi="Times New Roman"/>
                <w:sz w:val="20"/>
                <w:szCs w:val="20"/>
                <w:lang w:val="en-CA"/>
              </w:rPr>
            </w:pPr>
            <w:r w:rsidRPr="000D7A90">
              <w:rPr>
                <w:rFonts w:ascii="Times New Roman" w:hAnsi="Times New Roman"/>
                <w:sz w:val="20"/>
                <w:szCs w:val="20"/>
                <w:lang w:val="en-CA"/>
              </w:rPr>
              <w:t>S&amp;P Global Ratings: A</w:t>
            </w:r>
          </w:p>
        </w:tc>
      </w:tr>
      <w:tr w:rsidR="00EB2213" w:rsidRPr="000D7A90" w14:paraId="413E0A5A" w14:textId="77777777" w:rsidTr="00E71E74">
        <w:trPr>
          <w:jc w:val="center"/>
        </w:trPr>
        <w:tc>
          <w:tcPr>
            <w:tcW w:w="2423" w:type="dxa"/>
            <w:shd w:val="clear" w:color="auto" w:fill="F3C3B7"/>
          </w:tcPr>
          <w:p w14:paraId="78B6A711"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lang w:val="en-CA"/>
              </w:rPr>
              <w:t>Issuer / Guarantor Regulated by</w:t>
            </w:r>
          </w:p>
        </w:tc>
        <w:tc>
          <w:tcPr>
            <w:tcW w:w="8604" w:type="dxa"/>
            <w:gridSpan w:val="4"/>
            <w:shd w:val="clear" w:color="auto" w:fill="auto"/>
          </w:tcPr>
          <w:p w14:paraId="12341F2E" w14:textId="77777777" w:rsidR="00EB2213" w:rsidRPr="000D7A90" w:rsidRDefault="00EB2213" w:rsidP="00AC7DDA">
            <w:pPr>
              <w:keepLines/>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 xml:space="preserve">The Issuer is supervised by the Luxembourg Commission de Surveillance du </w:t>
            </w:r>
            <w:proofErr w:type="spellStart"/>
            <w:r w:rsidRPr="000D7A90">
              <w:rPr>
                <w:rFonts w:ascii="Times New Roman" w:hAnsi="Times New Roman"/>
                <w:sz w:val="20"/>
                <w:szCs w:val="20"/>
                <w:lang w:val="en-CA"/>
              </w:rPr>
              <w:t>Secteur</w:t>
            </w:r>
            <w:proofErr w:type="spellEnd"/>
            <w:r w:rsidRPr="000D7A90">
              <w:rPr>
                <w:rFonts w:ascii="Times New Roman" w:hAnsi="Times New Roman"/>
                <w:sz w:val="20"/>
                <w:szCs w:val="20"/>
                <w:lang w:val="en-CA"/>
              </w:rPr>
              <w:t xml:space="preserve"> Financier on a consolidated basis.</w:t>
            </w:r>
          </w:p>
          <w:p w14:paraId="749CDFAE" w14:textId="77777777" w:rsidR="00EB2213" w:rsidRPr="000D7A90" w:rsidRDefault="00EB2213" w:rsidP="00E61C27">
            <w:pPr>
              <w:spacing w:after="0" w:line="240" w:lineRule="auto"/>
              <w:rPr>
                <w:rFonts w:ascii="Times New Roman" w:eastAsia="Times New Roman" w:hAnsi="Times New Roman"/>
                <w:sz w:val="20"/>
                <w:szCs w:val="20"/>
              </w:rPr>
            </w:pPr>
            <w:r w:rsidRPr="000D7A90">
              <w:rPr>
                <w:rFonts w:ascii="Times New Roman" w:eastAsia="Times New Roman" w:hAnsi="Times New Roman"/>
                <w:sz w:val="20"/>
                <w:szCs w:val="20"/>
              </w:rPr>
              <w:t xml:space="preserve">The Guarantor is regulated by, </w:t>
            </w:r>
            <w:r w:rsidRPr="000D7A90">
              <w:rPr>
                <w:rFonts w:ascii="Times New Roman" w:eastAsia="Times New Roman" w:hAnsi="Times New Roman"/>
                <w:i/>
                <w:iCs/>
                <w:sz w:val="20"/>
                <w:szCs w:val="20"/>
              </w:rPr>
              <w:t>inter alia</w:t>
            </w:r>
            <w:r w:rsidRPr="000D7A90">
              <w:rPr>
                <w:rFonts w:ascii="Times New Roman" w:eastAsia="Times New Roman" w:hAnsi="Times New Roman"/>
                <w:sz w:val="20"/>
                <w:szCs w:val="20"/>
              </w:rPr>
              <w:t xml:space="preserve">, the </w:t>
            </w:r>
            <w:proofErr w:type="spellStart"/>
            <w:r w:rsidRPr="000D7A90">
              <w:rPr>
                <w:rFonts w:ascii="Times New Roman" w:eastAsia="Times New Roman" w:hAnsi="Times New Roman"/>
                <w:sz w:val="20"/>
                <w:szCs w:val="20"/>
              </w:rPr>
              <w:t>Autorité</w:t>
            </w:r>
            <w:proofErr w:type="spellEnd"/>
            <w:r w:rsidRPr="000D7A90">
              <w:rPr>
                <w:rFonts w:ascii="Times New Roman" w:eastAsia="Times New Roman" w:hAnsi="Times New Roman"/>
                <w:sz w:val="20"/>
                <w:szCs w:val="20"/>
              </w:rPr>
              <w:t xml:space="preserve"> de </w:t>
            </w:r>
            <w:proofErr w:type="spellStart"/>
            <w:r w:rsidRPr="000D7A90">
              <w:rPr>
                <w:rFonts w:ascii="Times New Roman" w:eastAsia="Times New Roman" w:hAnsi="Times New Roman"/>
                <w:sz w:val="20"/>
                <w:szCs w:val="20"/>
              </w:rPr>
              <w:t>contrôle</w:t>
            </w:r>
            <w:proofErr w:type="spellEnd"/>
            <w:r w:rsidRPr="000D7A90">
              <w:rPr>
                <w:rFonts w:ascii="Times New Roman" w:eastAsia="Times New Roman" w:hAnsi="Times New Roman"/>
                <w:sz w:val="20"/>
                <w:szCs w:val="20"/>
              </w:rPr>
              <w:t xml:space="preserve"> </w:t>
            </w:r>
            <w:proofErr w:type="spellStart"/>
            <w:r w:rsidRPr="000D7A90">
              <w:rPr>
                <w:rFonts w:ascii="Times New Roman" w:eastAsia="Times New Roman" w:hAnsi="Times New Roman"/>
                <w:sz w:val="20"/>
                <w:szCs w:val="20"/>
              </w:rPr>
              <w:t>prudentiel</w:t>
            </w:r>
            <w:proofErr w:type="spellEnd"/>
            <w:r w:rsidRPr="000D7A90">
              <w:rPr>
                <w:rFonts w:ascii="Times New Roman" w:eastAsia="Times New Roman" w:hAnsi="Times New Roman"/>
                <w:sz w:val="20"/>
                <w:szCs w:val="20"/>
              </w:rPr>
              <w:t xml:space="preserve"> et de </w:t>
            </w:r>
            <w:proofErr w:type="spellStart"/>
            <w:r w:rsidRPr="000D7A90">
              <w:rPr>
                <w:rFonts w:ascii="Times New Roman" w:eastAsia="Times New Roman" w:hAnsi="Times New Roman"/>
                <w:sz w:val="20"/>
                <w:szCs w:val="20"/>
              </w:rPr>
              <w:t>résolution</w:t>
            </w:r>
            <w:proofErr w:type="spellEnd"/>
            <w:r w:rsidRPr="000D7A90">
              <w:rPr>
                <w:rFonts w:ascii="Times New Roman" w:eastAsia="Times New Roman" w:hAnsi="Times New Roman"/>
                <w:sz w:val="20"/>
                <w:szCs w:val="20"/>
              </w:rPr>
              <w:t xml:space="preserve"> (ACPR) in France.</w:t>
            </w:r>
          </w:p>
        </w:tc>
      </w:tr>
      <w:tr w:rsidR="00EB2213" w:rsidRPr="000D7A90" w14:paraId="42EB058B" w14:textId="77777777" w:rsidTr="00E71E74">
        <w:trPr>
          <w:jc w:val="center"/>
        </w:trPr>
        <w:tc>
          <w:tcPr>
            <w:tcW w:w="2423" w:type="dxa"/>
            <w:shd w:val="clear" w:color="auto" w:fill="F3C3B7"/>
          </w:tcPr>
          <w:p w14:paraId="041FE728"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lang w:val="en-CA"/>
              </w:rPr>
              <w:t>Issuer’s / Guarantor’s Website and any other Contact Information</w:t>
            </w:r>
          </w:p>
        </w:tc>
        <w:tc>
          <w:tcPr>
            <w:tcW w:w="8604" w:type="dxa"/>
            <w:gridSpan w:val="4"/>
            <w:shd w:val="clear" w:color="auto" w:fill="auto"/>
          </w:tcPr>
          <w:p w14:paraId="56F38F72" w14:textId="77777777" w:rsidR="00EB2213" w:rsidRPr="000D7A90" w:rsidRDefault="00EB2213" w:rsidP="00A44B0F">
            <w:pPr>
              <w:keepLines/>
              <w:numPr>
                <w:ilvl w:val="0"/>
                <w:numId w:val="14"/>
              </w:numPr>
              <w:tabs>
                <w:tab w:val="left" w:pos="432"/>
              </w:tabs>
              <w:spacing w:after="0" w:line="240" w:lineRule="auto"/>
              <w:ind w:left="432" w:hanging="432"/>
              <w:rPr>
                <w:rFonts w:ascii="Times New Roman" w:hAnsi="Times New Roman"/>
                <w:sz w:val="20"/>
                <w:szCs w:val="20"/>
                <w:lang w:val="en-CA"/>
              </w:rPr>
            </w:pPr>
            <w:r w:rsidRPr="000D7A90">
              <w:rPr>
                <w:rFonts w:ascii="Times New Roman" w:hAnsi="Times New Roman"/>
                <w:sz w:val="20"/>
                <w:szCs w:val="20"/>
                <w:lang w:val="en-CA"/>
              </w:rPr>
              <w:t>The Issuer’s contact information is as follows:</w:t>
            </w:r>
          </w:p>
          <w:p w14:paraId="58D2DECE" w14:textId="77777777" w:rsidR="00EB2213" w:rsidRPr="000D7A90" w:rsidRDefault="00EB2213" w:rsidP="00A44B0F">
            <w:pPr>
              <w:keepLines/>
              <w:tabs>
                <w:tab w:val="left" w:pos="522"/>
              </w:tabs>
              <w:spacing w:after="0" w:line="240" w:lineRule="auto"/>
              <w:ind w:left="432"/>
              <w:rPr>
                <w:rFonts w:ascii="Times New Roman" w:hAnsi="Times New Roman"/>
                <w:sz w:val="20"/>
                <w:szCs w:val="20"/>
                <w:lang w:val="en-CA"/>
              </w:rPr>
            </w:pPr>
            <w:r w:rsidRPr="000D7A90">
              <w:rPr>
                <w:rFonts w:ascii="Times New Roman" w:hAnsi="Times New Roman"/>
                <w:sz w:val="20"/>
                <w:szCs w:val="20"/>
                <w:lang w:val="en-CA"/>
              </w:rPr>
              <w:t>Contact number: +352 27 85 44 40</w:t>
            </w:r>
          </w:p>
          <w:p w14:paraId="2CBA6F3C" w14:textId="77777777" w:rsidR="00EB2213" w:rsidRPr="000D7A90" w:rsidRDefault="00EB2213" w:rsidP="00E23A8A">
            <w:pPr>
              <w:keepLines/>
              <w:tabs>
                <w:tab w:val="left" w:pos="522"/>
              </w:tabs>
              <w:spacing w:after="0" w:line="240" w:lineRule="auto"/>
              <w:ind w:left="432"/>
              <w:rPr>
                <w:rFonts w:ascii="Times New Roman" w:hAnsi="Times New Roman"/>
                <w:sz w:val="20"/>
                <w:lang w:val="en-US"/>
              </w:rPr>
            </w:pPr>
            <w:r w:rsidRPr="000D7A90">
              <w:rPr>
                <w:rFonts w:ascii="Times New Roman" w:hAnsi="Times New Roman"/>
                <w:sz w:val="20"/>
                <w:szCs w:val="20"/>
                <w:lang w:val="en-CA"/>
              </w:rPr>
              <w:t xml:space="preserve">Email address: </w:t>
            </w:r>
            <w:hyperlink r:id="rId12" w:history="1">
              <w:r w:rsidRPr="000D7A90">
                <w:rPr>
                  <w:rStyle w:val="Hyperlink"/>
                  <w:rFonts w:ascii="Times New Roman" w:eastAsia="SimHei" w:hAnsi="Times New Roman"/>
                  <w:lang w:val="en-US"/>
                </w:rPr>
                <w:t>SGIS@sgcib.com</w:t>
              </w:r>
            </w:hyperlink>
          </w:p>
          <w:p w14:paraId="074A27F1" w14:textId="77777777" w:rsidR="00EB2213" w:rsidRPr="000D7A90" w:rsidRDefault="00EB2213" w:rsidP="00472473">
            <w:pPr>
              <w:keepLines/>
              <w:numPr>
                <w:ilvl w:val="0"/>
                <w:numId w:val="14"/>
              </w:numPr>
              <w:tabs>
                <w:tab w:val="left" w:pos="432"/>
              </w:tabs>
              <w:spacing w:after="0" w:line="240" w:lineRule="auto"/>
              <w:ind w:left="432" w:hanging="432"/>
              <w:jc w:val="both"/>
              <w:rPr>
                <w:rFonts w:ascii="Times New Roman" w:hAnsi="Times New Roman"/>
                <w:sz w:val="20"/>
                <w:szCs w:val="20"/>
              </w:rPr>
            </w:pPr>
            <w:r w:rsidRPr="000D7A90">
              <w:rPr>
                <w:rFonts w:ascii="Times New Roman" w:hAnsi="Times New Roman"/>
                <w:sz w:val="20"/>
                <w:szCs w:val="20"/>
              </w:rPr>
              <w:t xml:space="preserve">For more information, including financial information, on </w:t>
            </w:r>
            <w:r w:rsidRPr="000D7A90">
              <w:rPr>
                <w:rFonts w:ascii="Times New Roman" w:hAnsi="Times New Roman"/>
                <w:sz w:val="20"/>
                <w:szCs w:val="20"/>
                <w:lang w:val="en-CA"/>
              </w:rPr>
              <w:t>the Guarantor</w:t>
            </w:r>
            <w:r w:rsidRPr="000D7A90">
              <w:rPr>
                <w:rFonts w:ascii="Times New Roman" w:hAnsi="Times New Roman"/>
                <w:sz w:val="20"/>
                <w:szCs w:val="20"/>
              </w:rPr>
              <w:t xml:space="preserve">, please see </w:t>
            </w:r>
            <w:r w:rsidRPr="000D7A90">
              <w:rPr>
                <w:rFonts w:ascii="Times New Roman" w:hAnsi="Times New Roman"/>
                <w:sz w:val="20"/>
                <w:szCs w:val="20"/>
                <w:lang w:val="en-CA"/>
              </w:rPr>
              <w:t xml:space="preserve">the Guarantor’s corporate </w:t>
            </w:r>
            <w:proofErr w:type="gramStart"/>
            <w:r w:rsidRPr="000D7A90">
              <w:rPr>
                <w:rFonts w:ascii="Times New Roman" w:hAnsi="Times New Roman"/>
                <w:sz w:val="20"/>
                <w:szCs w:val="20"/>
                <w:lang w:val="en-CA"/>
              </w:rPr>
              <w:t>web-site</w:t>
            </w:r>
            <w:proofErr w:type="gramEnd"/>
            <w:r w:rsidRPr="000D7A90">
              <w:rPr>
                <w:rFonts w:ascii="Times New Roman" w:hAnsi="Times New Roman"/>
                <w:sz w:val="20"/>
                <w:szCs w:val="20"/>
                <w:lang w:val="en-CA"/>
              </w:rPr>
              <w:t xml:space="preserve"> </w:t>
            </w:r>
            <w:hyperlink r:id="rId13" w:history="1">
              <w:r w:rsidRPr="000D7A90">
                <w:rPr>
                  <w:rStyle w:val="Hyperlink"/>
                  <w:rFonts w:ascii="Times New Roman" w:hAnsi="Times New Roman"/>
                  <w:lang w:val="en-CA"/>
                </w:rPr>
                <w:t>www.societegenerale.com</w:t>
              </w:r>
            </w:hyperlink>
            <w:r w:rsidRPr="000D7A90">
              <w:rPr>
                <w:rFonts w:ascii="Times New Roman" w:hAnsi="Times New Roman"/>
                <w:sz w:val="20"/>
                <w:szCs w:val="20"/>
                <w:lang w:val="en-CA"/>
              </w:rPr>
              <w:t xml:space="preserve">.  </w:t>
            </w:r>
          </w:p>
        </w:tc>
      </w:tr>
      <w:tr w:rsidR="00EB2213" w:rsidRPr="000D7A90" w14:paraId="3D8D217C" w14:textId="77777777" w:rsidTr="00A44B0F">
        <w:trPr>
          <w:jc w:val="center"/>
        </w:trPr>
        <w:tc>
          <w:tcPr>
            <w:tcW w:w="11027" w:type="dxa"/>
            <w:gridSpan w:val="5"/>
            <w:shd w:val="solid" w:color="auto" w:fill="auto"/>
          </w:tcPr>
          <w:p w14:paraId="4D4079CA" w14:textId="77777777" w:rsidR="00EB2213" w:rsidRPr="000D7A90" w:rsidRDefault="00EB2213" w:rsidP="00A44B0F">
            <w:pPr>
              <w:keepLines/>
              <w:spacing w:after="0" w:line="240" w:lineRule="auto"/>
              <w:jc w:val="center"/>
              <w:rPr>
                <w:rFonts w:ascii="Times New Roman" w:hAnsi="Times New Roman"/>
                <w:b/>
                <w:sz w:val="20"/>
                <w:szCs w:val="20"/>
              </w:rPr>
            </w:pPr>
            <w:r w:rsidRPr="000D7A90">
              <w:rPr>
                <w:rFonts w:ascii="Times New Roman" w:hAnsi="Times New Roman"/>
                <w:b/>
                <w:sz w:val="20"/>
                <w:szCs w:val="20"/>
              </w:rPr>
              <w:t>C.  INFORMATION ON MARKET MAKING</w:t>
            </w:r>
          </w:p>
        </w:tc>
      </w:tr>
      <w:tr w:rsidR="00EB2213" w:rsidRPr="000D7A90" w14:paraId="60799C9A" w14:textId="77777777" w:rsidTr="00E71E74">
        <w:trPr>
          <w:jc w:val="center"/>
        </w:trPr>
        <w:tc>
          <w:tcPr>
            <w:tcW w:w="2423" w:type="dxa"/>
            <w:shd w:val="clear" w:color="auto" w:fill="F3C3B7"/>
          </w:tcPr>
          <w:p w14:paraId="6A4A697C"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Name of Designated Market Maker (“DMM”)</w:t>
            </w:r>
          </w:p>
        </w:tc>
        <w:tc>
          <w:tcPr>
            <w:tcW w:w="8604" w:type="dxa"/>
            <w:gridSpan w:val="4"/>
            <w:shd w:val="clear" w:color="auto" w:fill="auto"/>
          </w:tcPr>
          <w:p w14:paraId="43BDB946"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Société Générale</w:t>
            </w:r>
          </w:p>
        </w:tc>
      </w:tr>
      <w:tr w:rsidR="00EB2213" w:rsidRPr="000D7A90" w14:paraId="1316FC79" w14:textId="77777777" w:rsidTr="00E71E74">
        <w:trPr>
          <w:jc w:val="center"/>
        </w:trPr>
        <w:tc>
          <w:tcPr>
            <w:tcW w:w="2423" w:type="dxa"/>
            <w:shd w:val="clear" w:color="auto" w:fill="F3C3B7"/>
          </w:tcPr>
          <w:p w14:paraId="3479A88C"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Maximum Bid and Offer Spread</w:t>
            </w:r>
          </w:p>
        </w:tc>
        <w:tc>
          <w:tcPr>
            <w:tcW w:w="8604" w:type="dxa"/>
            <w:gridSpan w:val="4"/>
            <w:shd w:val="clear" w:color="auto" w:fill="auto"/>
          </w:tcPr>
          <w:p w14:paraId="3A43CC37" w14:textId="77777777" w:rsidR="00EB2213" w:rsidRPr="00BA6822" w:rsidRDefault="00CF5B34" w:rsidP="00BA6822">
            <w:pPr>
              <w:pStyle w:val="ListParagraph"/>
              <w:keepLines/>
              <w:numPr>
                <w:ilvl w:val="0"/>
                <w:numId w:val="34"/>
              </w:numPr>
              <w:rPr>
                <w:rFonts w:ascii="Times New Roman" w:hAnsi="Times New Roman"/>
                <w:lang w:val="en-CA"/>
              </w:rPr>
            </w:pPr>
            <w:r w:rsidRPr="00BA6822">
              <w:rPr>
                <w:rFonts w:ascii="Times New Roman" w:hAnsi="Times New Roman"/>
                <w:lang w:val="en-CA"/>
              </w:rPr>
              <w:t xml:space="preserve">When the best bid price of the Certificates is S$10 and below. </w:t>
            </w:r>
            <w:r w:rsidR="00EE2890" w:rsidRPr="00BA6822">
              <w:rPr>
                <w:rFonts w:ascii="Times New Roman" w:hAnsi="Times New Roman"/>
                <w:lang w:val="en-CA"/>
              </w:rPr>
              <w:t>10 ticks or S$0.20 whichever is greater</w:t>
            </w:r>
            <w:r w:rsidRPr="00BA6822">
              <w:rPr>
                <w:rFonts w:ascii="Times New Roman" w:hAnsi="Times New Roman"/>
                <w:lang w:val="en-CA"/>
              </w:rPr>
              <w:t>; and</w:t>
            </w:r>
          </w:p>
          <w:p w14:paraId="55FE2D26" w14:textId="77777777" w:rsidR="00CF5B34" w:rsidRPr="00BA6822" w:rsidRDefault="00CF5B34" w:rsidP="00BA6822">
            <w:pPr>
              <w:pStyle w:val="ListParagraph"/>
              <w:keepLines/>
              <w:numPr>
                <w:ilvl w:val="0"/>
                <w:numId w:val="34"/>
              </w:numPr>
              <w:rPr>
                <w:rFonts w:ascii="Times New Roman" w:hAnsi="Times New Roman"/>
              </w:rPr>
            </w:pPr>
            <w:r>
              <w:rPr>
                <w:rFonts w:ascii="Times New Roman" w:hAnsi="Times New Roman"/>
              </w:rPr>
              <w:t xml:space="preserve">When the best bid price of the </w:t>
            </w:r>
            <w:r w:rsidRPr="004B4FBE">
              <w:rPr>
                <w:rFonts w:ascii="Times New Roman" w:hAnsi="Times New Roman"/>
                <w:lang w:val="en-CA"/>
              </w:rPr>
              <w:t xml:space="preserve">Certificates is </w:t>
            </w:r>
            <w:r>
              <w:rPr>
                <w:rFonts w:ascii="Times New Roman" w:hAnsi="Times New Roman"/>
                <w:lang w:val="en-CA"/>
              </w:rPr>
              <w:t xml:space="preserve">above </w:t>
            </w:r>
            <w:r w:rsidRPr="004B4FBE">
              <w:rPr>
                <w:rFonts w:ascii="Times New Roman" w:hAnsi="Times New Roman"/>
                <w:lang w:val="en-CA"/>
              </w:rPr>
              <w:t>S$10</w:t>
            </w:r>
            <w:r>
              <w:rPr>
                <w:rFonts w:ascii="Times New Roman" w:hAnsi="Times New Roman"/>
                <w:lang w:val="en-CA"/>
              </w:rPr>
              <w:t>: 5% of the best bid price of the Certificate</w:t>
            </w:r>
            <w:r w:rsidRPr="004B4FBE">
              <w:rPr>
                <w:rFonts w:ascii="Times New Roman" w:hAnsi="Times New Roman"/>
                <w:lang w:val="en-CA"/>
              </w:rPr>
              <w:t>.</w:t>
            </w:r>
          </w:p>
        </w:tc>
      </w:tr>
      <w:tr w:rsidR="00EB2213" w:rsidRPr="000D7A90" w14:paraId="610B3B60" w14:textId="77777777" w:rsidTr="00E71E74">
        <w:trPr>
          <w:jc w:val="center"/>
        </w:trPr>
        <w:tc>
          <w:tcPr>
            <w:tcW w:w="2423" w:type="dxa"/>
            <w:shd w:val="clear" w:color="auto" w:fill="F3C3B7"/>
          </w:tcPr>
          <w:p w14:paraId="73E0767C"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Minimum Quantity subject to Bid and Offer Spread</w:t>
            </w:r>
          </w:p>
        </w:tc>
        <w:tc>
          <w:tcPr>
            <w:tcW w:w="8604" w:type="dxa"/>
            <w:gridSpan w:val="4"/>
            <w:shd w:val="clear" w:color="auto" w:fill="auto"/>
          </w:tcPr>
          <w:p w14:paraId="052E6CA9" w14:textId="77777777" w:rsidR="00EB2213" w:rsidRPr="000D7A90" w:rsidRDefault="00EB2213" w:rsidP="00313A4A">
            <w:pPr>
              <w:keepLines/>
              <w:spacing w:after="0" w:line="240" w:lineRule="auto"/>
              <w:jc w:val="both"/>
              <w:rPr>
                <w:rFonts w:ascii="Times New Roman" w:hAnsi="Times New Roman"/>
                <w:sz w:val="20"/>
                <w:szCs w:val="20"/>
              </w:rPr>
            </w:pPr>
            <w:r w:rsidRPr="000D7A90">
              <w:rPr>
                <w:rFonts w:ascii="Times New Roman" w:hAnsi="Times New Roman"/>
                <w:sz w:val="20"/>
                <w:szCs w:val="20"/>
                <w:lang w:val="en-CA"/>
              </w:rPr>
              <w:t>10,000 Certificates</w:t>
            </w:r>
          </w:p>
        </w:tc>
      </w:tr>
      <w:tr w:rsidR="00EB2213" w:rsidRPr="000D7A90" w14:paraId="7EF97EDA" w14:textId="77777777" w:rsidTr="00E71E74">
        <w:trPr>
          <w:jc w:val="center"/>
        </w:trPr>
        <w:tc>
          <w:tcPr>
            <w:tcW w:w="2423" w:type="dxa"/>
            <w:shd w:val="clear" w:color="auto" w:fill="F3C3B7"/>
          </w:tcPr>
          <w:p w14:paraId="06F1C39F"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Last Trading Day for Market Making</w:t>
            </w:r>
          </w:p>
        </w:tc>
        <w:tc>
          <w:tcPr>
            <w:tcW w:w="8604" w:type="dxa"/>
            <w:gridSpan w:val="4"/>
            <w:shd w:val="clear" w:color="auto" w:fill="auto"/>
          </w:tcPr>
          <w:p w14:paraId="03EA53E7" w14:textId="77777777" w:rsidR="00EB2213" w:rsidRPr="000D7A90" w:rsidRDefault="00EB2213" w:rsidP="00335EDB">
            <w:pPr>
              <w:keepLines/>
              <w:spacing w:after="0" w:line="240" w:lineRule="auto"/>
              <w:jc w:val="both"/>
              <w:rPr>
                <w:rFonts w:ascii="Times New Roman" w:hAnsi="Times New Roman"/>
                <w:sz w:val="20"/>
                <w:szCs w:val="20"/>
                <w:lang w:val="en-CA"/>
              </w:rPr>
            </w:pPr>
            <w:r w:rsidRPr="000D7A90">
              <w:rPr>
                <w:rFonts w:ascii="Times New Roman" w:hAnsi="Times New Roman"/>
                <w:sz w:val="20"/>
                <w:szCs w:val="20"/>
                <w:lang w:val="en-CA"/>
              </w:rPr>
              <w:t xml:space="preserve">The date falling 5 </w:t>
            </w:r>
            <w:r w:rsidR="00335EDB" w:rsidRPr="00335EDB">
              <w:rPr>
                <w:rFonts w:ascii="Times New Roman" w:hAnsi="Times New Roman"/>
                <w:sz w:val="20"/>
                <w:szCs w:val="20"/>
                <w:lang w:val="en-CA"/>
              </w:rPr>
              <w:t>Exchange Business Day</w:t>
            </w:r>
            <w:r w:rsidR="00FB4965">
              <w:rPr>
                <w:rFonts w:ascii="Times New Roman" w:hAnsi="Times New Roman"/>
                <w:sz w:val="20"/>
                <w:szCs w:val="20"/>
                <w:lang w:val="en-CA"/>
              </w:rPr>
              <w:t>s</w:t>
            </w:r>
            <w:r w:rsidRPr="000D7A90">
              <w:rPr>
                <w:rFonts w:ascii="Times New Roman" w:hAnsi="Times New Roman"/>
                <w:sz w:val="20"/>
                <w:szCs w:val="20"/>
                <w:lang w:val="en-CA"/>
              </w:rPr>
              <w:t xml:space="preserve"> immediately preceding the Expiry Date.</w:t>
            </w:r>
          </w:p>
          <w:p w14:paraId="4FA16DAE" w14:textId="77777777" w:rsidR="00EB2213" w:rsidRPr="000D7A90" w:rsidRDefault="00EB2213" w:rsidP="00A44B0F">
            <w:pPr>
              <w:keepLines/>
              <w:spacing w:after="0" w:line="240" w:lineRule="auto"/>
              <w:jc w:val="both"/>
              <w:rPr>
                <w:rFonts w:ascii="Times New Roman" w:hAnsi="Times New Roman"/>
                <w:sz w:val="20"/>
                <w:szCs w:val="20"/>
              </w:rPr>
            </w:pPr>
          </w:p>
        </w:tc>
      </w:tr>
      <w:tr w:rsidR="00EB2213" w:rsidRPr="000D7A90" w14:paraId="5CD75419" w14:textId="77777777" w:rsidTr="00E71E74">
        <w:trPr>
          <w:jc w:val="center"/>
        </w:trPr>
        <w:tc>
          <w:tcPr>
            <w:tcW w:w="2423" w:type="dxa"/>
            <w:shd w:val="clear" w:color="auto" w:fill="F3C3B7"/>
          </w:tcPr>
          <w:p w14:paraId="44847ECF"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Circumstances where a Quote will/may not be provided</w:t>
            </w:r>
          </w:p>
        </w:tc>
        <w:tc>
          <w:tcPr>
            <w:tcW w:w="8604" w:type="dxa"/>
            <w:gridSpan w:val="4"/>
            <w:shd w:val="clear" w:color="auto" w:fill="auto"/>
          </w:tcPr>
          <w:p w14:paraId="2A01B0BB" w14:textId="77777777" w:rsidR="00EB2213" w:rsidRPr="005F0C91" w:rsidRDefault="00EB2213" w:rsidP="00A44B0F">
            <w:pPr>
              <w:keepLines/>
              <w:widowControl w:val="0"/>
              <w:spacing w:after="0" w:line="240" w:lineRule="auto"/>
              <w:jc w:val="both"/>
              <w:rPr>
                <w:rFonts w:ascii="Times New Roman" w:hAnsi="Times New Roman"/>
                <w:sz w:val="20"/>
                <w:szCs w:val="20"/>
              </w:rPr>
            </w:pPr>
            <w:r w:rsidRPr="005F0C91">
              <w:rPr>
                <w:rFonts w:ascii="Times New Roman" w:hAnsi="Times New Roman"/>
                <w:sz w:val="20"/>
                <w:szCs w:val="20"/>
              </w:rPr>
              <w:t xml:space="preserve">The DMM may not provide quotations in the following circumstances: </w:t>
            </w:r>
          </w:p>
          <w:p w14:paraId="1DE5AE22" w14:textId="77777777" w:rsidR="00684C09" w:rsidRPr="005F0C91" w:rsidRDefault="00EB2213" w:rsidP="00684C09">
            <w:pPr>
              <w:keepLines/>
              <w:widowControl w:val="0"/>
              <w:numPr>
                <w:ilvl w:val="0"/>
                <w:numId w:val="15"/>
              </w:numPr>
              <w:tabs>
                <w:tab w:val="num" w:pos="432"/>
              </w:tabs>
              <w:spacing w:after="0" w:line="240" w:lineRule="auto"/>
              <w:ind w:left="432" w:hanging="432"/>
              <w:jc w:val="both"/>
              <w:rPr>
                <w:rFonts w:ascii="Times New Roman" w:hAnsi="Times New Roman"/>
                <w:sz w:val="20"/>
                <w:szCs w:val="20"/>
              </w:rPr>
            </w:pPr>
            <w:r w:rsidRPr="005F0C91">
              <w:rPr>
                <w:rFonts w:ascii="Times New Roman" w:hAnsi="Times New Roman"/>
                <w:sz w:val="20"/>
                <w:szCs w:val="20"/>
              </w:rPr>
              <w:t xml:space="preserve">during the pre-market opening and five minutes following the opening of the SGX-ST on any trading </w:t>
            </w:r>
            <w:proofErr w:type="gramStart"/>
            <w:r w:rsidRPr="005F0C91">
              <w:rPr>
                <w:rFonts w:ascii="Times New Roman" w:hAnsi="Times New Roman"/>
                <w:sz w:val="20"/>
                <w:szCs w:val="20"/>
              </w:rPr>
              <w:t>day;</w:t>
            </w:r>
            <w:proofErr w:type="gramEnd"/>
          </w:p>
          <w:p w14:paraId="0F560AAC" w14:textId="77777777" w:rsidR="00684C09" w:rsidRPr="005F0C91" w:rsidRDefault="00EB2213" w:rsidP="004302D1">
            <w:pPr>
              <w:keepLines/>
              <w:widowControl w:val="0"/>
              <w:numPr>
                <w:ilvl w:val="0"/>
                <w:numId w:val="15"/>
              </w:numPr>
              <w:tabs>
                <w:tab w:val="num" w:pos="432"/>
              </w:tabs>
              <w:spacing w:after="0" w:line="240" w:lineRule="auto"/>
              <w:ind w:left="432" w:hanging="432"/>
              <w:jc w:val="both"/>
              <w:rPr>
                <w:rFonts w:ascii="Times New Roman" w:hAnsi="Times New Roman"/>
                <w:sz w:val="20"/>
                <w:szCs w:val="20"/>
              </w:rPr>
            </w:pPr>
            <w:r w:rsidRPr="005F0C91">
              <w:rPr>
                <w:rFonts w:ascii="Times New Roman" w:hAnsi="Times New Roman"/>
                <w:sz w:val="20"/>
                <w:szCs w:val="20"/>
              </w:rPr>
              <w:t>if the Certificates are valueless (where the Issuer’s bid price is below the minimum bid size for such securities as prescribed by the SGX-ST);</w:t>
            </w:r>
            <w:r w:rsidR="001463A0" w:rsidRPr="005F0C91">
              <w:rPr>
                <w:rFonts w:ascii="Times New Roman" w:hAnsi="Times New Roman"/>
                <w:sz w:val="20"/>
                <w:szCs w:val="20"/>
              </w:rPr>
              <w:t xml:space="preserve"> </w:t>
            </w:r>
            <w:r w:rsidR="00D761A4" w:rsidRPr="005F0C91">
              <w:rPr>
                <w:rFonts w:ascii="Times New Roman" w:hAnsi="Times New Roman"/>
                <w:sz w:val="20"/>
                <w:szCs w:val="20"/>
                <w:lang w:val="en-CA"/>
              </w:rPr>
              <w:t xml:space="preserve"> </w:t>
            </w:r>
          </w:p>
          <w:p w14:paraId="72E4246D" w14:textId="77777777" w:rsidR="00ED404A" w:rsidRPr="005F0C91" w:rsidRDefault="00200C2F" w:rsidP="00200C2F">
            <w:pPr>
              <w:keepLines/>
              <w:widowControl w:val="0"/>
              <w:numPr>
                <w:ilvl w:val="0"/>
                <w:numId w:val="15"/>
              </w:numPr>
              <w:tabs>
                <w:tab w:val="num" w:pos="432"/>
              </w:tabs>
              <w:spacing w:after="0" w:line="240" w:lineRule="auto"/>
              <w:ind w:left="432" w:hanging="432"/>
              <w:jc w:val="both"/>
              <w:rPr>
                <w:rFonts w:ascii="Times New Roman" w:hAnsi="Times New Roman"/>
                <w:sz w:val="20"/>
                <w:szCs w:val="20"/>
              </w:rPr>
            </w:pPr>
            <w:r w:rsidRPr="005F0C91">
              <w:rPr>
                <w:rFonts w:ascii="Times New Roman" w:hAnsi="Times New Roman"/>
                <w:sz w:val="20"/>
                <w:szCs w:val="20"/>
              </w:rPr>
              <w:t xml:space="preserve">before the Relevant Stock Exchange for the Underlying Stock has opened and after the Relevant Stock Exchange for the Underlying Stock has closed on any trading </w:t>
            </w:r>
            <w:proofErr w:type="gramStart"/>
            <w:r w:rsidRPr="005F0C91">
              <w:rPr>
                <w:rFonts w:ascii="Times New Roman" w:hAnsi="Times New Roman"/>
                <w:sz w:val="20"/>
                <w:szCs w:val="20"/>
              </w:rPr>
              <w:t>day;</w:t>
            </w:r>
            <w:proofErr w:type="gramEnd"/>
            <w:r w:rsidR="00ED404A" w:rsidRPr="005F0C91">
              <w:rPr>
                <w:rFonts w:ascii="Times New Roman" w:hAnsi="Times New Roman"/>
                <w:sz w:val="20"/>
                <w:szCs w:val="20"/>
                <w:lang w:val="en-CA"/>
              </w:rPr>
              <w:t xml:space="preserve"> </w:t>
            </w:r>
          </w:p>
          <w:p w14:paraId="35564F6D" w14:textId="77777777" w:rsidR="001463A0" w:rsidRPr="005F0C91" w:rsidRDefault="00200C2F" w:rsidP="00200C2F">
            <w:pPr>
              <w:keepLines/>
              <w:widowControl w:val="0"/>
              <w:numPr>
                <w:ilvl w:val="0"/>
                <w:numId w:val="15"/>
              </w:numPr>
              <w:tabs>
                <w:tab w:val="num" w:pos="432"/>
              </w:tabs>
              <w:spacing w:after="0" w:line="240" w:lineRule="auto"/>
              <w:ind w:left="432" w:hanging="432"/>
              <w:jc w:val="both"/>
              <w:rPr>
                <w:rFonts w:ascii="Times New Roman" w:hAnsi="Times New Roman"/>
                <w:sz w:val="20"/>
                <w:szCs w:val="20"/>
              </w:rPr>
            </w:pPr>
            <w:r w:rsidRPr="005F0C91">
              <w:rPr>
                <w:rFonts w:ascii="Times New Roman" w:hAnsi="Times New Roman"/>
                <w:sz w:val="20"/>
                <w:szCs w:val="20"/>
              </w:rPr>
              <w:t>when trading in the Underlying Stock is suspended or limited in a material way for any reason, for the avoidance of doubt, the DMM is not obliged to provide quotations for the Certificates at any time when the Underlying Stock</w:t>
            </w:r>
            <w:r w:rsidRPr="005F0C91">
              <w:rPr>
                <w:rFonts w:ascii="Times New Roman" w:hAnsi="Times New Roman" w:hint="eastAsia"/>
                <w:sz w:val="20"/>
                <w:szCs w:val="20"/>
              </w:rPr>
              <w:t xml:space="preserve"> is</w:t>
            </w:r>
            <w:r w:rsidRPr="005F0C91">
              <w:rPr>
                <w:rFonts w:ascii="Times New Roman" w:hAnsi="Times New Roman"/>
                <w:sz w:val="20"/>
                <w:szCs w:val="20"/>
              </w:rPr>
              <w:t xml:space="preserve"> not </w:t>
            </w:r>
            <w:r w:rsidRPr="005F0C91">
              <w:rPr>
                <w:rFonts w:ascii="Times New Roman" w:hAnsi="Times New Roman" w:hint="eastAsia"/>
                <w:sz w:val="20"/>
                <w:szCs w:val="20"/>
              </w:rPr>
              <w:t>negotiated/</w:t>
            </w:r>
            <w:r w:rsidRPr="005F0C91">
              <w:rPr>
                <w:rFonts w:ascii="Times New Roman" w:hAnsi="Times New Roman"/>
                <w:sz w:val="20"/>
                <w:szCs w:val="20"/>
              </w:rPr>
              <w:t xml:space="preserve">traded for any reason; </w:t>
            </w:r>
          </w:p>
          <w:p w14:paraId="4B31DCBE" w14:textId="77777777" w:rsidR="00200C2F" w:rsidRPr="005F0C91" w:rsidRDefault="00200C2F" w:rsidP="00200C2F">
            <w:pPr>
              <w:keepLines/>
              <w:widowControl w:val="0"/>
              <w:numPr>
                <w:ilvl w:val="0"/>
                <w:numId w:val="15"/>
              </w:numPr>
              <w:tabs>
                <w:tab w:val="num" w:pos="432"/>
              </w:tabs>
              <w:spacing w:after="0" w:line="240" w:lineRule="auto"/>
              <w:ind w:left="432" w:hanging="432"/>
              <w:jc w:val="both"/>
              <w:rPr>
                <w:rFonts w:ascii="Times New Roman" w:hAnsi="Times New Roman"/>
                <w:sz w:val="20"/>
                <w:szCs w:val="20"/>
              </w:rPr>
            </w:pPr>
            <w:r w:rsidRPr="005F0C91">
              <w:rPr>
                <w:rFonts w:ascii="Times New Roman" w:hAnsi="Times New Roman"/>
                <w:sz w:val="20"/>
                <w:szCs w:val="20"/>
              </w:rPr>
              <w:t xml:space="preserve">where the Certificates are suspended from trading for any </w:t>
            </w:r>
            <w:proofErr w:type="gramStart"/>
            <w:r w:rsidRPr="005F0C91">
              <w:rPr>
                <w:rFonts w:ascii="Times New Roman" w:hAnsi="Times New Roman"/>
                <w:sz w:val="20"/>
                <w:szCs w:val="20"/>
              </w:rPr>
              <w:t>reason;</w:t>
            </w:r>
            <w:proofErr w:type="gramEnd"/>
            <w:r w:rsidRPr="005F0C91">
              <w:rPr>
                <w:rFonts w:ascii="Times New Roman" w:hAnsi="Times New Roman"/>
                <w:sz w:val="20"/>
                <w:szCs w:val="20"/>
              </w:rPr>
              <w:t xml:space="preserve"> </w:t>
            </w:r>
          </w:p>
          <w:p w14:paraId="52EE3E30" w14:textId="77777777" w:rsidR="00200C2F" w:rsidRPr="005F0C91" w:rsidRDefault="00200C2F" w:rsidP="00200C2F">
            <w:pPr>
              <w:keepLines/>
              <w:widowControl w:val="0"/>
              <w:numPr>
                <w:ilvl w:val="0"/>
                <w:numId w:val="15"/>
              </w:numPr>
              <w:tabs>
                <w:tab w:val="num" w:pos="432"/>
              </w:tabs>
              <w:spacing w:after="0" w:line="240" w:lineRule="auto"/>
              <w:ind w:left="432" w:hanging="432"/>
              <w:jc w:val="both"/>
              <w:rPr>
                <w:rFonts w:ascii="Times New Roman" w:hAnsi="Times New Roman"/>
                <w:sz w:val="20"/>
                <w:szCs w:val="20"/>
              </w:rPr>
            </w:pPr>
            <w:r w:rsidRPr="005F0C91">
              <w:rPr>
                <w:rFonts w:ascii="Times New Roman" w:hAnsi="Times New Roman"/>
                <w:sz w:val="20"/>
                <w:szCs w:val="20"/>
              </w:rPr>
              <w:t xml:space="preserve">market disruption events, including, without limitation, any suspension of or limitation imposed on trading (including but not limited to unforeseen circumstances such as by reason of movements in price exceeding limits permitted by the SGX-ST or any act of God, war, riot, public disorder, explosion, terrorism or otherwise) in the Underlying </w:t>
            </w:r>
            <w:proofErr w:type="gramStart"/>
            <w:r w:rsidR="009323F2" w:rsidRPr="005F0C91">
              <w:rPr>
                <w:rFonts w:ascii="Times New Roman" w:hAnsi="Times New Roman"/>
                <w:sz w:val="20"/>
                <w:szCs w:val="20"/>
              </w:rPr>
              <w:t>Stock;</w:t>
            </w:r>
            <w:proofErr w:type="gramEnd"/>
            <w:r w:rsidRPr="005F0C91">
              <w:rPr>
                <w:rFonts w:ascii="Times New Roman" w:hAnsi="Times New Roman"/>
                <w:sz w:val="20"/>
                <w:szCs w:val="20"/>
              </w:rPr>
              <w:t xml:space="preserve"> </w:t>
            </w:r>
          </w:p>
          <w:p w14:paraId="18D49720" w14:textId="77777777" w:rsidR="001463A0" w:rsidRPr="005F0C91" w:rsidRDefault="001463A0" w:rsidP="001463A0">
            <w:pPr>
              <w:keepLines/>
              <w:widowControl w:val="0"/>
              <w:numPr>
                <w:ilvl w:val="0"/>
                <w:numId w:val="15"/>
              </w:numPr>
              <w:tabs>
                <w:tab w:val="num" w:pos="432"/>
              </w:tabs>
              <w:spacing w:after="0" w:line="240" w:lineRule="auto"/>
              <w:ind w:left="432" w:hanging="432"/>
              <w:jc w:val="both"/>
              <w:rPr>
                <w:rFonts w:ascii="Times New Roman" w:hAnsi="Times New Roman"/>
                <w:sz w:val="20"/>
                <w:szCs w:val="20"/>
              </w:rPr>
            </w:pPr>
            <w:r w:rsidRPr="005F0C91">
              <w:rPr>
                <w:rFonts w:ascii="Times New Roman" w:hAnsi="Times New Roman"/>
                <w:sz w:val="20"/>
                <w:szCs w:val="20"/>
              </w:rPr>
              <w:t xml:space="preserve">where the Issuer or the DMM faces technical problems affecting the ability of the DMM to provide bids and offer </w:t>
            </w:r>
            <w:proofErr w:type="gramStart"/>
            <w:r w:rsidRPr="005F0C91">
              <w:rPr>
                <w:rFonts w:ascii="Times New Roman" w:hAnsi="Times New Roman"/>
                <w:sz w:val="20"/>
                <w:szCs w:val="20"/>
              </w:rPr>
              <w:t>quotations;</w:t>
            </w:r>
            <w:proofErr w:type="gramEnd"/>
            <w:r w:rsidRPr="005F0C91">
              <w:rPr>
                <w:rFonts w:ascii="Times New Roman" w:hAnsi="Times New Roman"/>
                <w:sz w:val="20"/>
                <w:szCs w:val="20"/>
              </w:rPr>
              <w:t xml:space="preserve"> </w:t>
            </w:r>
          </w:p>
          <w:p w14:paraId="2EB65861" w14:textId="77777777" w:rsidR="001463A0" w:rsidRPr="005F0C91" w:rsidRDefault="001463A0" w:rsidP="001463A0">
            <w:pPr>
              <w:keepLines/>
              <w:widowControl w:val="0"/>
              <w:numPr>
                <w:ilvl w:val="0"/>
                <w:numId w:val="15"/>
              </w:numPr>
              <w:tabs>
                <w:tab w:val="num" w:pos="432"/>
              </w:tabs>
              <w:spacing w:after="0" w:line="240" w:lineRule="auto"/>
              <w:ind w:left="432" w:hanging="432"/>
              <w:jc w:val="both"/>
              <w:rPr>
                <w:rFonts w:ascii="Times New Roman" w:hAnsi="Times New Roman"/>
                <w:sz w:val="20"/>
                <w:szCs w:val="20"/>
              </w:rPr>
            </w:pPr>
            <w:r w:rsidRPr="005F0C91">
              <w:rPr>
                <w:rFonts w:ascii="Times New Roman" w:hAnsi="Times New Roman"/>
                <w:sz w:val="20"/>
                <w:szCs w:val="20"/>
              </w:rPr>
              <w:t xml:space="preserve">where the ability of the Issuer to source a hedge or unwind an existing hedge, as determined by the Issuer in good faith, is materially affected by the prevailing market conditions, and the Issuer informs the SGX-ST of its inability to do so as soon as </w:t>
            </w:r>
            <w:proofErr w:type="gramStart"/>
            <w:r w:rsidRPr="005F0C91">
              <w:rPr>
                <w:rFonts w:ascii="Times New Roman" w:hAnsi="Times New Roman"/>
                <w:sz w:val="20"/>
                <w:szCs w:val="20"/>
              </w:rPr>
              <w:t>practicable;</w:t>
            </w:r>
            <w:proofErr w:type="gramEnd"/>
            <w:r w:rsidRPr="005F0C91">
              <w:rPr>
                <w:rFonts w:ascii="Times New Roman" w:hAnsi="Times New Roman"/>
                <w:sz w:val="20"/>
                <w:szCs w:val="20"/>
              </w:rPr>
              <w:t xml:space="preserve"> </w:t>
            </w:r>
          </w:p>
          <w:p w14:paraId="24694C18" w14:textId="77777777" w:rsidR="008A1A3D" w:rsidRPr="005F0C91" w:rsidRDefault="001463A0" w:rsidP="00E42F05">
            <w:pPr>
              <w:keepLines/>
              <w:widowControl w:val="0"/>
              <w:numPr>
                <w:ilvl w:val="0"/>
                <w:numId w:val="15"/>
              </w:numPr>
              <w:tabs>
                <w:tab w:val="num" w:pos="432"/>
              </w:tabs>
              <w:spacing w:after="0" w:line="240" w:lineRule="auto"/>
              <w:ind w:left="432" w:hanging="432"/>
              <w:jc w:val="both"/>
              <w:rPr>
                <w:rFonts w:ascii="Times New Roman" w:hAnsi="Times New Roman"/>
                <w:sz w:val="20"/>
                <w:szCs w:val="20"/>
                <w:lang w:val="en-CA"/>
              </w:rPr>
            </w:pPr>
            <w:r w:rsidRPr="005F0C91">
              <w:rPr>
                <w:rFonts w:ascii="Times New Roman" w:hAnsi="Times New Roman"/>
                <w:sz w:val="20"/>
                <w:szCs w:val="20"/>
              </w:rPr>
              <w:t xml:space="preserve">in cases where the Issuer has no Certificates to sell, then the DMM will only provide the bid </w:t>
            </w:r>
            <w:proofErr w:type="gramStart"/>
            <w:r w:rsidRPr="005F0C91">
              <w:rPr>
                <w:rFonts w:ascii="Times New Roman" w:hAnsi="Times New Roman"/>
                <w:sz w:val="20"/>
                <w:szCs w:val="20"/>
              </w:rPr>
              <w:t>price;</w:t>
            </w:r>
            <w:proofErr w:type="gramEnd"/>
          </w:p>
          <w:p w14:paraId="7698F9CD" w14:textId="77777777" w:rsidR="00E42F05" w:rsidRPr="005F0C91" w:rsidRDefault="001463A0" w:rsidP="00E42F05">
            <w:pPr>
              <w:keepLines/>
              <w:widowControl w:val="0"/>
              <w:numPr>
                <w:ilvl w:val="0"/>
                <w:numId w:val="15"/>
              </w:numPr>
              <w:tabs>
                <w:tab w:val="num" w:pos="432"/>
              </w:tabs>
              <w:spacing w:after="0" w:line="240" w:lineRule="auto"/>
              <w:ind w:left="432" w:hanging="432"/>
              <w:jc w:val="both"/>
              <w:rPr>
                <w:rFonts w:ascii="Times New Roman" w:hAnsi="Times New Roman"/>
                <w:sz w:val="20"/>
                <w:szCs w:val="20"/>
                <w:lang w:val="en-CA"/>
              </w:rPr>
            </w:pPr>
            <w:r w:rsidRPr="005F0C91">
              <w:rPr>
                <w:rFonts w:ascii="Times New Roman" w:hAnsi="Times New Roman"/>
                <w:sz w:val="20"/>
                <w:szCs w:val="20"/>
              </w:rPr>
              <w:t xml:space="preserve">if the stock market experiences exceptional price movement and </w:t>
            </w:r>
            <w:proofErr w:type="gramStart"/>
            <w:r w:rsidRPr="005F0C91">
              <w:rPr>
                <w:rFonts w:ascii="Times New Roman" w:hAnsi="Times New Roman"/>
                <w:sz w:val="20"/>
                <w:szCs w:val="20"/>
              </w:rPr>
              <w:t>volatility;</w:t>
            </w:r>
            <w:proofErr w:type="gramEnd"/>
            <w:r w:rsidRPr="005F0C91">
              <w:rPr>
                <w:rFonts w:ascii="Times New Roman" w:hAnsi="Times New Roman"/>
                <w:sz w:val="20"/>
                <w:szCs w:val="20"/>
              </w:rPr>
              <w:t xml:space="preserve"> </w:t>
            </w:r>
          </w:p>
          <w:p w14:paraId="65B41971" w14:textId="77777777" w:rsidR="00E42F05" w:rsidRPr="005F0C91" w:rsidRDefault="00E42F05" w:rsidP="003C34E3">
            <w:pPr>
              <w:keepLines/>
              <w:widowControl w:val="0"/>
              <w:numPr>
                <w:ilvl w:val="0"/>
                <w:numId w:val="15"/>
              </w:numPr>
              <w:tabs>
                <w:tab w:val="num" w:pos="432"/>
              </w:tabs>
              <w:spacing w:after="0" w:line="240" w:lineRule="auto"/>
              <w:ind w:left="432" w:hanging="432"/>
              <w:jc w:val="both"/>
              <w:rPr>
                <w:rFonts w:ascii="Times New Roman" w:hAnsi="Times New Roman"/>
                <w:sz w:val="20"/>
                <w:szCs w:val="20"/>
                <w:lang w:val="en-CA"/>
              </w:rPr>
            </w:pPr>
            <w:r w:rsidRPr="005F0C91">
              <w:rPr>
                <w:rFonts w:ascii="Times New Roman" w:hAnsi="Times New Roman"/>
                <w:sz w:val="20"/>
                <w:szCs w:val="20"/>
              </w:rPr>
              <w:t>when it is a public holiday in Singapore and/or Hong Kong and/or the SGX-ST and/or the HKEX is not open for dealings; and</w:t>
            </w:r>
          </w:p>
          <w:p w14:paraId="4940FA83" w14:textId="77777777" w:rsidR="00EB2213" w:rsidRPr="005F0C91" w:rsidRDefault="003F51AE" w:rsidP="00E42F05">
            <w:pPr>
              <w:keepLines/>
              <w:widowControl w:val="0"/>
              <w:numPr>
                <w:ilvl w:val="0"/>
                <w:numId w:val="15"/>
              </w:numPr>
              <w:tabs>
                <w:tab w:val="num" w:pos="432"/>
              </w:tabs>
              <w:spacing w:after="0" w:line="240" w:lineRule="auto"/>
              <w:ind w:left="432" w:hanging="432"/>
              <w:jc w:val="both"/>
              <w:rPr>
                <w:rFonts w:ascii="Times New Roman" w:hAnsi="Times New Roman"/>
                <w:sz w:val="20"/>
                <w:szCs w:val="20"/>
              </w:rPr>
            </w:pPr>
            <w:r w:rsidRPr="005F0C91">
              <w:rPr>
                <w:rFonts w:ascii="Times New Roman" w:hAnsi="Times New Roman"/>
                <w:sz w:val="20"/>
                <w:szCs w:val="20"/>
              </w:rPr>
              <w:t>during the suspension of trading of Certificates after an Air Bag Mechanism has been triggered.</w:t>
            </w:r>
          </w:p>
        </w:tc>
      </w:tr>
      <w:tr w:rsidR="00EB2213" w:rsidRPr="000D7A90" w14:paraId="70975E82" w14:textId="77777777" w:rsidTr="00A44B0F">
        <w:trPr>
          <w:jc w:val="center"/>
        </w:trPr>
        <w:tc>
          <w:tcPr>
            <w:tcW w:w="11027" w:type="dxa"/>
            <w:gridSpan w:val="5"/>
            <w:tcBorders>
              <w:bottom w:val="single" w:sz="4" w:space="0" w:color="auto"/>
            </w:tcBorders>
            <w:shd w:val="solid" w:color="auto" w:fill="auto"/>
          </w:tcPr>
          <w:p w14:paraId="4BC21B1F" w14:textId="77777777" w:rsidR="00EB2213" w:rsidRPr="000D7A90" w:rsidRDefault="00EB2213" w:rsidP="00A44B0F">
            <w:pPr>
              <w:keepLines/>
              <w:spacing w:after="0" w:line="240" w:lineRule="auto"/>
              <w:jc w:val="center"/>
              <w:rPr>
                <w:rFonts w:ascii="Times New Roman" w:hAnsi="Times New Roman"/>
                <w:b/>
                <w:sz w:val="20"/>
                <w:szCs w:val="20"/>
              </w:rPr>
            </w:pPr>
            <w:r w:rsidRPr="000D7A90">
              <w:rPr>
                <w:rFonts w:ascii="Times New Roman" w:hAnsi="Times New Roman"/>
                <w:b/>
                <w:sz w:val="20"/>
                <w:szCs w:val="20"/>
              </w:rPr>
              <w:t>D.  PRODUCT SUITABILITY</w:t>
            </w:r>
          </w:p>
        </w:tc>
      </w:tr>
      <w:tr w:rsidR="00EB2213" w:rsidRPr="000D7A90" w14:paraId="03E3A3FA" w14:textId="77777777" w:rsidTr="00EB2213">
        <w:trPr>
          <w:jc w:val="center"/>
        </w:trPr>
        <w:tc>
          <w:tcPr>
            <w:tcW w:w="11027" w:type="dxa"/>
            <w:gridSpan w:val="5"/>
            <w:tcBorders>
              <w:bottom w:val="single" w:sz="4" w:space="0" w:color="auto"/>
            </w:tcBorders>
            <w:shd w:val="clear" w:color="auto" w:fill="auto"/>
          </w:tcPr>
          <w:p w14:paraId="7A1190CB" w14:textId="77777777" w:rsidR="00ED404A" w:rsidRPr="000D7A90" w:rsidRDefault="00EB2213" w:rsidP="00A44B0F">
            <w:pPr>
              <w:keepLines/>
              <w:spacing w:after="0" w:line="240" w:lineRule="auto"/>
              <w:rPr>
                <w:rFonts w:ascii="Times New Roman" w:hAnsi="Times New Roman"/>
                <w:lang w:val="en-CA"/>
              </w:rPr>
            </w:pPr>
            <w:r w:rsidRPr="000D7A90">
              <w:rPr>
                <w:rFonts w:ascii="Times New Roman" w:hAnsi="Times New Roman"/>
                <w:b/>
                <w:bCs/>
                <w:sz w:val="20"/>
                <w:szCs w:val="20"/>
                <w:lang w:val="en-US"/>
              </w:rPr>
              <w:t>WHO IS THIS PRODUCT SUITABLE FOR?</w:t>
            </w:r>
            <w:r w:rsidR="00E4002E" w:rsidRPr="000D7A90">
              <w:rPr>
                <w:rFonts w:ascii="Times New Roman" w:hAnsi="Times New Roman"/>
                <w:lang w:val="en-CA"/>
              </w:rPr>
              <w:t xml:space="preserve"> </w:t>
            </w:r>
          </w:p>
          <w:p w14:paraId="0EECA76C" w14:textId="77777777" w:rsidR="00ED404A" w:rsidRPr="000D7A90" w:rsidRDefault="00ED404A" w:rsidP="00ED404A">
            <w:pPr>
              <w:keepLines/>
              <w:tabs>
                <w:tab w:val="left" w:pos="2700"/>
              </w:tabs>
              <w:spacing w:after="0" w:line="240" w:lineRule="auto"/>
              <w:rPr>
                <w:rFonts w:ascii="Times New Roman" w:hAnsi="Times New Roman"/>
                <w:bCs/>
                <w:sz w:val="20"/>
                <w:szCs w:val="20"/>
                <w:lang w:val="en-US"/>
              </w:rPr>
            </w:pPr>
          </w:p>
          <w:p w14:paraId="27DF8E76" w14:textId="77777777" w:rsidR="008A1A3D" w:rsidRPr="000D7A90" w:rsidRDefault="00E4002E" w:rsidP="00E4002E">
            <w:pPr>
              <w:keepLines/>
              <w:numPr>
                <w:ilvl w:val="0"/>
                <w:numId w:val="16"/>
              </w:numPr>
              <w:tabs>
                <w:tab w:val="clear" w:pos="360"/>
                <w:tab w:val="left" w:pos="239"/>
              </w:tabs>
              <w:autoSpaceDE w:val="0"/>
              <w:autoSpaceDN w:val="0"/>
              <w:adjustRightInd w:val="0"/>
              <w:spacing w:after="0" w:line="240" w:lineRule="auto"/>
              <w:ind w:left="239" w:hanging="180"/>
              <w:jc w:val="both"/>
              <w:rPr>
                <w:rFonts w:ascii="Times New Roman" w:hAnsi="Times New Roman"/>
                <w:sz w:val="20"/>
                <w:szCs w:val="20"/>
                <w:lang w:val="en-US"/>
              </w:rPr>
            </w:pPr>
            <w:r w:rsidRPr="000D7A90">
              <w:rPr>
                <w:rFonts w:ascii="Times New Roman" w:hAnsi="Times New Roman"/>
                <w:sz w:val="20"/>
                <w:szCs w:val="20"/>
                <w:lang w:val="en-US"/>
              </w:rPr>
              <w:t xml:space="preserve">This product is </w:t>
            </w:r>
            <w:r w:rsidRPr="000D7A90">
              <w:rPr>
                <w:rFonts w:ascii="Times New Roman" w:hAnsi="Times New Roman"/>
                <w:sz w:val="20"/>
                <w:szCs w:val="20"/>
                <w:u w:val="single"/>
                <w:lang w:val="en-US"/>
              </w:rPr>
              <w:t>only</w:t>
            </w:r>
            <w:r w:rsidRPr="000D7A90">
              <w:rPr>
                <w:rFonts w:ascii="Times New Roman" w:hAnsi="Times New Roman"/>
                <w:sz w:val="20"/>
                <w:szCs w:val="20"/>
                <w:lang w:val="en-US"/>
              </w:rPr>
              <w:t xml:space="preserve"> suitable for investors who believe that the </w:t>
            </w:r>
            <w:r w:rsidR="00461B39" w:rsidRPr="000D7A90">
              <w:rPr>
                <w:rFonts w:ascii="Times New Roman" w:hAnsi="Times New Roman"/>
                <w:sz w:val="20"/>
                <w:szCs w:val="20"/>
                <w:lang w:val="en-US"/>
              </w:rPr>
              <w:t>price</w:t>
            </w:r>
            <w:r w:rsidRPr="000D7A90">
              <w:rPr>
                <w:rFonts w:ascii="Times New Roman" w:hAnsi="Times New Roman"/>
                <w:sz w:val="20"/>
                <w:szCs w:val="20"/>
                <w:lang w:val="en-US"/>
              </w:rPr>
              <w:t xml:space="preserve"> of the </w:t>
            </w:r>
            <w:r w:rsidR="00461B39" w:rsidRPr="000D7A90">
              <w:rPr>
                <w:rFonts w:ascii="Times New Roman" w:hAnsi="Times New Roman"/>
                <w:sz w:val="20"/>
                <w:szCs w:val="20"/>
                <w:lang w:val="en-US"/>
              </w:rPr>
              <w:t xml:space="preserve">Underlying Stock </w:t>
            </w:r>
            <w:r w:rsidRPr="000D7A90">
              <w:rPr>
                <w:rFonts w:ascii="Times New Roman" w:hAnsi="Times New Roman"/>
                <w:sz w:val="20"/>
                <w:szCs w:val="20"/>
                <w:lang w:val="en-US"/>
              </w:rPr>
              <w:t xml:space="preserve">will fall and are seeking short-term leveraged inverse exposure to the </w:t>
            </w:r>
            <w:r w:rsidR="00461B39" w:rsidRPr="000D7A90">
              <w:rPr>
                <w:rFonts w:ascii="Times New Roman" w:hAnsi="Times New Roman"/>
                <w:sz w:val="20"/>
                <w:szCs w:val="20"/>
                <w:lang w:val="en-US"/>
              </w:rPr>
              <w:t>Underlying Stock</w:t>
            </w:r>
            <w:r w:rsidRPr="000D7A90">
              <w:rPr>
                <w:rFonts w:ascii="Times New Roman" w:hAnsi="Times New Roman"/>
                <w:sz w:val="20"/>
                <w:szCs w:val="20"/>
                <w:lang w:val="en-US"/>
              </w:rPr>
              <w:t>. The Certificates are classified as Specified Investment Products (SIPs</w:t>
            </w:r>
            <w:proofErr w:type="gramStart"/>
            <w:r w:rsidRPr="000D7A90">
              <w:rPr>
                <w:rFonts w:ascii="Times New Roman" w:hAnsi="Times New Roman"/>
                <w:sz w:val="20"/>
                <w:szCs w:val="20"/>
                <w:lang w:val="en-US"/>
              </w:rPr>
              <w:t>)</w:t>
            </w:r>
            <w:r w:rsidR="00F11963">
              <w:rPr>
                <w:rFonts w:ascii="Times New Roman" w:hAnsi="Times New Roman"/>
                <w:sz w:val="20"/>
                <w:szCs w:val="20"/>
                <w:lang w:val="en-US"/>
              </w:rPr>
              <w:t xml:space="preserve">, </w:t>
            </w:r>
            <w:r w:rsidRPr="000D7A90">
              <w:rPr>
                <w:rFonts w:ascii="Times New Roman" w:hAnsi="Times New Roman"/>
                <w:sz w:val="20"/>
                <w:szCs w:val="20"/>
                <w:lang w:val="en-US"/>
              </w:rPr>
              <w:t>and</w:t>
            </w:r>
            <w:proofErr w:type="gramEnd"/>
            <w:r w:rsidRPr="000D7A90">
              <w:rPr>
                <w:rFonts w:ascii="Times New Roman" w:hAnsi="Times New Roman"/>
                <w:sz w:val="20"/>
                <w:szCs w:val="20"/>
                <w:lang w:val="en-US"/>
              </w:rPr>
              <w:t xml:space="preserve"> </w:t>
            </w:r>
            <w:r w:rsidR="00DA459A">
              <w:rPr>
                <w:rFonts w:ascii="Times New Roman" w:hAnsi="Times New Roman"/>
                <w:sz w:val="20"/>
                <w:szCs w:val="20"/>
                <w:lang w:val="en-US"/>
              </w:rPr>
              <w:t>may</w:t>
            </w:r>
            <w:r w:rsidRPr="000D7A90">
              <w:rPr>
                <w:rFonts w:ascii="Times New Roman" w:hAnsi="Times New Roman"/>
                <w:sz w:val="20"/>
                <w:szCs w:val="20"/>
                <w:lang w:val="en-US"/>
              </w:rPr>
              <w:t xml:space="preserve"> only be sold to retail investors with enhanced safeguards, including an assessment of such investors’ investment knowledge or experience.</w:t>
            </w:r>
          </w:p>
          <w:p w14:paraId="46690F7F" w14:textId="77777777" w:rsidR="00ED404A" w:rsidRPr="000D7A90" w:rsidRDefault="008A1A3D" w:rsidP="00E4002E">
            <w:pPr>
              <w:keepLines/>
              <w:numPr>
                <w:ilvl w:val="0"/>
                <w:numId w:val="16"/>
              </w:numPr>
              <w:tabs>
                <w:tab w:val="clear" w:pos="360"/>
                <w:tab w:val="left" w:pos="239"/>
              </w:tabs>
              <w:autoSpaceDE w:val="0"/>
              <w:autoSpaceDN w:val="0"/>
              <w:adjustRightInd w:val="0"/>
              <w:spacing w:after="0" w:line="240" w:lineRule="auto"/>
              <w:ind w:left="239" w:hanging="180"/>
              <w:jc w:val="both"/>
              <w:rPr>
                <w:rFonts w:ascii="Times New Roman" w:hAnsi="Times New Roman"/>
                <w:sz w:val="20"/>
                <w:szCs w:val="20"/>
                <w:lang w:val="en-US"/>
              </w:rPr>
            </w:pPr>
            <w:r w:rsidRPr="000D7A90">
              <w:rPr>
                <w:rFonts w:ascii="Times New Roman" w:hAnsi="Times New Roman"/>
                <w:sz w:val="20"/>
                <w:szCs w:val="20"/>
                <w:lang w:val="en-US"/>
              </w:rPr>
              <w:lastRenderedPageBreak/>
              <w:t>This product should be only considered for intraday trading and short term investment periods due to its leveraged</w:t>
            </w:r>
            <w:r w:rsidR="0053172A" w:rsidRPr="000D7A90">
              <w:rPr>
                <w:rFonts w:ascii="Times New Roman" w:hAnsi="Times New Roman"/>
                <w:sz w:val="20"/>
                <w:szCs w:val="20"/>
                <w:lang w:val="en-US"/>
              </w:rPr>
              <w:t xml:space="preserve"> inverse</w:t>
            </w:r>
            <w:r w:rsidRPr="000D7A90">
              <w:rPr>
                <w:rFonts w:ascii="Times New Roman" w:hAnsi="Times New Roman"/>
                <w:sz w:val="20"/>
                <w:szCs w:val="20"/>
                <w:lang w:val="en-US"/>
              </w:rPr>
              <w:t xml:space="preserve"> exposure and the daily compounding, which may lead to a performance different from 5 times the inverse performance of the </w:t>
            </w:r>
            <w:r w:rsidR="00461B39" w:rsidRPr="000D7A90">
              <w:rPr>
                <w:rFonts w:ascii="Times New Roman" w:hAnsi="Times New Roman"/>
                <w:sz w:val="20"/>
                <w:szCs w:val="20"/>
                <w:lang w:val="en-US"/>
              </w:rPr>
              <w:t xml:space="preserve">Underlying Stock </w:t>
            </w:r>
            <w:r w:rsidRPr="000D7A90">
              <w:rPr>
                <w:rFonts w:ascii="Times New Roman" w:hAnsi="Times New Roman"/>
                <w:sz w:val="20"/>
                <w:szCs w:val="20"/>
                <w:lang w:val="en-US"/>
              </w:rPr>
              <w:t>over a period longer than one day.</w:t>
            </w:r>
            <w:r w:rsidR="00E4002E" w:rsidRPr="000D7A90">
              <w:rPr>
                <w:rFonts w:ascii="Times New Roman" w:hAnsi="Times New Roman"/>
                <w:lang w:val="en-CA"/>
              </w:rPr>
              <w:t xml:space="preserve"> </w:t>
            </w:r>
          </w:p>
          <w:p w14:paraId="478451AE" w14:textId="77777777" w:rsidR="00EB2213" w:rsidRPr="000D7A90" w:rsidRDefault="00EB2213" w:rsidP="00567F74">
            <w:pPr>
              <w:keepLines/>
              <w:tabs>
                <w:tab w:val="left" w:pos="239"/>
              </w:tabs>
              <w:autoSpaceDE w:val="0"/>
              <w:autoSpaceDN w:val="0"/>
              <w:adjustRightInd w:val="0"/>
              <w:spacing w:after="0" w:line="240" w:lineRule="auto"/>
              <w:ind w:left="59"/>
              <w:jc w:val="both"/>
              <w:rPr>
                <w:rFonts w:ascii="Times New Roman" w:hAnsi="Times New Roman"/>
                <w:sz w:val="20"/>
                <w:szCs w:val="20"/>
                <w:lang w:val="en-US"/>
              </w:rPr>
            </w:pPr>
          </w:p>
          <w:p w14:paraId="3A3E522F" w14:textId="77777777" w:rsidR="00EB2213" w:rsidRPr="000D7A90" w:rsidRDefault="00EB2213" w:rsidP="00A44B0F">
            <w:pPr>
              <w:keepLines/>
              <w:spacing w:after="0" w:line="240" w:lineRule="auto"/>
              <w:jc w:val="both"/>
              <w:rPr>
                <w:rFonts w:ascii="Times New Roman" w:hAnsi="Times New Roman"/>
                <w:sz w:val="20"/>
                <w:szCs w:val="20"/>
              </w:rPr>
            </w:pPr>
            <w:r w:rsidRPr="000D7A90">
              <w:rPr>
                <w:rFonts w:ascii="Times New Roman" w:hAnsi="Times New Roman"/>
                <w:sz w:val="20"/>
                <w:szCs w:val="20"/>
                <w:lang w:val="en-US"/>
              </w:rPr>
              <w:t xml:space="preserve">You should consider carefully whether the Certificates are suitable for you </w:t>
            </w:r>
            <w:proofErr w:type="gramStart"/>
            <w:r w:rsidRPr="000D7A90">
              <w:rPr>
                <w:rFonts w:ascii="Times New Roman" w:hAnsi="Times New Roman"/>
                <w:sz w:val="20"/>
                <w:szCs w:val="20"/>
                <w:lang w:val="en-US"/>
              </w:rPr>
              <w:t>in light of</w:t>
            </w:r>
            <w:proofErr w:type="gramEnd"/>
            <w:r w:rsidRPr="000D7A90">
              <w:rPr>
                <w:rFonts w:ascii="Times New Roman" w:hAnsi="Times New Roman"/>
                <w:sz w:val="20"/>
                <w:szCs w:val="20"/>
                <w:lang w:val="en-US"/>
              </w:rPr>
              <w:t xml:space="preserve"> your experience, objectives, financial position and other relevant circumstances. The Certificates are not suitable for inexperienced investors.</w:t>
            </w:r>
          </w:p>
        </w:tc>
      </w:tr>
      <w:tr w:rsidR="00EB2213" w:rsidRPr="000D7A90" w14:paraId="2A294091" w14:textId="77777777" w:rsidTr="00BD65DE">
        <w:trPr>
          <w:jc w:val="center"/>
        </w:trPr>
        <w:tc>
          <w:tcPr>
            <w:tcW w:w="11027" w:type="dxa"/>
            <w:gridSpan w:val="5"/>
            <w:shd w:val="clear" w:color="auto" w:fill="C14020"/>
          </w:tcPr>
          <w:p w14:paraId="4F166B90" w14:textId="77777777" w:rsidR="00EB2213" w:rsidRPr="000D7A90" w:rsidRDefault="00EB2213" w:rsidP="00A44B0F">
            <w:pPr>
              <w:keepLines/>
              <w:spacing w:after="0" w:line="240" w:lineRule="auto"/>
              <w:jc w:val="center"/>
              <w:rPr>
                <w:rFonts w:ascii="Times New Roman" w:hAnsi="Times New Roman"/>
                <w:b/>
                <w:color w:val="FFFFFF"/>
                <w:sz w:val="20"/>
                <w:szCs w:val="20"/>
              </w:rPr>
            </w:pPr>
            <w:r w:rsidRPr="000D7A90">
              <w:rPr>
                <w:rFonts w:ascii="Times New Roman" w:hAnsi="Times New Roman"/>
                <w:b/>
                <w:color w:val="FFFFFF"/>
                <w:sz w:val="20"/>
                <w:szCs w:val="20"/>
              </w:rPr>
              <w:lastRenderedPageBreak/>
              <w:t>Key Product Features</w:t>
            </w:r>
          </w:p>
        </w:tc>
      </w:tr>
      <w:tr w:rsidR="00EB2213" w:rsidRPr="000D7A90" w14:paraId="16E05B17" w14:textId="77777777" w:rsidTr="00E71E74">
        <w:trPr>
          <w:jc w:val="center"/>
        </w:trPr>
        <w:tc>
          <w:tcPr>
            <w:tcW w:w="9033" w:type="dxa"/>
            <w:gridSpan w:val="4"/>
            <w:tcBorders>
              <w:bottom w:val="single" w:sz="4" w:space="0" w:color="auto"/>
            </w:tcBorders>
            <w:shd w:val="clear" w:color="auto" w:fill="auto"/>
          </w:tcPr>
          <w:p w14:paraId="0B9EB892" w14:textId="77777777" w:rsidR="0010458A" w:rsidRPr="000D7A90" w:rsidRDefault="0010458A" w:rsidP="00A44B0F">
            <w:pPr>
              <w:keepLines/>
              <w:spacing w:after="0" w:line="240" w:lineRule="auto"/>
              <w:rPr>
                <w:rFonts w:ascii="Times New Roman" w:hAnsi="Times New Roman"/>
                <w:lang w:val="en-CA"/>
              </w:rPr>
            </w:pPr>
            <w:r w:rsidRPr="000D7A90">
              <w:rPr>
                <w:rFonts w:ascii="Times New Roman" w:hAnsi="Times New Roman"/>
                <w:b/>
                <w:bCs/>
                <w:sz w:val="20"/>
                <w:szCs w:val="20"/>
                <w:lang w:val="en-US"/>
              </w:rPr>
              <w:t>WHAT ARE YOU INVESTING IN?</w:t>
            </w:r>
          </w:p>
          <w:p w14:paraId="631B6DDD" w14:textId="77777777" w:rsidR="0010458A" w:rsidRPr="000D7A90" w:rsidRDefault="0010458A" w:rsidP="0010458A">
            <w:pPr>
              <w:keepLines/>
              <w:tabs>
                <w:tab w:val="left" w:pos="239"/>
              </w:tabs>
              <w:autoSpaceDE w:val="0"/>
              <w:autoSpaceDN w:val="0"/>
              <w:adjustRightInd w:val="0"/>
              <w:spacing w:after="0" w:line="240" w:lineRule="auto"/>
              <w:ind w:left="59"/>
              <w:jc w:val="both"/>
              <w:rPr>
                <w:rFonts w:ascii="Times New Roman" w:hAnsi="Times New Roman"/>
                <w:sz w:val="20"/>
                <w:szCs w:val="20"/>
                <w:lang w:val="en-US"/>
              </w:rPr>
            </w:pPr>
          </w:p>
          <w:p w14:paraId="2E52934C" w14:textId="77777777" w:rsidR="00730D0A" w:rsidRPr="000D7A90" w:rsidRDefault="00730D0A" w:rsidP="00730D0A">
            <w:pPr>
              <w:numPr>
                <w:ilvl w:val="0"/>
                <w:numId w:val="17"/>
              </w:numPr>
              <w:spacing w:after="0" w:line="240" w:lineRule="auto"/>
              <w:jc w:val="both"/>
              <w:rPr>
                <w:rFonts w:ascii="Times New Roman" w:hAnsi="Times New Roman"/>
                <w:sz w:val="20"/>
                <w:szCs w:val="20"/>
              </w:rPr>
            </w:pPr>
            <w:r w:rsidRPr="000D7A90">
              <w:rPr>
                <w:rFonts w:ascii="Times New Roman" w:hAnsi="Times New Roman"/>
                <w:sz w:val="20"/>
                <w:szCs w:val="20"/>
                <w:lang w:val="en-US"/>
              </w:rPr>
              <w:t xml:space="preserve">You are investing in </w:t>
            </w:r>
            <w:r w:rsidRPr="000D7A90">
              <w:rPr>
                <w:rFonts w:ascii="Times New Roman" w:hAnsi="Times New Roman"/>
                <w:sz w:val="20"/>
                <w:szCs w:val="20"/>
              </w:rPr>
              <w:t xml:space="preserve">the daily leveraged certificates, which are in the form of a zero-strike warrant, that provides you with a fixed leveraged return on the daily inverse performance of the </w:t>
            </w:r>
            <w:r w:rsidR="001F1DD9" w:rsidRPr="000D7A90">
              <w:rPr>
                <w:rFonts w:ascii="Times New Roman" w:hAnsi="Times New Roman"/>
                <w:sz w:val="20"/>
                <w:szCs w:val="20"/>
                <w:lang w:val="en-US"/>
              </w:rPr>
              <w:t>Underlying Stock</w:t>
            </w:r>
            <w:r w:rsidRPr="000D7A90">
              <w:rPr>
                <w:rFonts w:ascii="Times New Roman" w:hAnsi="Times New Roman"/>
                <w:sz w:val="20"/>
                <w:szCs w:val="20"/>
              </w:rPr>
              <w:t>, plus any costs or fees that may apply.</w:t>
            </w:r>
          </w:p>
          <w:p w14:paraId="30E9A68C" w14:textId="77777777" w:rsidR="00730D0A" w:rsidRPr="000D7A90" w:rsidRDefault="00730D0A" w:rsidP="00730D0A">
            <w:pPr>
              <w:numPr>
                <w:ilvl w:val="0"/>
                <w:numId w:val="17"/>
              </w:numPr>
              <w:spacing w:after="0" w:line="240" w:lineRule="auto"/>
              <w:jc w:val="both"/>
              <w:rPr>
                <w:rFonts w:ascii="Times New Roman" w:hAnsi="Times New Roman"/>
                <w:sz w:val="20"/>
                <w:szCs w:val="20"/>
              </w:rPr>
            </w:pPr>
            <w:r w:rsidRPr="000D7A90">
              <w:rPr>
                <w:rFonts w:ascii="Times New Roman" w:hAnsi="Times New Roman"/>
                <w:sz w:val="20"/>
                <w:szCs w:val="20"/>
              </w:rPr>
              <w:t xml:space="preserve">The Certificates track the performance of the Leverage Inverse Strategy. This Leverage Inverse Strategy provides a return based on an inverse fixed daily leveraged return of the </w:t>
            </w:r>
            <w:r w:rsidR="001F1DD9" w:rsidRPr="000D7A90">
              <w:rPr>
                <w:rFonts w:ascii="Times New Roman" w:hAnsi="Times New Roman"/>
                <w:sz w:val="20"/>
                <w:szCs w:val="20"/>
                <w:lang w:val="en-US"/>
              </w:rPr>
              <w:t>Underlying Stock</w:t>
            </w:r>
            <w:r w:rsidRPr="000D7A90">
              <w:rPr>
                <w:rFonts w:ascii="Times New Roman" w:hAnsi="Times New Roman"/>
                <w:sz w:val="20"/>
                <w:szCs w:val="20"/>
              </w:rPr>
              <w:t>.</w:t>
            </w:r>
          </w:p>
          <w:p w14:paraId="0EA71DD5" w14:textId="77777777" w:rsidR="00730D0A" w:rsidRPr="000D7A90" w:rsidRDefault="00730D0A" w:rsidP="00730D0A">
            <w:pPr>
              <w:numPr>
                <w:ilvl w:val="0"/>
                <w:numId w:val="32"/>
              </w:numPr>
              <w:spacing w:after="0" w:line="240" w:lineRule="auto"/>
              <w:jc w:val="both"/>
              <w:rPr>
                <w:lang w:val="en-US"/>
              </w:rPr>
            </w:pPr>
            <w:r w:rsidRPr="000D7A90">
              <w:rPr>
                <w:rFonts w:ascii="Times New Roman" w:hAnsi="Times New Roman"/>
                <w:sz w:val="20"/>
                <w:szCs w:val="20"/>
              </w:rPr>
              <w:t xml:space="preserve">As an example, the Certificates’ daily performance will correspond to </w:t>
            </w:r>
            <w:r w:rsidR="00DF1327" w:rsidRPr="000D7A90">
              <w:rPr>
                <w:rFonts w:ascii="Times New Roman" w:hAnsi="Times New Roman"/>
                <w:sz w:val="20"/>
                <w:szCs w:val="20"/>
                <w:lang w:val="en-US"/>
              </w:rPr>
              <w:t>5</w:t>
            </w:r>
            <w:r w:rsidRPr="000D7A90">
              <w:rPr>
                <w:rFonts w:ascii="Times New Roman" w:hAnsi="Times New Roman"/>
                <w:sz w:val="20"/>
                <w:szCs w:val="20"/>
              </w:rPr>
              <w:t xml:space="preserve">times the inverse daily performance of the </w:t>
            </w:r>
            <w:r w:rsidR="001F1DD9" w:rsidRPr="000D7A90">
              <w:rPr>
                <w:rFonts w:ascii="Times New Roman" w:hAnsi="Times New Roman"/>
                <w:sz w:val="20"/>
                <w:szCs w:val="20"/>
                <w:lang w:val="en-US"/>
              </w:rPr>
              <w:t xml:space="preserve">Underlying Stock </w:t>
            </w:r>
            <w:r w:rsidRPr="000D7A90">
              <w:rPr>
                <w:rFonts w:ascii="Times New Roman" w:hAnsi="Times New Roman"/>
                <w:sz w:val="20"/>
                <w:szCs w:val="20"/>
              </w:rPr>
              <w:t xml:space="preserve">(excluding costs). If the </w:t>
            </w:r>
            <w:r w:rsidR="001F1DD9" w:rsidRPr="000D7A90">
              <w:rPr>
                <w:rFonts w:ascii="Times New Roman" w:hAnsi="Times New Roman"/>
                <w:sz w:val="20"/>
                <w:szCs w:val="20"/>
                <w:lang w:val="en-US"/>
              </w:rPr>
              <w:t xml:space="preserve">Underlying Stock </w:t>
            </w:r>
            <w:r w:rsidR="0071203F" w:rsidRPr="000D7A90">
              <w:rPr>
                <w:rFonts w:ascii="Times New Roman" w:hAnsi="Times New Roman"/>
                <w:sz w:val="20"/>
                <w:szCs w:val="20"/>
                <w:lang w:val="en-US"/>
              </w:rPr>
              <w:t xml:space="preserve">price </w:t>
            </w:r>
            <w:r w:rsidRPr="000D7A90">
              <w:rPr>
                <w:rFonts w:ascii="Times New Roman" w:hAnsi="Times New Roman"/>
                <w:sz w:val="20"/>
                <w:szCs w:val="20"/>
              </w:rPr>
              <w:t xml:space="preserve">falls by 1% compared to the previous closing </w:t>
            </w:r>
            <w:r w:rsidR="001F1DD9" w:rsidRPr="000D7A90">
              <w:rPr>
                <w:rFonts w:ascii="Times New Roman" w:hAnsi="Times New Roman"/>
                <w:sz w:val="20"/>
                <w:szCs w:val="20"/>
              </w:rPr>
              <w:t>price</w:t>
            </w:r>
            <w:r w:rsidRPr="000D7A90">
              <w:rPr>
                <w:rFonts w:ascii="Times New Roman" w:hAnsi="Times New Roman"/>
                <w:sz w:val="20"/>
                <w:szCs w:val="20"/>
              </w:rPr>
              <w:t xml:space="preserve">, the Certificate will rise by </w:t>
            </w:r>
            <w:r w:rsidR="00DF1327" w:rsidRPr="000D7A90">
              <w:rPr>
                <w:rFonts w:ascii="Times New Roman" w:hAnsi="Times New Roman"/>
                <w:sz w:val="20"/>
                <w:szCs w:val="20"/>
              </w:rPr>
              <w:t>5%</w:t>
            </w:r>
            <w:r w:rsidRPr="000D7A90">
              <w:rPr>
                <w:rFonts w:ascii="Times New Roman" w:hAnsi="Times New Roman"/>
                <w:sz w:val="20"/>
                <w:szCs w:val="20"/>
              </w:rPr>
              <w:t xml:space="preserve"> (excluding costs). If the </w:t>
            </w:r>
            <w:r w:rsidR="001F1DD9" w:rsidRPr="000D7A90">
              <w:rPr>
                <w:rFonts w:ascii="Times New Roman" w:hAnsi="Times New Roman"/>
                <w:sz w:val="20"/>
                <w:szCs w:val="20"/>
                <w:lang w:val="en-US"/>
              </w:rPr>
              <w:t xml:space="preserve">Underlying Stock </w:t>
            </w:r>
            <w:r w:rsidR="0071203F" w:rsidRPr="000D7A90">
              <w:rPr>
                <w:rFonts w:ascii="Times New Roman" w:hAnsi="Times New Roman"/>
                <w:sz w:val="20"/>
                <w:szCs w:val="20"/>
                <w:lang w:val="en-US"/>
              </w:rPr>
              <w:t xml:space="preserve">price </w:t>
            </w:r>
            <w:r w:rsidRPr="000D7A90">
              <w:rPr>
                <w:rFonts w:ascii="Times New Roman" w:hAnsi="Times New Roman"/>
                <w:sz w:val="20"/>
                <w:szCs w:val="20"/>
              </w:rPr>
              <w:t xml:space="preserve">rises by 1% compared to the previous closing </w:t>
            </w:r>
            <w:r w:rsidR="00D022DE" w:rsidRPr="000D7A90">
              <w:rPr>
                <w:rFonts w:ascii="Times New Roman" w:hAnsi="Times New Roman"/>
                <w:sz w:val="20"/>
                <w:szCs w:val="20"/>
              </w:rPr>
              <w:t>price</w:t>
            </w:r>
            <w:r w:rsidRPr="000D7A90">
              <w:rPr>
                <w:rFonts w:ascii="Times New Roman" w:hAnsi="Times New Roman"/>
                <w:sz w:val="20"/>
                <w:szCs w:val="20"/>
              </w:rPr>
              <w:t xml:space="preserve">, the Certificate will fall by </w:t>
            </w:r>
            <w:r w:rsidR="00DF1327" w:rsidRPr="000D7A90">
              <w:rPr>
                <w:rFonts w:ascii="Times New Roman" w:hAnsi="Times New Roman"/>
                <w:sz w:val="20"/>
                <w:szCs w:val="20"/>
              </w:rPr>
              <w:t>5%</w:t>
            </w:r>
            <w:r w:rsidRPr="000D7A90">
              <w:rPr>
                <w:rFonts w:ascii="Times New Roman" w:hAnsi="Times New Roman"/>
                <w:sz w:val="20"/>
                <w:szCs w:val="20"/>
              </w:rPr>
              <w:t>(excluding costs).</w:t>
            </w:r>
          </w:p>
          <w:p w14:paraId="3C30271B" w14:textId="77777777" w:rsidR="00730D0A" w:rsidRPr="000D7A90" w:rsidRDefault="00730D0A" w:rsidP="00730D0A">
            <w:pPr>
              <w:spacing w:after="0" w:line="240" w:lineRule="auto"/>
              <w:jc w:val="both"/>
              <w:rPr>
                <w:rFonts w:ascii="Times New Roman" w:hAnsi="Times New Roman"/>
                <w:sz w:val="20"/>
                <w:szCs w:val="20"/>
                <w:u w:val="single"/>
              </w:rPr>
            </w:pPr>
            <w:r w:rsidRPr="000D7A90">
              <w:rPr>
                <w:rFonts w:ascii="Times New Roman" w:hAnsi="Times New Roman"/>
                <w:sz w:val="20"/>
                <w:u w:val="single"/>
              </w:rPr>
              <w:t xml:space="preserve">Floor level of the Leverage </w:t>
            </w:r>
            <w:r w:rsidRPr="000D7A90">
              <w:rPr>
                <w:rFonts w:ascii="Times New Roman" w:hAnsi="Times New Roman"/>
                <w:sz w:val="20"/>
                <w:szCs w:val="20"/>
                <w:u w:val="single"/>
              </w:rPr>
              <w:t xml:space="preserve">Inverse </w:t>
            </w:r>
            <w:r w:rsidRPr="000D7A90">
              <w:rPr>
                <w:rFonts w:ascii="Times New Roman" w:hAnsi="Times New Roman"/>
                <w:sz w:val="20"/>
                <w:u w:val="single"/>
              </w:rPr>
              <w:t>Strategy</w:t>
            </w:r>
          </w:p>
          <w:p w14:paraId="1E590F87" w14:textId="77777777" w:rsidR="00730D0A" w:rsidRPr="000D7A90" w:rsidRDefault="00730D0A" w:rsidP="00730D0A">
            <w:pPr>
              <w:numPr>
                <w:ilvl w:val="0"/>
                <w:numId w:val="17"/>
              </w:numPr>
              <w:spacing w:after="0" w:line="240" w:lineRule="auto"/>
              <w:jc w:val="both"/>
              <w:rPr>
                <w:rFonts w:ascii="Times New Roman" w:hAnsi="Times New Roman"/>
                <w:sz w:val="20"/>
                <w:szCs w:val="20"/>
                <w:lang w:val="en-US"/>
              </w:rPr>
            </w:pPr>
            <w:r w:rsidRPr="000D7A90">
              <w:rPr>
                <w:rFonts w:ascii="Times New Roman" w:hAnsi="Times New Roman"/>
                <w:sz w:val="20"/>
                <w:szCs w:val="20"/>
                <w:lang w:val="en-US"/>
              </w:rPr>
              <w:t xml:space="preserve">The Leverage </w:t>
            </w:r>
            <w:r w:rsidRPr="000D7A90">
              <w:rPr>
                <w:rFonts w:ascii="Times New Roman" w:hAnsi="Times New Roman"/>
                <w:sz w:val="20"/>
                <w:szCs w:val="20"/>
              </w:rPr>
              <w:t xml:space="preserve">Inverse </w:t>
            </w:r>
            <w:r w:rsidRPr="000D7A90">
              <w:rPr>
                <w:rFonts w:ascii="Times New Roman" w:hAnsi="Times New Roman"/>
                <w:sz w:val="20"/>
                <w:szCs w:val="20"/>
                <w:lang w:val="en-US"/>
              </w:rPr>
              <w:t>Strategy is floored at 0 and the Certificates cannot be valued below zero.</w:t>
            </w:r>
          </w:p>
          <w:p w14:paraId="59B563EA" w14:textId="77777777" w:rsidR="00730D0A" w:rsidRPr="000D7A90" w:rsidRDefault="00730D0A" w:rsidP="00730D0A">
            <w:pPr>
              <w:spacing w:after="0" w:line="240" w:lineRule="auto"/>
              <w:jc w:val="both"/>
              <w:rPr>
                <w:rFonts w:ascii="Times New Roman" w:hAnsi="Times New Roman"/>
                <w:sz w:val="20"/>
                <w:szCs w:val="20"/>
                <w:u w:val="single"/>
              </w:rPr>
            </w:pPr>
            <w:r w:rsidRPr="000D7A90">
              <w:rPr>
                <w:rFonts w:ascii="Times New Roman" w:hAnsi="Times New Roman"/>
                <w:sz w:val="20"/>
                <w:szCs w:val="20"/>
                <w:u w:val="single"/>
              </w:rPr>
              <w:t xml:space="preserve">Inverse </w:t>
            </w:r>
            <w:r w:rsidRPr="000D7A90">
              <w:rPr>
                <w:rFonts w:ascii="Times New Roman" w:hAnsi="Times New Roman"/>
                <w:sz w:val="20"/>
                <w:u w:val="single"/>
              </w:rPr>
              <w:t>Leverage Mechanism</w:t>
            </w:r>
          </w:p>
          <w:p w14:paraId="1EC6F8DA" w14:textId="77777777" w:rsidR="00730D0A" w:rsidRPr="000D7A90" w:rsidRDefault="00730D0A" w:rsidP="00343DBA">
            <w:pPr>
              <w:numPr>
                <w:ilvl w:val="0"/>
                <w:numId w:val="17"/>
              </w:numPr>
              <w:spacing w:after="0" w:line="240" w:lineRule="auto"/>
              <w:jc w:val="both"/>
              <w:rPr>
                <w:rFonts w:ascii="Times New Roman" w:hAnsi="Times New Roman"/>
                <w:sz w:val="20"/>
                <w:szCs w:val="20"/>
                <w:lang w:val="en-US"/>
              </w:rPr>
            </w:pPr>
            <w:r w:rsidRPr="000D7A90">
              <w:rPr>
                <w:rFonts w:ascii="Times New Roman" w:hAnsi="Times New Roman"/>
                <w:sz w:val="20"/>
                <w:szCs w:val="20"/>
                <w:lang w:val="en-US"/>
              </w:rPr>
              <w:t xml:space="preserve">The inverse leverage mechanism is designed to provide </w:t>
            </w:r>
            <w:r w:rsidR="00DF1327" w:rsidRPr="000D7A90">
              <w:rPr>
                <w:rFonts w:ascii="Times New Roman" w:hAnsi="Times New Roman"/>
                <w:sz w:val="20"/>
                <w:szCs w:val="20"/>
                <w:lang w:val="en-US"/>
              </w:rPr>
              <w:t>5</w:t>
            </w:r>
            <w:r w:rsidRPr="000D7A90">
              <w:rPr>
                <w:rFonts w:ascii="Times New Roman" w:hAnsi="Times New Roman"/>
                <w:sz w:val="20"/>
                <w:szCs w:val="20"/>
                <w:lang w:val="en-US"/>
              </w:rPr>
              <w:t xml:space="preserve">times the inverse daily performance of the </w:t>
            </w:r>
            <w:r w:rsidR="001F1DD9" w:rsidRPr="000D7A90">
              <w:rPr>
                <w:rFonts w:ascii="Times New Roman" w:hAnsi="Times New Roman"/>
                <w:sz w:val="20"/>
                <w:szCs w:val="20"/>
                <w:lang w:val="en-US"/>
              </w:rPr>
              <w:t xml:space="preserve">Underlying Stock </w:t>
            </w:r>
            <w:r w:rsidRPr="000D7A90">
              <w:rPr>
                <w:rFonts w:ascii="Times New Roman" w:hAnsi="Times New Roman"/>
                <w:sz w:val="20"/>
                <w:szCs w:val="20"/>
                <w:lang w:val="en-US"/>
              </w:rPr>
              <w:t xml:space="preserve">(excluding costs). The inverse exposure is obtained by a process equivalent to selling </w:t>
            </w:r>
            <w:r w:rsidR="00DF1327" w:rsidRPr="000D7A90">
              <w:rPr>
                <w:rFonts w:ascii="Times New Roman" w:hAnsi="Times New Roman"/>
                <w:sz w:val="20"/>
                <w:szCs w:val="20"/>
                <w:lang w:val="en-US"/>
              </w:rPr>
              <w:t>5</w:t>
            </w:r>
            <w:r w:rsidRPr="000D7A90">
              <w:rPr>
                <w:rFonts w:ascii="Times New Roman" w:hAnsi="Times New Roman"/>
                <w:sz w:val="20"/>
                <w:szCs w:val="20"/>
                <w:lang w:val="en-US"/>
              </w:rPr>
              <w:t xml:space="preserve"> times the </w:t>
            </w:r>
            <w:r w:rsidR="001F1DD9" w:rsidRPr="000D7A90">
              <w:rPr>
                <w:rFonts w:ascii="Times New Roman" w:hAnsi="Times New Roman"/>
                <w:sz w:val="20"/>
                <w:szCs w:val="20"/>
                <w:lang w:val="en-US"/>
              </w:rPr>
              <w:t xml:space="preserve">Underlying Stock </w:t>
            </w:r>
            <w:r w:rsidRPr="000D7A90">
              <w:rPr>
                <w:rFonts w:ascii="Times New Roman" w:hAnsi="Times New Roman"/>
                <w:sz w:val="20"/>
                <w:szCs w:val="20"/>
                <w:lang w:val="en-US"/>
              </w:rPr>
              <w:t xml:space="preserve">and lending </w:t>
            </w:r>
            <w:r w:rsidR="00DF1327" w:rsidRPr="000D7A90">
              <w:rPr>
                <w:rFonts w:ascii="Times New Roman" w:hAnsi="Times New Roman"/>
                <w:sz w:val="20"/>
                <w:szCs w:val="20"/>
                <w:lang w:val="en-US"/>
              </w:rPr>
              <w:t>6</w:t>
            </w:r>
            <w:r w:rsidRPr="000D7A90">
              <w:rPr>
                <w:rFonts w:ascii="Times New Roman" w:hAnsi="Times New Roman"/>
                <w:sz w:val="20"/>
                <w:szCs w:val="20"/>
                <w:lang w:val="en-US"/>
              </w:rPr>
              <w:t xml:space="preserve"> times the cash (comprising the initial investment and </w:t>
            </w:r>
            <w:r w:rsidR="00DF1327" w:rsidRPr="000D7A90">
              <w:rPr>
                <w:rFonts w:ascii="Times New Roman" w:hAnsi="Times New Roman"/>
                <w:sz w:val="20"/>
                <w:szCs w:val="20"/>
                <w:lang w:val="en-US"/>
              </w:rPr>
              <w:t>5</w:t>
            </w:r>
            <w:r w:rsidRPr="000D7A90">
              <w:rPr>
                <w:rFonts w:ascii="Times New Roman" w:hAnsi="Times New Roman"/>
                <w:sz w:val="20"/>
                <w:szCs w:val="20"/>
                <w:lang w:val="en-US"/>
              </w:rPr>
              <w:t xml:space="preserve"> times the inverse exposure) at a rate determined according to the formula of the Leverage Inverse Strategy.</w:t>
            </w:r>
          </w:p>
        </w:tc>
        <w:tc>
          <w:tcPr>
            <w:tcW w:w="1994" w:type="dxa"/>
            <w:tcBorders>
              <w:bottom w:val="single" w:sz="4" w:space="0" w:color="auto"/>
            </w:tcBorders>
            <w:shd w:val="clear" w:color="auto" w:fill="auto"/>
          </w:tcPr>
          <w:p w14:paraId="52458BCD"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Further Information</w:t>
            </w:r>
          </w:p>
          <w:p w14:paraId="511111B0" w14:textId="77777777" w:rsidR="00EB2213" w:rsidRPr="000D7A90" w:rsidRDefault="0071203F" w:rsidP="00A44B0F">
            <w:pPr>
              <w:keepLines/>
              <w:spacing w:after="0" w:line="240" w:lineRule="auto"/>
              <w:jc w:val="both"/>
              <w:rPr>
                <w:rFonts w:ascii="Times New Roman" w:hAnsi="Times New Roman"/>
                <w:sz w:val="20"/>
                <w:szCs w:val="20"/>
                <w:lang w:val="en-US"/>
              </w:rPr>
            </w:pPr>
            <w:r w:rsidRPr="000D7A90">
              <w:rPr>
                <w:rFonts w:ascii="Times New Roman" w:hAnsi="Times New Roman"/>
                <w:sz w:val="20"/>
                <w:szCs w:val="20"/>
                <w:lang w:val="en-US"/>
              </w:rPr>
              <w:t xml:space="preserve">Please refer to the “Information relating to the Company” section in the Supplemental Listing Document and the Issuer’s website at </w:t>
            </w:r>
            <w:hyperlink r:id="rId14" w:history="1">
              <w:r w:rsidRPr="000D7A90">
                <w:rPr>
                  <w:rStyle w:val="Hyperlink"/>
                  <w:rFonts w:ascii="Times New Roman" w:eastAsia="SimHei" w:hAnsi="Times New Roman"/>
                  <w:lang w:val="en-US"/>
                </w:rPr>
                <w:t>dlc.socgen.com</w:t>
              </w:r>
            </w:hyperlink>
            <w:r w:rsidRPr="000D7A90">
              <w:rPr>
                <w:rFonts w:ascii="Times New Roman" w:hAnsi="Times New Roman"/>
                <w:sz w:val="20"/>
                <w:szCs w:val="20"/>
                <w:lang w:val="en-US"/>
              </w:rPr>
              <w:t>.</w:t>
            </w:r>
          </w:p>
        </w:tc>
      </w:tr>
      <w:tr w:rsidR="00EB2213" w:rsidRPr="000D7A90" w14:paraId="5676A32D" w14:textId="77777777" w:rsidTr="00BD65DE">
        <w:trPr>
          <w:cantSplit/>
          <w:jc w:val="center"/>
        </w:trPr>
        <w:tc>
          <w:tcPr>
            <w:tcW w:w="11027" w:type="dxa"/>
            <w:gridSpan w:val="5"/>
            <w:shd w:val="clear" w:color="auto" w:fill="C14020"/>
          </w:tcPr>
          <w:p w14:paraId="38134624" w14:textId="77777777" w:rsidR="00EB2213" w:rsidRPr="000D7A90" w:rsidRDefault="00EB2213" w:rsidP="00A44B0F">
            <w:pPr>
              <w:keepLines/>
              <w:spacing w:after="0" w:line="240" w:lineRule="auto"/>
              <w:jc w:val="center"/>
              <w:rPr>
                <w:rFonts w:ascii="Times New Roman" w:hAnsi="Times New Roman"/>
                <w:color w:val="FFFFFF"/>
                <w:sz w:val="20"/>
                <w:szCs w:val="20"/>
              </w:rPr>
            </w:pPr>
            <w:r w:rsidRPr="000D7A90">
              <w:rPr>
                <w:rFonts w:ascii="Times New Roman" w:hAnsi="Times New Roman"/>
                <w:b/>
                <w:color w:val="FFFFFF"/>
                <w:sz w:val="20"/>
                <w:szCs w:val="20"/>
              </w:rPr>
              <w:t>Calculation of the Cash Settlement Amount</w:t>
            </w:r>
          </w:p>
        </w:tc>
      </w:tr>
      <w:tr w:rsidR="00EB2213" w:rsidRPr="000D7A90" w14:paraId="35703E14" w14:textId="77777777" w:rsidTr="00EB2213">
        <w:trPr>
          <w:jc w:val="center"/>
        </w:trPr>
        <w:tc>
          <w:tcPr>
            <w:tcW w:w="11027" w:type="dxa"/>
            <w:gridSpan w:val="5"/>
            <w:shd w:val="clear" w:color="auto" w:fill="auto"/>
          </w:tcPr>
          <w:p w14:paraId="205ED5DC" w14:textId="77777777" w:rsidR="00EB2213" w:rsidRPr="000D7A90" w:rsidRDefault="00EB2213" w:rsidP="00EB2213">
            <w:pPr>
              <w:keepLines/>
              <w:spacing w:after="0" w:line="240" w:lineRule="auto"/>
              <w:rPr>
                <w:rFonts w:ascii="Times New Roman" w:hAnsi="Times New Roman"/>
                <w:sz w:val="20"/>
                <w:szCs w:val="20"/>
              </w:rPr>
            </w:pPr>
            <w:r w:rsidRPr="000D7A90">
              <w:rPr>
                <w:rFonts w:ascii="Times New Roman" w:hAnsi="Times New Roman"/>
                <w:sz w:val="20"/>
                <w:szCs w:val="20"/>
              </w:rPr>
              <w:t>In respect of each Certificate, shall be an amount (if positive) payable in the Settlement Currency equal to:</w:t>
            </w:r>
          </w:p>
          <w:p w14:paraId="713F0A99" w14:textId="77777777" w:rsidR="00EB2213" w:rsidRPr="000D7A90" w:rsidRDefault="00EB2213" w:rsidP="00EB2213">
            <w:pPr>
              <w:keepLines/>
              <w:spacing w:after="0" w:line="240" w:lineRule="auto"/>
              <w:rPr>
                <w:rFonts w:ascii="Times New Roman" w:hAnsi="Times New Roman"/>
                <w:sz w:val="20"/>
                <w:szCs w:val="20"/>
              </w:rPr>
            </w:pPr>
            <w:r w:rsidRPr="000D7A90">
              <w:rPr>
                <w:rFonts w:ascii="Times New Roman" w:hAnsi="Times New Roman"/>
                <w:sz w:val="20"/>
                <w:szCs w:val="20"/>
              </w:rPr>
              <w:t>the Notional Amount per Certificate times the Closing Level.</w:t>
            </w:r>
          </w:p>
          <w:p w14:paraId="1A8679D5" w14:textId="77777777" w:rsidR="00EB2213" w:rsidRPr="000D7A90" w:rsidRDefault="00EB2213">
            <w:pPr>
              <w:pStyle w:val="ListParagraph"/>
              <w:keepLines/>
              <w:tabs>
                <w:tab w:val="clear" w:pos="1440"/>
              </w:tabs>
              <w:ind w:hanging="475"/>
              <w:rPr>
                <w:rFonts w:ascii="Times New Roman" w:hAnsi="Times New Roman"/>
                <w:lang w:val="en-CA"/>
              </w:rPr>
            </w:pPr>
          </w:p>
          <w:p w14:paraId="33FCA9BC" w14:textId="77777777" w:rsidR="00EB2213" w:rsidRPr="000D7A90" w:rsidRDefault="004C7908">
            <w:pPr>
              <w:keepLines/>
              <w:spacing w:after="0" w:line="240" w:lineRule="auto"/>
              <w:jc w:val="both"/>
              <w:rPr>
                <w:rFonts w:ascii="Times New Roman" w:hAnsi="Times New Roman"/>
                <w:b/>
                <w:sz w:val="20"/>
                <w:szCs w:val="20"/>
              </w:rPr>
            </w:pPr>
            <w:r w:rsidRPr="000D7A90">
              <w:rPr>
                <w:rFonts w:ascii="Times New Roman" w:hAnsi="Times New Roman"/>
                <w:b/>
                <w:sz w:val="20"/>
                <w:szCs w:val="20"/>
              </w:rPr>
              <w:t>WHAT WOULD YOU GAIN OR LOSE IN DIFFERENT SITUATIONS?</w:t>
            </w:r>
          </w:p>
          <w:p w14:paraId="7F086477" w14:textId="77777777" w:rsidR="004C7908" w:rsidRPr="000D7A90" w:rsidRDefault="004C7908" w:rsidP="004C7908">
            <w:pPr>
              <w:keepLines/>
              <w:numPr>
                <w:ilvl w:val="0"/>
                <w:numId w:val="19"/>
              </w:numPr>
              <w:tabs>
                <w:tab w:val="clear" w:pos="360"/>
                <w:tab w:val="num" w:pos="239"/>
                <w:tab w:val="left" w:pos="9251"/>
                <w:tab w:val="left" w:pos="10080"/>
              </w:tabs>
              <w:spacing w:after="0" w:line="240" w:lineRule="auto"/>
              <w:ind w:left="700" w:hanging="641"/>
              <w:jc w:val="both"/>
              <w:rPr>
                <w:rFonts w:ascii="Times New Roman" w:hAnsi="Times New Roman"/>
                <w:b/>
                <w:bCs/>
                <w:sz w:val="20"/>
                <w:szCs w:val="20"/>
              </w:rPr>
            </w:pPr>
            <w:r w:rsidRPr="000D7A90">
              <w:rPr>
                <w:rFonts w:ascii="Times New Roman" w:hAnsi="Times New Roman"/>
                <w:b/>
                <w:bCs/>
                <w:sz w:val="20"/>
                <w:szCs w:val="20"/>
              </w:rPr>
              <w:t>Best case scenario:</w:t>
            </w:r>
          </w:p>
          <w:p w14:paraId="00031AE7" w14:textId="77777777" w:rsidR="004C7908" w:rsidRPr="000D7A90" w:rsidRDefault="004C7908" w:rsidP="004C7908">
            <w:pPr>
              <w:keepLines/>
              <w:spacing w:after="0" w:line="240" w:lineRule="auto"/>
              <w:jc w:val="both"/>
              <w:rPr>
                <w:rFonts w:ascii="Times New Roman" w:hAnsi="Times New Roman"/>
                <w:b/>
                <w:sz w:val="20"/>
              </w:rPr>
            </w:pPr>
            <w:r w:rsidRPr="000D7A90">
              <w:rPr>
                <w:rFonts w:ascii="Times New Roman" w:hAnsi="Times New Roman"/>
                <w:sz w:val="20"/>
                <w:szCs w:val="20"/>
              </w:rPr>
              <w:t xml:space="preserve">The </w:t>
            </w:r>
            <w:r w:rsidR="006D0344" w:rsidRPr="000D7A90">
              <w:rPr>
                <w:rFonts w:ascii="Times New Roman" w:hAnsi="Times New Roman"/>
                <w:sz w:val="20"/>
                <w:szCs w:val="20"/>
              </w:rPr>
              <w:t>price</w:t>
            </w:r>
            <w:r w:rsidRPr="000D7A90">
              <w:rPr>
                <w:rFonts w:ascii="Times New Roman" w:hAnsi="Times New Roman"/>
                <w:sz w:val="20"/>
                <w:szCs w:val="20"/>
              </w:rPr>
              <w:t xml:space="preserve"> of </w:t>
            </w:r>
            <w:r w:rsidR="0087167A" w:rsidRPr="000D7A90">
              <w:rPr>
                <w:rFonts w:ascii="Times New Roman" w:hAnsi="Times New Roman"/>
                <w:sz w:val="20"/>
                <w:szCs w:val="20"/>
              </w:rPr>
              <w:t xml:space="preserve">the </w:t>
            </w:r>
            <w:r w:rsidR="006D0344" w:rsidRPr="000D7A90">
              <w:rPr>
                <w:rFonts w:ascii="Times New Roman" w:hAnsi="Times New Roman"/>
                <w:sz w:val="20"/>
                <w:szCs w:val="20"/>
                <w:lang w:val="en-US"/>
              </w:rPr>
              <w:t xml:space="preserve">Underlying Stock </w:t>
            </w:r>
            <w:r w:rsidRPr="000D7A90">
              <w:rPr>
                <w:rFonts w:ascii="Times New Roman" w:hAnsi="Times New Roman"/>
                <w:sz w:val="20"/>
                <w:szCs w:val="20"/>
              </w:rPr>
              <w:t xml:space="preserve">falls substantially resulting in a significant increase in the price of the Certificates. You would then sell the Certificates and realise a profit. The DMM is required to provide liquidity in the Certificates to ensure that there will generally be a market price available for the purchase and sale of the Certificates.  </w:t>
            </w:r>
          </w:p>
          <w:p w14:paraId="122BB22A" w14:textId="77777777" w:rsidR="004C7908" w:rsidRPr="000D7A90" w:rsidRDefault="004C7908" w:rsidP="004C7908">
            <w:pPr>
              <w:keepLines/>
              <w:numPr>
                <w:ilvl w:val="0"/>
                <w:numId w:val="19"/>
              </w:numPr>
              <w:tabs>
                <w:tab w:val="clear" w:pos="360"/>
                <w:tab w:val="num" w:pos="239"/>
                <w:tab w:val="left" w:pos="9251"/>
                <w:tab w:val="left" w:pos="10080"/>
              </w:tabs>
              <w:spacing w:after="0" w:line="240" w:lineRule="auto"/>
              <w:ind w:left="700" w:hanging="641"/>
              <w:jc w:val="both"/>
              <w:rPr>
                <w:rFonts w:ascii="Times New Roman" w:hAnsi="Times New Roman"/>
                <w:b/>
                <w:bCs/>
                <w:sz w:val="20"/>
                <w:szCs w:val="20"/>
              </w:rPr>
            </w:pPr>
            <w:r w:rsidRPr="000D7A90">
              <w:rPr>
                <w:rFonts w:ascii="Times New Roman" w:hAnsi="Times New Roman"/>
                <w:b/>
                <w:bCs/>
                <w:sz w:val="20"/>
                <w:szCs w:val="20"/>
              </w:rPr>
              <w:t>Worst case scenario:</w:t>
            </w:r>
          </w:p>
          <w:p w14:paraId="315EA91C" w14:textId="77777777" w:rsidR="004C7908" w:rsidRPr="000D7A90" w:rsidRDefault="004C7908" w:rsidP="004C7908">
            <w:pPr>
              <w:keepLines/>
              <w:spacing w:after="0" w:line="240" w:lineRule="auto"/>
              <w:jc w:val="both"/>
              <w:rPr>
                <w:rFonts w:ascii="Times New Roman" w:hAnsi="Times New Roman"/>
                <w:sz w:val="20"/>
                <w:szCs w:val="20"/>
              </w:rPr>
            </w:pPr>
            <w:r w:rsidRPr="000D7A90">
              <w:rPr>
                <w:rFonts w:ascii="Times New Roman" w:hAnsi="Times New Roman"/>
                <w:sz w:val="20"/>
                <w:szCs w:val="20"/>
              </w:rPr>
              <w:t xml:space="preserve">If you buy the Certificates and the </w:t>
            </w:r>
            <w:r w:rsidR="006D0344" w:rsidRPr="000D7A90">
              <w:rPr>
                <w:rFonts w:ascii="Times New Roman" w:hAnsi="Times New Roman"/>
                <w:sz w:val="20"/>
                <w:szCs w:val="20"/>
              </w:rPr>
              <w:t>price</w:t>
            </w:r>
            <w:r w:rsidRPr="000D7A90">
              <w:rPr>
                <w:rFonts w:ascii="Times New Roman" w:hAnsi="Times New Roman"/>
                <w:sz w:val="20"/>
                <w:szCs w:val="20"/>
              </w:rPr>
              <w:t xml:space="preserve"> of </w:t>
            </w:r>
            <w:r w:rsidR="0087167A" w:rsidRPr="000D7A90">
              <w:rPr>
                <w:rFonts w:ascii="Times New Roman" w:hAnsi="Times New Roman"/>
                <w:sz w:val="20"/>
                <w:szCs w:val="20"/>
              </w:rPr>
              <w:t xml:space="preserve">the </w:t>
            </w:r>
            <w:r w:rsidR="006D0344" w:rsidRPr="000D7A90">
              <w:rPr>
                <w:rFonts w:ascii="Times New Roman" w:hAnsi="Times New Roman"/>
                <w:sz w:val="20"/>
                <w:szCs w:val="20"/>
                <w:lang w:val="en-US"/>
              </w:rPr>
              <w:t xml:space="preserve">Underlying Stock </w:t>
            </w:r>
            <w:r w:rsidRPr="000D7A90">
              <w:rPr>
                <w:rFonts w:ascii="Times New Roman" w:hAnsi="Times New Roman"/>
                <w:sz w:val="20"/>
                <w:szCs w:val="20"/>
              </w:rPr>
              <w:t xml:space="preserve">increases sharply, the value of the Certificates will decrease by a multiple of the </w:t>
            </w:r>
            <w:proofErr w:type="gramStart"/>
            <w:r w:rsidRPr="000D7A90">
              <w:rPr>
                <w:rFonts w:ascii="Times New Roman" w:hAnsi="Times New Roman"/>
                <w:sz w:val="20"/>
                <w:szCs w:val="20"/>
              </w:rPr>
              <w:t>aforementioned increase</w:t>
            </w:r>
            <w:proofErr w:type="gramEnd"/>
            <w:r w:rsidRPr="000D7A90">
              <w:rPr>
                <w:rFonts w:ascii="Times New Roman" w:hAnsi="Times New Roman"/>
                <w:sz w:val="20"/>
                <w:szCs w:val="20"/>
              </w:rPr>
              <w:t xml:space="preserve"> in the </w:t>
            </w:r>
            <w:r w:rsidR="006D0344" w:rsidRPr="000D7A90">
              <w:rPr>
                <w:rFonts w:ascii="Times New Roman" w:hAnsi="Times New Roman"/>
                <w:sz w:val="20"/>
                <w:szCs w:val="20"/>
              </w:rPr>
              <w:t>price</w:t>
            </w:r>
            <w:r w:rsidRPr="000D7A90">
              <w:rPr>
                <w:rFonts w:ascii="Times New Roman" w:hAnsi="Times New Roman"/>
                <w:sz w:val="20"/>
                <w:szCs w:val="20"/>
              </w:rPr>
              <w:t xml:space="preserve"> of the </w:t>
            </w:r>
            <w:r w:rsidR="006D0344" w:rsidRPr="000D7A90">
              <w:rPr>
                <w:rFonts w:ascii="Times New Roman" w:hAnsi="Times New Roman"/>
                <w:sz w:val="20"/>
                <w:szCs w:val="20"/>
                <w:lang w:val="en-US"/>
              </w:rPr>
              <w:t>Underlying Stock</w:t>
            </w:r>
            <w:r w:rsidRPr="000D7A90">
              <w:rPr>
                <w:rFonts w:ascii="Times New Roman" w:hAnsi="Times New Roman"/>
                <w:sz w:val="20"/>
                <w:szCs w:val="20"/>
              </w:rPr>
              <w:t>, and you may lose your entire investment.</w:t>
            </w:r>
          </w:p>
          <w:p w14:paraId="178A7326" w14:textId="77777777" w:rsidR="004C7908" w:rsidRPr="000D7A90" w:rsidRDefault="004C7908" w:rsidP="005D1174">
            <w:pPr>
              <w:keepLines/>
              <w:spacing w:after="0" w:line="240" w:lineRule="auto"/>
              <w:jc w:val="both"/>
              <w:rPr>
                <w:rFonts w:ascii="Times New Roman" w:hAnsi="Times New Roman"/>
                <w:sz w:val="20"/>
                <w:szCs w:val="20"/>
              </w:rPr>
            </w:pPr>
            <w:r w:rsidRPr="000D7A90">
              <w:rPr>
                <w:rFonts w:ascii="Times New Roman" w:hAnsi="Times New Roman"/>
                <w:sz w:val="20"/>
                <w:szCs w:val="20"/>
              </w:rPr>
              <w:t>Please refer to Appendix II below for an illustration on how returns and losses can occur under different scenarios.</w:t>
            </w:r>
          </w:p>
        </w:tc>
      </w:tr>
      <w:tr w:rsidR="00EB2213" w:rsidRPr="000D7A90" w14:paraId="5BA3B666" w14:textId="77777777" w:rsidTr="00A44B0F">
        <w:trPr>
          <w:jc w:val="center"/>
        </w:trPr>
        <w:tc>
          <w:tcPr>
            <w:tcW w:w="11027" w:type="dxa"/>
            <w:gridSpan w:val="5"/>
            <w:tcBorders>
              <w:bottom w:val="single" w:sz="4" w:space="0" w:color="auto"/>
            </w:tcBorders>
            <w:shd w:val="solid" w:color="auto" w:fill="auto"/>
          </w:tcPr>
          <w:p w14:paraId="2E0A491D" w14:textId="77777777" w:rsidR="00EB2213" w:rsidRPr="000D7A90" w:rsidRDefault="00EB2213" w:rsidP="00A44B0F">
            <w:pPr>
              <w:keepLines/>
              <w:spacing w:after="0" w:line="240" w:lineRule="auto"/>
              <w:jc w:val="center"/>
              <w:rPr>
                <w:rFonts w:ascii="Times New Roman" w:hAnsi="Times New Roman"/>
                <w:b/>
                <w:sz w:val="20"/>
                <w:szCs w:val="20"/>
              </w:rPr>
            </w:pPr>
            <w:r w:rsidRPr="000D7A90">
              <w:rPr>
                <w:rFonts w:ascii="Times New Roman" w:hAnsi="Times New Roman"/>
                <w:b/>
                <w:sz w:val="20"/>
                <w:szCs w:val="20"/>
              </w:rPr>
              <w:t>E.  KEY RISKS</w:t>
            </w:r>
          </w:p>
        </w:tc>
      </w:tr>
      <w:tr w:rsidR="00EB2213" w:rsidRPr="000D7A90" w14:paraId="25E24C65" w14:textId="77777777" w:rsidTr="00E71E74">
        <w:trPr>
          <w:jc w:val="center"/>
        </w:trPr>
        <w:tc>
          <w:tcPr>
            <w:tcW w:w="9033" w:type="dxa"/>
            <w:gridSpan w:val="4"/>
            <w:tcBorders>
              <w:bottom w:val="single" w:sz="4" w:space="0" w:color="auto"/>
            </w:tcBorders>
            <w:shd w:val="clear" w:color="auto" w:fill="auto"/>
          </w:tcPr>
          <w:p w14:paraId="3299513B"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 xml:space="preserve">WHAT ARE THE KEY RISKS OF THIS INVESTMENT? </w:t>
            </w:r>
          </w:p>
          <w:p w14:paraId="3ECE06AC" w14:textId="77777777" w:rsidR="00EB2213" w:rsidRPr="000D7A90" w:rsidRDefault="00EB2213" w:rsidP="00A44B0F">
            <w:pPr>
              <w:numPr>
                <w:ilvl w:val="0"/>
                <w:numId w:val="17"/>
              </w:numPr>
              <w:spacing w:after="0" w:line="240" w:lineRule="auto"/>
              <w:jc w:val="both"/>
              <w:rPr>
                <w:rFonts w:ascii="Times New Roman" w:hAnsi="Times New Roman"/>
                <w:sz w:val="20"/>
                <w:szCs w:val="20"/>
              </w:rPr>
            </w:pPr>
            <w:r w:rsidRPr="000D7A90">
              <w:rPr>
                <w:rFonts w:ascii="Times New Roman" w:hAnsi="Times New Roman"/>
                <w:sz w:val="20"/>
                <w:szCs w:val="20"/>
              </w:rPr>
              <w:t xml:space="preserve">Investment in the Certificates involves substantial risks including market risk, liquidity risk and the risk that the Issuer and/or the Guarantor will be unable to satisfy its/their obligations under the Certificates. Investors should ensure that they understand the nature of all these risks before </w:t>
            </w:r>
            <w:proofErr w:type="gramStart"/>
            <w:r w:rsidRPr="000D7A90">
              <w:rPr>
                <w:rFonts w:ascii="Times New Roman" w:hAnsi="Times New Roman"/>
                <w:sz w:val="20"/>
                <w:szCs w:val="20"/>
              </w:rPr>
              <w:t>making a decision</w:t>
            </w:r>
            <w:proofErr w:type="gramEnd"/>
            <w:r w:rsidRPr="000D7A90">
              <w:rPr>
                <w:rFonts w:ascii="Times New Roman" w:hAnsi="Times New Roman"/>
                <w:sz w:val="20"/>
                <w:szCs w:val="20"/>
              </w:rPr>
              <w:t xml:space="preserve"> to invest in the Certificates. </w:t>
            </w:r>
          </w:p>
          <w:p w14:paraId="00E2BDD8"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PLEASE REFER TO THE LISTING DOCUMENTS FOR A COMPLETE LIST OF RISKS</w:t>
            </w:r>
          </w:p>
          <w:p w14:paraId="1599B447" w14:textId="77777777" w:rsidR="00EB2213" w:rsidRPr="000D7A90" w:rsidRDefault="00EB2213" w:rsidP="00A44B0F">
            <w:pPr>
              <w:numPr>
                <w:ilvl w:val="0"/>
                <w:numId w:val="17"/>
              </w:numPr>
              <w:spacing w:after="0" w:line="240" w:lineRule="auto"/>
              <w:jc w:val="both"/>
              <w:rPr>
                <w:rFonts w:ascii="Times New Roman" w:hAnsi="Times New Roman"/>
                <w:sz w:val="20"/>
                <w:szCs w:val="20"/>
              </w:rPr>
            </w:pPr>
            <w:r w:rsidRPr="000D7A90">
              <w:rPr>
                <w:rFonts w:ascii="Times New Roman" w:hAnsi="Times New Roman"/>
                <w:sz w:val="20"/>
                <w:szCs w:val="20"/>
              </w:rPr>
              <w:t>The Risk Factors below are a summary of the Risk Factors set out in the Base Listing Document and the Supplemental Listing Document.</w:t>
            </w:r>
          </w:p>
        </w:tc>
        <w:tc>
          <w:tcPr>
            <w:tcW w:w="1994" w:type="dxa"/>
            <w:tcBorders>
              <w:bottom w:val="single" w:sz="4" w:space="0" w:color="auto"/>
            </w:tcBorders>
            <w:shd w:val="clear" w:color="auto" w:fill="auto"/>
          </w:tcPr>
          <w:p w14:paraId="44A5D319" w14:textId="77777777" w:rsidR="00EB2213" w:rsidRPr="000D7A90" w:rsidRDefault="00EB2213" w:rsidP="00A44B0F">
            <w:pPr>
              <w:keepLines/>
              <w:spacing w:after="0" w:line="240" w:lineRule="auto"/>
              <w:jc w:val="both"/>
              <w:rPr>
                <w:rFonts w:ascii="Times New Roman" w:hAnsi="Times New Roman"/>
                <w:b/>
                <w:sz w:val="20"/>
                <w:szCs w:val="20"/>
              </w:rPr>
            </w:pPr>
            <w:r w:rsidRPr="000D7A90">
              <w:rPr>
                <w:rFonts w:ascii="Times New Roman" w:hAnsi="Times New Roman"/>
                <w:b/>
                <w:sz w:val="20"/>
                <w:szCs w:val="20"/>
              </w:rPr>
              <w:t>Further Information</w:t>
            </w:r>
          </w:p>
          <w:p w14:paraId="28A03A1E" w14:textId="77777777" w:rsidR="00EB2213" w:rsidRPr="000D7A90" w:rsidRDefault="00EB2213" w:rsidP="00A44B0F">
            <w:pPr>
              <w:keepLines/>
              <w:spacing w:after="0" w:line="240" w:lineRule="auto"/>
              <w:jc w:val="both"/>
              <w:rPr>
                <w:rFonts w:ascii="Times New Roman" w:hAnsi="Times New Roman"/>
                <w:color w:val="0000FF"/>
                <w:sz w:val="20"/>
                <w:szCs w:val="20"/>
              </w:rPr>
            </w:pPr>
            <w:r w:rsidRPr="000D7A90">
              <w:rPr>
                <w:rFonts w:ascii="Times New Roman" w:hAnsi="Times New Roman"/>
                <w:sz w:val="20"/>
                <w:szCs w:val="20"/>
                <w:lang w:val="en-US"/>
              </w:rPr>
              <w:t>Please refer to the “Risk Factors” section set out in the Base Listing Document and in the Supplemental Listing Document for a complete list of risks and details of the risks.</w:t>
            </w:r>
          </w:p>
        </w:tc>
      </w:tr>
      <w:tr w:rsidR="00EB2213" w:rsidRPr="000D7A90" w14:paraId="1C055E8D" w14:textId="77777777" w:rsidTr="00BD65DE">
        <w:trPr>
          <w:jc w:val="center"/>
        </w:trPr>
        <w:tc>
          <w:tcPr>
            <w:tcW w:w="11027" w:type="dxa"/>
            <w:gridSpan w:val="5"/>
            <w:shd w:val="clear" w:color="auto" w:fill="C14020"/>
          </w:tcPr>
          <w:p w14:paraId="75997AB5" w14:textId="77777777" w:rsidR="00EB2213" w:rsidRPr="000D7A90" w:rsidRDefault="00EB2213" w:rsidP="00A44B0F">
            <w:pPr>
              <w:keepLines/>
              <w:spacing w:after="0" w:line="240" w:lineRule="auto"/>
              <w:jc w:val="center"/>
              <w:rPr>
                <w:rFonts w:ascii="Times New Roman" w:hAnsi="Times New Roman"/>
                <w:b/>
                <w:color w:val="FFFFFF"/>
                <w:sz w:val="20"/>
                <w:szCs w:val="20"/>
              </w:rPr>
            </w:pPr>
            <w:r w:rsidRPr="000D7A90">
              <w:rPr>
                <w:rFonts w:ascii="Times New Roman" w:hAnsi="Times New Roman"/>
                <w:b/>
                <w:color w:val="FFFFFF"/>
                <w:sz w:val="20"/>
                <w:szCs w:val="20"/>
              </w:rPr>
              <w:t>Market Risks</w:t>
            </w:r>
          </w:p>
        </w:tc>
      </w:tr>
      <w:tr w:rsidR="007A79B5" w:rsidRPr="000D7A90" w14:paraId="3826B00E" w14:textId="77777777" w:rsidTr="00260E9F">
        <w:trPr>
          <w:jc w:val="center"/>
        </w:trPr>
        <w:tc>
          <w:tcPr>
            <w:tcW w:w="11027" w:type="dxa"/>
            <w:gridSpan w:val="5"/>
            <w:tcBorders>
              <w:bottom w:val="single" w:sz="4" w:space="0" w:color="auto"/>
            </w:tcBorders>
            <w:shd w:val="clear" w:color="auto" w:fill="auto"/>
          </w:tcPr>
          <w:p w14:paraId="1509172D" w14:textId="77777777" w:rsidR="007A79B5" w:rsidRPr="000D7A90" w:rsidRDefault="007A79B5" w:rsidP="00A44B0F">
            <w:pPr>
              <w:numPr>
                <w:ilvl w:val="0"/>
                <w:numId w:val="9"/>
              </w:numPr>
              <w:spacing w:after="0" w:line="240" w:lineRule="auto"/>
              <w:jc w:val="both"/>
              <w:rPr>
                <w:rFonts w:ascii="Times New Roman" w:hAnsi="Times New Roman"/>
                <w:b/>
                <w:sz w:val="20"/>
                <w:szCs w:val="20"/>
              </w:rPr>
            </w:pPr>
            <w:r w:rsidRPr="000D7A90">
              <w:rPr>
                <w:rFonts w:ascii="Times New Roman" w:hAnsi="Times New Roman"/>
                <w:b/>
                <w:sz w:val="20"/>
                <w:szCs w:val="20"/>
              </w:rPr>
              <w:t>Market price of the Certificates may be affected by many factors</w:t>
            </w:r>
          </w:p>
          <w:p w14:paraId="18CAC58F" w14:textId="77777777" w:rsidR="007A79B5" w:rsidRPr="000D7A90" w:rsidRDefault="007A79B5" w:rsidP="00A44B0F">
            <w:pPr>
              <w:spacing w:after="0" w:line="240" w:lineRule="auto"/>
              <w:ind w:left="360"/>
              <w:jc w:val="both"/>
              <w:rPr>
                <w:rFonts w:ascii="Times New Roman" w:hAnsi="Times New Roman"/>
                <w:sz w:val="20"/>
                <w:szCs w:val="20"/>
              </w:rPr>
            </w:pPr>
            <w:r w:rsidRPr="000D7A90">
              <w:rPr>
                <w:rFonts w:ascii="Times New Roman" w:hAnsi="Times New Roman"/>
                <w:sz w:val="20"/>
                <w:szCs w:val="20"/>
              </w:rPr>
              <w:t xml:space="preserve">Due to their nature, Certificates can be volatile instruments and may be subject to considerable fluctuations in value due to, including but not limited to, variations in the frequency and magnitude of the changes in the </w:t>
            </w:r>
            <w:r w:rsidR="00D84541" w:rsidRPr="000D7A90">
              <w:rPr>
                <w:rFonts w:ascii="Times New Roman" w:hAnsi="Times New Roman"/>
                <w:sz w:val="20"/>
                <w:szCs w:val="20"/>
              </w:rPr>
              <w:t>price</w:t>
            </w:r>
            <w:r w:rsidRPr="000D7A90">
              <w:rPr>
                <w:rFonts w:ascii="Times New Roman" w:hAnsi="Times New Roman"/>
                <w:sz w:val="20"/>
                <w:szCs w:val="20"/>
              </w:rPr>
              <w:t xml:space="preserve"> of the </w:t>
            </w:r>
            <w:r w:rsidR="00D84541" w:rsidRPr="000D7A90">
              <w:rPr>
                <w:rFonts w:ascii="Times New Roman" w:hAnsi="Times New Roman"/>
                <w:sz w:val="20"/>
                <w:szCs w:val="20"/>
                <w:lang w:val="en-US"/>
              </w:rPr>
              <w:t>Underlying Stock</w:t>
            </w:r>
            <w:r w:rsidRPr="000D7A90">
              <w:rPr>
                <w:rFonts w:ascii="Times New Roman" w:hAnsi="Times New Roman"/>
                <w:sz w:val="20"/>
                <w:szCs w:val="20"/>
              </w:rPr>
              <w:t>, the time remaining to expiry, the currency exchange rates and the creditworthiness of the Issuer and the Guarantor.</w:t>
            </w:r>
          </w:p>
          <w:p w14:paraId="3609B8DF" w14:textId="77777777" w:rsidR="007A79B5" w:rsidRPr="000D7A90" w:rsidRDefault="007A79B5" w:rsidP="00A44B0F">
            <w:pPr>
              <w:numPr>
                <w:ilvl w:val="0"/>
                <w:numId w:val="9"/>
              </w:numPr>
              <w:spacing w:after="0" w:line="240" w:lineRule="auto"/>
              <w:jc w:val="both"/>
              <w:rPr>
                <w:rFonts w:ascii="Times New Roman" w:hAnsi="Times New Roman"/>
                <w:b/>
                <w:sz w:val="20"/>
                <w:szCs w:val="20"/>
              </w:rPr>
            </w:pPr>
            <w:r w:rsidRPr="000D7A90">
              <w:rPr>
                <w:rFonts w:ascii="Times New Roman" w:hAnsi="Times New Roman"/>
                <w:b/>
                <w:sz w:val="20"/>
                <w:szCs w:val="20"/>
              </w:rPr>
              <w:t>You may lose your entire investment</w:t>
            </w:r>
          </w:p>
          <w:p w14:paraId="2E060626" w14:textId="77777777" w:rsidR="007A79B5" w:rsidRPr="000D7A90" w:rsidRDefault="00D84541" w:rsidP="00846756">
            <w:pPr>
              <w:spacing w:after="0" w:line="240" w:lineRule="auto"/>
              <w:ind w:left="360"/>
              <w:jc w:val="both"/>
              <w:rPr>
                <w:rFonts w:ascii="Times New Roman" w:hAnsi="Times New Roman"/>
                <w:b/>
                <w:sz w:val="20"/>
                <w:szCs w:val="20"/>
              </w:rPr>
            </w:pPr>
            <w:r w:rsidRPr="000D7A90">
              <w:rPr>
                <w:rFonts w:ascii="Times New Roman" w:hAnsi="Times New Roman"/>
                <w:sz w:val="20"/>
                <w:szCs w:val="20"/>
              </w:rPr>
              <w:t xml:space="preserve">Certain events relating to the Underlying Stock or the Company may cause adverse movements in the value and the price of the Underlying Stock, as a result of which, you may, in extreme circumstances, sustain a significant loss of your investment if the price of the Underlying Stock </w:t>
            </w:r>
            <w:r w:rsidR="007A79B5" w:rsidRPr="000D7A90">
              <w:rPr>
                <w:rFonts w:ascii="Times New Roman" w:hAnsi="Times New Roman"/>
                <w:sz w:val="20"/>
                <w:szCs w:val="20"/>
              </w:rPr>
              <w:t xml:space="preserve">has </w:t>
            </w:r>
            <w:r w:rsidR="004C7908" w:rsidRPr="000D7A90">
              <w:rPr>
                <w:rFonts w:ascii="Times New Roman" w:hAnsi="Times New Roman"/>
                <w:sz w:val="20"/>
                <w:szCs w:val="20"/>
              </w:rPr>
              <w:t>risen</w:t>
            </w:r>
            <w:r w:rsidR="00F11963">
              <w:rPr>
                <w:rFonts w:ascii="Times New Roman" w:hAnsi="Times New Roman"/>
                <w:sz w:val="20"/>
                <w:szCs w:val="20"/>
              </w:rPr>
              <w:t xml:space="preserve"> </w:t>
            </w:r>
            <w:r w:rsidR="007A79B5" w:rsidRPr="000D7A90">
              <w:rPr>
                <w:rFonts w:ascii="Times New Roman" w:hAnsi="Times New Roman"/>
                <w:sz w:val="20"/>
                <w:szCs w:val="20"/>
              </w:rPr>
              <w:t>sharply on the Expiry Date.</w:t>
            </w:r>
          </w:p>
        </w:tc>
      </w:tr>
      <w:tr w:rsidR="00EB2213" w:rsidRPr="000D7A90" w14:paraId="1B312E6C" w14:textId="77777777" w:rsidTr="00311400">
        <w:trPr>
          <w:jc w:val="center"/>
        </w:trPr>
        <w:tc>
          <w:tcPr>
            <w:tcW w:w="11027" w:type="dxa"/>
            <w:gridSpan w:val="5"/>
            <w:shd w:val="clear" w:color="auto" w:fill="C14020"/>
          </w:tcPr>
          <w:p w14:paraId="3F3CD12B" w14:textId="77777777" w:rsidR="00EB2213" w:rsidRPr="000D7A90" w:rsidRDefault="00EB2213">
            <w:pPr>
              <w:keepNext/>
              <w:shd w:val="clear" w:color="auto" w:fill="C14020"/>
              <w:spacing w:after="0" w:line="240" w:lineRule="auto"/>
              <w:jc w:val="center"/>
              <w:rPr>
                <w:rFonts w:ascii="Times New Roman" w:hAnsi="Times New Roman"/>
                <w:b/>
                <w:color w:val="FFFFFF"/>
                <w:sz w:val="20"/>
                <w:szCs w:val="20"/>
              </w:rPr>
            </w:pPr>
            <w:r w:rsidRPr="000D7A90">
              <w:rPr>
                <w:rFonts w:ascii="Times New Roman" w:hAnsi="Times New Roman"/>
                <w:b/>
                <w:color w:val="FFFFFF"/>
                <w:sz w:val="20"/>
                <w:szCs w:val="20"/>
              </w:rPr>
              <w:t>Liquidity Risks</w:t>
            </w:r>
          </w:p>
        </w:tc>
      </w:tr>
      <w:tr w:rsidR="007A79B5" w:rsidRPr="000D7A90" w14:paraId="298F8ABC" w14:textId="77777777" w:rsidTr="00260E9F">
        <w:trPr>
          <w:jc w:val="center"/>
        </w:trPr>
        <w:tc>
          <w:tcPr>
            <w:tcW w:w="11027" w:type="dxa"/>
            <w:gridSpan w:val="5"/>
            <w:tcBorders>
              <w:bottom w:val="single" w:sz="4" w:space="0" w:color="auto"/>
            </w:tcBorders>
            <w:shd w:val="clear" w:color="auto" w:fill="auto"/>
          </w:tcPr>
          <w:p w14:paraId="48CEA9DE" w14:textId="77777777" w:rsidR="007A79B5" w:rsidRPr="000D7A90" w:rsidRDefault="007A79B5" w:rsidP="00A44B0F">
            <w:pPr>
              <w:keepNext/>
              <w:numPr>
                <w:ilvl w:val="0"/>
                <w:numId w:val="9"/>
              </w:numPr>
              <w:spacing w:after="0" w:line="240" w:lineRule="auto"/>
              <w:jc w:val="both"/>
              <w:rPr>
                <w:rFonts w:ascii="Times New Roman" w:hAnsi="Times New Roman"/>
                <w:b/>
                <w:sz w:val="20"/>
                <w:szCs w:val="20"/>
              </w:rPr>
            </w:pPr>
            <w:r w:rsidRPr="000D7A90">
              <w:rPr>
                <w:rFonts w:ascii="Times New Roman" w:hAnsi="Times New Roman"/>
                <w:b/>
                <w:sz w:val="20"/>
                <w:szCs w:val="20"/>
              </w:rPr>
              <w:t>The secondary market may be illiquid</w:t>
            </w:r>
          </w:p>
          <w:p w14:paraId="3B57922D" w14:textId="77777777" w:rsidR="007A79B5" w:rsidRPr="000D7A90" w:rsidRDefault="007A79B5" w:rsidP="00846756">
            <w:pPr>
              <w:spacing w:after="0" w:line="240" w:lineRule="auto"/>
              <w:ind w:left="360"/>
              <w:jc w:val="both"/>
              <w:rPr>
                <w:rFonts w:ascii="Times New Roman" w:hAnsi="Times New Roman"/>
                <w:b/>
                <w:sz w:val="20"/>
                <w:szCs w:val="20"/>
              </w:rPr>
            </w:pPr>
            <w:r w:rsidRPr="000D7A90">
              <w:rPr>
                <w:rFonts w:ascii="Times New Roman" w:hAnsi="Times New Roman"/>
                <w:sz w:val="20"/>
                <w:szCs w:val="20"/>
              </w:rPr>
              <w:t>The Issuer acting through its DMM may be the only market participant buying and selling the Certificates. Therefore, the secondary market for the Certificates may be limited and you may not be able to realise the value of the Certificates. Do note that the bid-ask spread increases with illiquidity.</w:t>
            </w:r>
          </w:p>
        </w:tc>
      </w:tr>
      <w:tr w:rsidR="00EB2213" w:rsidRPr="000D7A90" w14:paraId="2010DCC9" w14:textId="77777777" w:rsidTr="003C2303">
        <w:trPr>
          <w:jc w:val="center"/>
        </w:trPr>
        <w:tc>
          <w:tcPr>
            <w:tcW w:w="11027" w:type="dxa"/>
            <w:gridSpan w:val="5"/>
            <w:shd w:val="clear" w:color="auto" w:fill="C14020"/>
          </w:tcPr>
          <w:p w14:paraId="02CA2598" w14:textId="77777777" w:rsidR="00EB2213" w:rsidRPr="000D7A90" w:rsidRDefault="00EB2213" w:rsidP="00A44B0F">
            <w:pPr>
              <w:keepLines/>
              <w:spacing w:after="0" w:line="240" w:lineRule="auto"/>
              <w:jc w:val="center"/>
              <w:rPr>
                <w:rFonts w:ascii="Times New Roman" w:hAnsi="Times New Roman"/>
                <w:b/>
                <w:color w:val="FFFFFF"/>
                <w:sz w:val="20"/>
                <w:szCs w:val="20"/>
              </w:rPr>
            </w:pPr>
            <w:r w:rsidRPr="000D7A90">
              <w:rPr>
                <w:rFonts w:ascii="Times New Roman" w:hAnsi="Times New Roman"/>
                <w:b/>
                <w:color w:val="FFFFFF"/>
                <w:sz w:val="20"/>
                <w:szCs w:val="20"/>
              </w:rPr>
              <w:t>Product Specific Risks</w:t>
            </w:r>
          </w:p>
        </w:tc>
      </w:tr>
      <w:tr w:rsidR="007A79B5" w:rsidRPr="000D7A90" w14:paraId="40DEC2AF" w14:textId="77777777" w:rsidTr="00C667AE">
        <w:trPr>
          <w:jc w:val="center"/>
        </w:trPr>
        <w:tc>
          <w:tcPr>
            <w:tcW w:w="11027" w:type="dxa"/>
            <w:gridSpan w:val="5"/>
            <w:tcBorders>
              <w:bottom w:val="single" w:sz="4" w:space="0" w:color="auto"/>
            </w:tcBorders>
            <w:shd w:val="clear" w:color="auto" w:fill="auto"/>
          </w:tcPr>
          <w:p w14:paraId="41F2D713" w14:textId="77777777" w:rsidR="007A79B5" w:rsidRPr="000D7A90" w:rsidRDefault="007A79B5" w:rsidP="00DE1BFC">
            <w:pPr>
              <w:keepLines/>
              <w:numPr>
                <w:ilvl w:val="0"/>
                <w:numId w:val="9"/>
              </w:numPr>
              <w:spacing w:after="0" w:line="240" w:lineRule="auto"/>
              <w:rPr>
                <w:rFonts w:ascii="Times New Roman" w:hAnsi="Times New Roman"/>
                <w:b/>
                <w:sz w:val="20"/>
                <w:szCs w:val="20"/>
              </w:rPr>
            </w:pPr>
            <w:r w:rsidRPr="000D7A90">
              <w:rPr>
                <w:rFonts w:ascii="Times New Roman" w:hAnsi="Times New Roman"/>
                <w:b/>
                <w:sz w:val="20"/>
                <w:szCs w:val="20"/>
              </w:rPr>
              <w:t>Certificates only exercisable on the Expiry Date</w:t>
            </w:r>
          </w:p>
          <w:p w14:paraId="1C31CC65" w14:textId="77777777" w:rsidR="007A79B5" w:rsidRPr="000D7A90" w:rsidRDefault="007A79B5" w:rsidP="00DE1BFC">
            <w:pPr>
              <w:keepLines/>
              <w:spacing w:after="0" w:line="240" w:lineRule="auto"/>
              <w:ind w:left="360"/>
              <w:rPr>
                <w:rFonts w:ascii="Times New Roman" w:hAnsi="Times New Roman"/>
                <w:sz w:val="20"/>
                <w:szCs w:val="20"/>
              </w:rPr>
            </w:pPr>
            <w:r w:rsidRPr="000D7A90">
              <w:rPr>
                <w:rFonts w:ascii="Times New Roman" w:hAnsi="Times New Roman"/>
                <w:sz w:val="20"/>
                <w:szCs w:val="20"/>
              </w:rPr>
              <w:lastRenderedPageBreak/>
              <w:t xml:space="preserve">The Certificates are only exercisable on the Expiry </w:t>
            </w:r>
            <w:proofErr w:type="gramStart"/>
            <w:r w:rsidRPr="000D7A90">
              <w:rPr>
                <w:rFonts w:ascii="Times New Roman" w:hAnsi="Times New Roman"/>
                <w:sz w:val="20"/>
                <w:szCs w:val="20"/>
              </w:rPr>
              <w:t>Date</w:t>
            </w:r>
            <w:proofErr w:type="gramEnd"/>
            <w:r w:rsidRPr="000D7A90">
              <w:rPr>
                <w:rFonts w:ascii="Times New Roman" w:hAnsi="Times New Roman"/>
                <w:sz w:val="20"/>
                <w:szCs w:val="20"/>
              </w:rPr>
              <w:t xml:space="preserve"> and you may not exercise the Certificates prior to such date. Accordingly, if on the Expiry Date the Cash Settlement Amount is zero or close to zero, you will lose your entire investment in the Certificates.</w:t>
            </w:r>
          </w:p>
          <w:p w14:paraId="3D7B0606" w14:textId="77777777" w:rsidR="007A79B5" w:rsidRPr="000D7A90" w:rsidRDefault="007A79B5" w:rsidP="00DE1BFC">
            <w:pPr>
              <w:keepLines/>
              <w:numPr>
                <w:ilvl w:val="0"/>
                <w:numId w:val="9"/>
              </w:numPr>
              <w:spacing w:after="0" w:line="240" w:lineRule="auto"/>
              <w:rPr>
                <w:rFonts w:ascii="Times New Roman" w:hAnsi="Times New Roman"/>
                <w:sz w:val="20"/>
                <w:szCs w:val="20"/>
              </w:rPr>
            </w:pPr>
            <w:r w:rsidRPr="000D7A90">
              <w:rPr>
                <w:rFonts w:ascii="Times New Roman" w:hAnsi="Times New Roman"/>
                <w:sz w:val="20"/>
                <w:szCs w:val="20"/>
              </w:rPr>
              <w:t xml:space="preserve">The total return on an investment in any Certificate will be affected by the Hedging Fee Factor, Management </w:t>
            </w:r>
            <w:proofErr w:type="gramStart"/>
            <w:r w:rsidRPr="000D7A90">
              <w:rPr>
                <w:rFonts w:ascii="Times New Roman" w:hAnsi="Times New Roman"/>
                <w:sz w:val="20"/>
                <w:szCs w:val="20"/>
              </w:rPr>
              <w:t>Fee</w:t>
            </w:r>
            <w:proofErr w:type="gramEnd"/>
            <w:r w:rsidRPr="000D7A90">
              <w:rPr>
                <w:rFonts w:ascii="Times New Roman" w:hAnsi="Times New Roman"/>
                <w:sz w:val="20"/>
                <w:szCs w:val="20"/>
              </w:rPr>
              <w:t xml:space="preserve"> and Gap Premium.</w:t>
            </w:r>
          </w:p>
          <w:p w14:paraId="33A2EB06" w14:textId="77777777" w:rsidR="005C147D" w:rsidRPr="000D7A90" w:rsidRDefault="005C147D" w:rsidP="00DE1BFC">
            <w:pPr>
              <w:keepLines/>
              <w:numPr>
                <w:ilvl w:val="0"/>
                <w:numId w:val="9"/>
              </w:numPr>
              <w:spacing w:after="0" w:line="240" w:lineRule="auto"/>
              <w:rPr>
                <w:rFonts w:ascii="Times New Roman" w:hAnsi="Times New Roman"/>
                <w:b/>
                <w:sz w:val="20"/>
                <w:szCs w:val="20"/>
              </w:rPr>
            </w:pPr>
            <w:r w:rsidRPr="000D7A90">
              <w:rPr>
                <w:rFonts w:ascii="Times New Roman" w:hAnsi="Times New Roman"/>
                <w:b/>
                <w:sz w:val="20"/>
                <w:szCs w:val="20"/>
              </w:rPr>
              <w:t>Trading in the Certificates may be suspended</w:t>
            </w:r>
          </w:p>
          <w:p w14:paraId="0C1F0CAA" w14:textId="77777777" w:rsidR="005C147D" w:rsidRPr="000D7A90" w:rsidRDefault="005C147D" w:rsidP="00DE1BFC">
            <w:pPr>
              <w:keepLines/>
              <w:spacing w:after="0" w:line="240" w:lineRule="auto"/>
              <w:ind w:left="360"/>
              <w:rPr>
                <w:rFonts w:ascii="Times New Roman" w:hAnsi="Times New Roman"/>
                <w:sz w:val="20"/>
                <w:szCs w:val="20"/>
              </w:rPr>
            </w:pPr>
            <w:r w:rsidRPr="000D7A90">
              <w:rPr>
                <w:rFonts w:ascii="Times New Roman" w:hAnsi="Times New Roman"/>
                <w:sz w:val="20"/>
                <w:szCs w:val="20"/>
              </w:rPr>
              <w:t xml:space="preserve">You should note that if trading in the Underlying Stock is suspended </w:t>
            </w:r>
            <w:r w:rsidR="00A30192" w:rsidRPr="000D7A90">
              <w:rPr>
                <w:rFonts w:ascii="Times New Roman" w:hAnsi="Times New Roman"/>
                <w:sz w:val="20"/>
                <w:szCs w:val="20"/>
              </w:rPr>
              <w:t xml:space="preserve">or halted </w:t>
            </w:r>
            <w:r w:rsidRPr="000D7A90">
              <w:rPr>
                <w:rFonts w:ascii="Times New Roman" w:hAnsi="Times New Roman"/>
                <w:sz w:val="20"/>
                <w:szCs w:val="20"/>
              </w:rPr>
              <w:t xml:space="preserve">on the relevant stock exchange, trading in the relevant Certificates </w:t>
            </w:r>
            <w:r w:rsidR="00ED3FD3">
              <w:rPr>
                <w:rFonts w:ascii="Times New Roman" w:hAnsi="Times New Roman"/>
                <w:sz w:val="20"/>
                <w:szCs w:val="20"/>
              </w:rPr>
              <w:t>may</w:t>
            </w:r>
            <w:r w:rsidR="00ED3FD3" w:rsidRPr="000D7A90">
              <w:rPr>
                <w:rFonts w:ascii="Times New Roman" w:hAnsi="Times New Roman"/>
                <w:sz w:val="20"/>
                <w:szCs w:val="20"/>
              </w:rPr>
              <w:t xml:space="preserve"> </w:t>
            </w:r>
            <w:r w:rsidRPr="000D7A90">
              <w:rPr>
                <w:rFonts w:ascii="Times New Roman" w:hAnsi="Times New Roman"/>
                <w:sz w:val="20"/>
                <w:szCs w:val="20"/>
              </w:rPr>
              <w:t>be suspended for a similar period.</w:t>
            </w:r>
          </w:p>
          <w:p w14:paraId="1E35942D" w14:textId="77777777" w:rsidR="005C147D" w:rsidRPr="000D7A90" w:rsidRDefault="005C147D" w:rsidP="00DE1BFC">
            <w:pPr>
              <w:keepLines/>
              <w:numPr>
                <w:ilvl w:val="0"/>
                <w:numId w:val="9"/>
              </w:numPr>
              <w:spacing w:after="0" w:line="240" w:lineRule="auto"/>
              <w:rPr>
                <w:rFonts w:ascii="Times New Roman" w:hAnsi="Times New Roman"/>
                <w:b/>
                <w:sz w:val="20"/>
                <w:szCs w:val="20"/>
              </w:rPr>
            </w:pPr>
            <w:r w:rsidRPr="000D7A90">
              <w:rPr>
                <w:rFonts w:ascii="Times New Roman" w:hAnsi="Times New Roman" w:hint="eastAsia"/>
                <w:b/>
                <w:sz w:val="20"/>
                <w:szCs w:val="20"/>
              </w:rPr>
              <w:t xml:space="preserve">Issuer may make adjustments to the terms and conditions of the </w:t>
            </w:r>
            <w:proofErr w:type="gramStart"/>
            <w:r w:rsidRPr="000D7A90">
              <w:rPr>
                <w:rFonts w:ascii="Times New Roman" w:hAnsi="Times New Roman" w:hint="eastAsia"/>
                <w:b/>
                <w:sz w:val="20"/>
                <w:szCs w:val="20"/>
              </w:rPr>
              <w:t>Certificates</w:t>
            </w:r>
            <w:proofErr w:type="gramEnd"/>
          </w:p>
          <w:p w14:paraId="08824197" w14:textId="77777777" w:rsidR="005C147D" w:rsidRPr="000D7A90" w:rsidRDefault="005C147D" w:rsidP="00DE1BFC">
            <w:pPr>
              <w:keepLines/>
              <w:spacing w:after="0" w:line="240" w:lineRule="auto"/>
              <w:ind w:left="360"/>
              <w:rPr>
                <w:rFonts w:ascii="Times New Roman" w:hAnsi="Times New Roman"/>
                <w:b/>
                <w:sz w:val="20"/>
                <w:szCs w:val="20"/>
              </w:rPr>
            </w:pPr>
            <w:r w:rsidRPr="000D7A90">
              <w:rPr>
                <w:rFonts w:ascii="Times New Roman" w:hAnsi="Times New Roman"/>
                <w:sz w:val="20"/>
                <w:szCs w:val="20"/>
              </w:rPr>
              <w:t>C</w:t>
            </w:r>
            <w:r w:rsidRPr="000D7A90">
              <w:rPr>
                <w:rFonts w:ascii="Times New Roman" w:hAnsi="Times New Roman" w:hint="eastAsia"/>
                <w:sz w:val="20"/>
                <w:szCs w:val="20"/>
              </w:rPr>
              <w:t xml:space="preserve">ertain events relating to the </w:t>
            </w:r>
            <w:r w:rsidRPr="000D7A90">
              <w:rPr>
                <w:rFonts w:ascii="Times New Roman" w:hAnsi="Times New Roman"/>
                <w:sz w:val="20"/>
                <w:szCs w:val="20"/>
              </w:rPr>
              <w:t>U</w:t>
            </w:r>
            <w:r w:rsidRPr="000D7A90">
              <w:rPr>
                <w:rFonts w:ascii="Times New Roman" w:hAnsi="Times New Roman" w:hint="eastAsia"/>
                <w:sz w:val="20"/>
                <w:szCs w:val="20"/>
              </w:rPr>
              <w:t xml:space="preserve">nderlying </w:t>
            </w:r>
            <w:r w:rsidRPr="000D7A90">
              <w:rPr>
                <w:rFonts w:ascii="Times New Roman" w:hAnsi="Times New Roman"/>
                <w:sz w:val="20"/>
                <w:szCs w:val="20"/>
              </w:rPr>
              <w:t>S</w:t>
            </w:r>
            <w:r w:rsidRPr="000D7A90">
              <w:rPr>
                <w:rFonts w:ascii="Times New Roman" w:hAnsi="Times New Roman" w:hint="eastAsia"/>
                <w:sz w:val="20"/>
                <w:szCs w:val="20"/>
              </w:rPr>
              <w:t>tock require or</w:t>
            </w:r>
            <w:proofErr w:type="gramStart"/>
            <w:r w:rsidRPr="000D7A90">
              <w:rPr>
                <w:rFonts w:ascii="Times New Roman" w:hAnsi="Times New Roman" w:hint="eastAsia"/>
                <w:sz w:val="20"/>
                <w:szCs w:val="20"/>
              </w:rPr>
              <w:t>, as the case may be, permit</w:t>
            </w:r>
            <w:proofErr w:type="gramEnd"/>
            <w:r w:rsidRPr="000D7A90">
              <w:rPr>
                <w:rFonts w:ascii="Times New Roman" w:hAnsi="Times New Roman" w:hint="eastAsia"/>
                <w:sz w:val="20"/>
                <w:szCs w:val="20"/>
              </w:rPr>
              <w:t xml:space="preserve"> the Issuer to make certain adjustments or amendments to the Conditions.</w:t>
            </w:r>
            <w:r w:rsidR="00890ABC" w:rsidRPr="000D7A90">
              <w:rPr>
                <w:rFonts w:ascii="Times New Roman" w:hAnsi="Times New Roman"/>
                <w:lang w:val="en-CA"/>
              </w:rPr>
              <w:t xml:space="preserve"> </w:t>
            </w:r>
          </w:p>
          <w:p w14:paraId="081AFD06" w14:textId="77777777" w:rsidR="005C147D" w:rsidRPr="000D7A90" w:rsidRDefault="005C147D" w:rsidP="00DE1BFC">
            <w:pPr>
              <w:keepLines/>
              <w:numPr>
                <w:ilvl w:val="0"/>
                <w:numId w:val="9"/>
              </w:numPr>
              <w:spacing w:after="0" w:line="240" w:lineRule="auto"/>
              <w:rPr>
                <w:rFonts w:ascii="Times New Roman" w:hAnsi="Times New Roman"/>
                <w:b/>
                <w:sz w:val="20"/>
                <w:szCs w:val="20"/>
              </w:rPr>
            </w:pPr>
            <w:r w:rsidRPr="000D7A90">
              <w:rPr>
                <w:rFonts w:ascii="Times New Roman" w:hAnsi="Times New Roman"/>
                <w:b/>
                <w:sz w:val="20"/>
                <w:szCs w:val="20"/>
              </w:rPr>
              <w:t>You may be exposed to an exchange rate risk</w:t>
            </w:r>
          </w:p>
          <w:p w14:paraId="0E698761" w14:textId="77777777" w:rsidR="005C147D" w:rsidRDefault="005C147D" w:rsidP="00DE1BFC">
            <w:pPr>
              <w:keepLines/>
              <w:spacing w:after="0" w:line="240" w:lineRule="auto"/>
              <w:ind w:left="400"/>
              <w:rPr>
                <w:rFonts w:ascii="Times New Roman" w:hAnsi="Times New Roman"/>
                <w:sz w:val="20"/>
                <w:szCs w:val="20"/>
              </w:rPr>
            </w:pPr>
            <w:r w:rsidRPr="000D7A90">
              <w:rPr>
                <w:rFonts w:ascii="Times New Roman" w:hAnsi="Times New Roman"/>
                <w:sz w:val="20"/>
                <w:szCs w:val="20"/>
              </w:rPr>
              <w:t>There may be an exchange rate risk where the Cash Settlement Amount is converted from a foreign currency into Singapore Dollars.</w:t>
            </w:r>
            <w:r w:rsidR="00890ABC" w:rsidRPr="000D7A90">
              <w:rPr>
                <w:rFonts w:ascii="Times New Roman" w:hAnsi="Times New Roman"/>
                <w:sz w:val="20"/>
                <w:szCs w:val="20"/>
              </w:rPr>
              <w:t xml:space="preserve"> </w:t>
            </w:r>
          </w:p>
          <w:p w14:paraId="017B508F" w14:textId="77777777" w:rsidR="001D18DA" w:rsidRPr="00884E0F" w:rsidRDefault="001D18DA" w:rsidP="00DE1BFC">
            <w:pPr>
              <w:keepLines/>
              <w:spacing w:after="0" w:line="240" w:lineRule="auto"/>
              <w:ind w:left="400"/>
              <w:rPr>
                <w:rFonts w:ascii="Times New Roman" w:hAnsi="Times New Roman"/>
                <w:b/>
                <w:bCs/>
                <w:sz w:val="20"/>
                <w:szCs w:val="20"/>
              </w:rPr>
            </w:pPr>
          </w:p>
          <w:p w14:paraId="72CE39E4" w14:textId="77777777" w:rsidR="005C147D" w:rsidRPr="000D7A90" w:rsidRDefault="005C147D" w:rsidP="00DE1BFC">
            <w:pPr>
              <w:keepLines/>
              <w:numPr>
                <w:ilvl w:val="0"/>
                <w:numId w:val="9"/>
              </w:numPr>
              <w:spacing w:after="0" w:line="240" w:lineRule="auto"/>
              <w:rPr>
                <w:rFonts w:ascii="Times New Roman" w:hAnsi="Times New Roman"/>
                <w:b/>
                <w:sz w:val="20"/>
                <w:szCs w:val="20"/>
              </w:rPr>
            </w:pPr>
            <w:r w:rsidRPr="000D7A90">
              <w:rPr>
                <w:rFonts w:ascii="Times New Roman" w:hAnsi="Times New Roman"/>
                <w:b/>
                <w:sz w:val="20"/>
                <w:szCs w:val="20"/>
              </w:rPr>
              <w:t>You will be exposed to leveraged risks</w:t>
            </w:r>
          </w:p>
          <w:p w14:paraId="6C8FC5A8" w14:textId="77777777" w:rsidR="007A79B5" w:rsidRPr="000D7A90" w:rsidRDefault="005C147D" w:rsidP="00DE1BFC">
            <w:pPr>
              <w:keepLines/>
              <w:spacing w:after="0" w:line="240" w:lineRule="auto"/>
              <w:ind w:left="400"/>
              <w:rPr>
                <w:rFonts w:ascii="Times New Roman" w:hAnsi="Times New Roman"/>
                <w:sz w:val="20"/>
                <w:szCs w:val="20"/>
              </w:rPr>
            </w:pPr>
            <w:r w:rsidRPr="000D7A90">
              <w:rPr>
                <w:rFonts w:ascii="Times New Roman" w:hAnsi="Times New Roman"/>
                <w:sz w:val="20"/>
                <w:szCs w:val="20"/>
              </w:rPr>
              <w:t xml:space="preserve">If the investment results in a loss, any such loss will be increased by the leverage factor of the Certificates. </w:t>
            </w:r>
            <w:r w:rsidR="00D30CEF" w:rsidRPr="000D7A90">
              <w:rPr>
                <w:rFonts w:ascii="Times New Roman" w:hAnsi="Times New Roman"/>
                <w:sz w:val="20"/>
                <w:szCs w:val="20"/>
              </w:rPr>
              <w:t>Consequently,</w:t>
            </w:r>
            <w:r w:rsidRPr="000D7A90">
              <w:rPr>
                <w:rFonts w:ascii="Times New Roman" w:hAnsi="Times New Roman"/>
                <w:sz w:val="20"/>
                <w:szCs w:val="20"/>
              </w:rPr>
              <w:t xml:space="preserve"> you could lose more than you would if you invested directly in the Underlying </w:t>
            </w:r>
            <w:r w:rsidR="00D30CEF" w:rsidRPr="000D7A90">
              <w:rPr>
                <w:rFonts w:ascii="Times New Roman" w:hAnsi="Times New Roman"/>
                <w:sz w:val="20"/>
                <w:szCs w:val="20"/>
              </w:rPr>
              <w:t>Stock.</w:t>
            </w:r>
          </w:p>
          <w:p w14:paraId="629E9DB7" w14:textId="77777777" w:rsidR="004C7908" w:rsidRPr="000D7A90" w:rsidRDefault="004C7908" w:rsidP="00DE1BFC">
            <w:pPr>
              <w:keepLines/>
              <w:numPr>
                <w:ilvl w:val="0"/>
                <w:numId w:val="9"/>
              </w:numPr>
              <w:spacing w:after="0" w:line="240" w:lineRule="auto"/>
              <w:rPr>
                <w:rFonts w:ascii="Times New Roman" w:hAnsi="Times New Roman"/>
                <w:b/>
                <w:sz w:val="20"/>
                <w:szCs w:val="20"/>
              </w:rPr>
            </w:pPr>
            <w:r w:rsidRPr="000D7A90">
              <w:rPr>
                <w:rFonts w:ascii="Times New Roman" w:hAnsi="Times New Roman"/>
                <w:b/>
                <w:sz w:val="20"/>
                <w:szCs w:val="20"/>
              </w:rPr>
              <w:t xml:space="preserve">Product performance may differ from 5 times the inverse performance of the </w:t>
            </w:r>
            <w:r w:rsidR="005C147D" w:rsidRPr="000D7A90">
              <w:rPr>
                <w:rFonts w:ascii="Times New Roman" w:hAnsi="Times New Roman"/>
                <w:b/>
                <w:sz w:val="20"/>
                <w:szCs w:val="20"/>
              </w:rPr>
              <w:t>Underlying Stock</w:t>
            </w:r>
            <w:r w:rsidRPr="000D7A90">
              <w:rPr>
                <w:rFonts w:ascii="Times New Roman" w:hAnsi="Times New Roman"/>
                <w:b/>
                <w:sz w:val="20"/>
                <w:szCs w:val="20"/>
              </w:rPr>
              <w:t xml:space="preserve"> over a period longer than one day</w:t>
            </w:r>
          </w:p>
          <w:p w14:paraId="7A154DAB" w14:textId="77777777" w:rsidR="004C7908" w:rsidRDefault="004C7908" w:rsidP="00DE1BFC">
            <w:pPr>
              <w:keepLines/>
              <w:spacing w:after="0" w:line="240" w:lineRule="auto"/>
              <w:ind w:left="400"/>
              <w:rPr>
                <w:rFonts w:ascii="Times New Roman" w:hAnsi="Times New Roman"/>
                <w:sz w:val="20"/>
                <w:szCs w:val="20"/>
              </w:rPr>
            </w:pPr>
            <w:r w:rsidRPr="000D7A90">
              <w:rPr>
                <w:rFonts w:ascii="Times New Roman" w:hAnsi="Times New Roman"/>
                <w:sz w:val="20"/>
                <w:szCs w:val="20"/>
              </w:rPr>
              <w:t xml:space="preserve">When held for longer than a day, product performance could be more or less than the leverage factor that is embedded within </w:t>
            </w:r>
            <w:r w:rsidR="00D30CEF" w:rsidRPr="000D7A90">
              <w:rPr>
                <w:rFonts w:ascii="Times New Roman" w:hAnsi="Times New Roman"/>
                <w:sz w:val="20"/>
                <w:szCs w:val="20"/>
              </w:rPr>
              <w:t>the Certificates</w:t>
            </w:r>
            <w:r w:rsidR="005C147D" w:rsidRPr="000D7A90">
              <w:rPr>
                <w:rFonts w:ascii="Times New Roman" w:hAnsi="Times New Roman"/>
                <w:sz w:val="20"/>
                <w:szCs w:val="20"/>
              </w:rPr>
              <w:t xml:space="preserve">. </w:t>
            </w:r>
            <w:r w:rsidRPr="000D7A90">
              <w:rPr>
                <w:rFonts w:ascii="Times New Roman" w:hAnsi="Times New Roman"/>
                <w:sz w:val="20"/>
                <w:szCs w:val="20"/>
              </w:rPr>
              <w:t xml:space="preserve">The performance each day is locked in, and any subsequent returns are based on what was achieved the previous day. This process, referred to as compounding, may lead to a performance difference from </w:t>
            </w:r>
            <w:r w:rsidRPr="000D7A90">
              <w:rPr>
                <w:rFonts w:ascii="Times New Roman" w:hAnsi="Times New Roman"/>
                <w:b/>
                <w:sz w:val="20"/>
                <w:szCs w:val="20"/>
              </w:rPr>
              <w:t xml:space="preserve">5 </w:t>
            </w:r>
            <w:r w:rsidRPr="000D7A90">
              <w:rPr>
                <w:rFonts w:ascii="Times New Roman" w:hAnsi="Times New Roman"/>
                <w:sz w:val="20"/>
                <w:szCs w:val="20"/>
              </w:rPr>
              <w:t xml:space="preserve">times the inverse performance of the </w:t>
            </w:r>
            <w:r w:rsidR="005C147D" w:rsidRPr="000D7A90">
              <w:rPr>
                <w:rFonts w:ascii="Times New Roman" w:hAnsi="Times New Roman"/>
                <w:sz w:val="20"/>
                <w:szCs w:val="20"/>
              </w:rPr>
              <w:t xml:space="preserve">Underlying Stock </w:t>
            </w:r>
            <w:r w:rsidRPr="000D7A90">
              <w:rPr>
                <w:rFonts w:ascii="Times New Roman" w:hAnsi="Times New Roman"/>
                <w:sz w:val="20"/>
                <w:szCs w:val="20"/>
              </w:rPr>
              <w:t>over a period longer than one day. This difference may be amplified in a volatile market with a sideway trend, where market movements are not clear in direction, whereby investors may sustain substantial losses.</w:t>
            </w:r>
          </w:p>
          <w:p w14:paraId="1E51914F" w14:textId="77777777" w:rsidR="001A38BF" w:rsidRPr="001A38BF" w:rsidRDefault="001A38BF" w:rsidP="001A38BF">
            <w:pPr>
              <w:keepLines/>
              <w:numPr>
                <w:ilvl w:val="0"/>
                <w:numId w:val="9"/>
              </w:numPr>
              <w:spacing w:after="0" w:line="240" w:lineRule="auto"/>
              <w:rPr>
                <w:rFonts w:ascii="Times New Roman" w:hAnsi="Times New Roman"/>
                <w:b/>
                <w:sz w:val="20"/>
                <w:szCs w:val="20"/>
              </w:rPr>
            </w:pPr>
            <w:r w:rsidRPr="001A38BF">
              <w:rPr>
                <w:rFonts w:ascii="Times New Roman" w:hAnsi="Times New Roman"/>
                <w:b/>
                <w:sz w:val="20"/>
                <w:szCs w:val="20"/>
              </w:rPr>
              <w:t>The Air Bag Mechanism is triggered only when the Underlying Stock is calculated or traded, which may not be during the trading hours of the Relevant Stock Exchange for the Certificates.</w:t>
            </w:r>
          </w:p>
          <w:p w14:paraId="3A4044AA" w14:textId="77777777" w:rsidR="007A79B5" w:rsidRPr="000D7A90" w:rsidRDefault="007A79B5" w:rsidP="00DE1BFC">
            <w:pPr>
              <w:keepLines/>
              <w:numPr>
                <w:ilvl w:val="0"/>
                <w:numId w:val="9"/>
              </w:numPr>
              <w:spacing w:after="0" w:line="240" w:lineRule="auto"/>
              <w:rPr>
                <w:rFonts w:ascii="Times New Roman" w:hAnsi="Times New Roman"/>
                <w:b/>
                <w:sz w:val="20"/>
                <w:szCs w:val="20"/>
              </w:rPr>
            </w:pPr>
            <w:r w:rsidRPr="000D7A90">
              <w:rPr>
                <w:rFonts w:ascii="Times New Roman" w:hAnsi="Times New Roman"/>
                <w:b/>
                <w:sz w:val="20"/>
                <w:szCs w:val="20"/>
              </w:rPr>
              <w:t>When triggered, the Air Bag Mechanism may reduce the ability for the product to recoup losses</w:t>
            </w:r>
          </w:p>
          <w:p w14:paraId="4E96F3BE" w14:textId="77777777" w:rsidR="006946F6" w:rsidRPr="000D7A90" w:rsidRDefault="005C147D" w:rsidP="00DE1BFC">
            <w:pPr>
              <w:keepLines/>
              <w:spacing w:after="0" w:line="240" w:lineRule="auto"/>
              <w:ind w:left="400"/>
              <w:rPr>
                <w:rFonts w:ascii="Times New Roman" w:hAnsi="Times New Roman"/>
                <w:sz w:val="20"/>
                <w:szCs w:val="20"/>
              </w:rPr>
            </w:pPr>
            <w:r w:rsidRPr="000D7A90">
              <w:rPr>
                <w:rFonts w:ascii="Times New Roman" w:hAnsi="Times New Roman"/>
                <w:sz w:val="20"/>
                <w:szCs w:val="20"/>
              </w:rPr>
              <w:t xml:space="preserve">Investors should note that the Air Bag Mechanism reduces the impact on the Leverage </w:t>
            </w:r>
            <w:r w:rsidR="00D022DE" w:rsidRPr="000D7A90">
              <w:rPr>
                <w:rFonts w:ascii="Times New Roman" w:hAnsi="Times New Roman"/>
                <w:sz w:val="20"/>
                <w:szCs w:val="20"/>
              </w:rPr>
              <w:t>In</w:t>
            </w:r>
            <w:r w:rsidR="00671220" w:rsidRPr="000D7A90">
              <w:rPr>
                <w:rFonts w:ascii="Times New Roman" w:hAnsi="Times New Roman"/>
                <w:sz w:val="20"/>
                <w:szCs w:val="20"/>
              </w:rPr>
              <w:t xml:space="preserve">verse </w:t>
            </w:r>
            <w:r w:rsidRPr="000D7A90">
              <w:rPr>
                <w:rFonts w:ascii="Times New Roman" w:hAnsi="Times New Roman"/>
                <w:sz w:val="20"/>
                <w:szCs w:val="20"/>
              </w:rPr>
              <w:t xml:space="preserve">Strategy if the Underlying Stock </w:t>
            </w:r>
            <w:r w:rsidR="00671220" w:rsidRPr="000D7A90">
              <w:rPr>
                <w:rFonts w:ascii="Times New Roman" w:hAnsi="Times New Roman"/>
                <w:sz w:val="20"/>
                <w:szCs w:val="20"/>
              </w:rPr>
              <w:t>rises</w:t>
            </w:r>
            <w:r w:rsidRPr="000D7A90">
              <w:rPr>
                <w:rFonts w:ascii="Times New Roman" w:hAnsi="Times New Roman"/>
                <w:sz w:val="20"/>
                <w:szCs w:val="20"/>
              </w:rPr>
              <w:t xml:space="preserve"> </w:t>
            </w:r>
            <w:proofErr w:type="gramStart"/>
            <w:r w:rsidR="00181FB6" w:rsidRPr="000D7A90">
              <w:rPr>
                <w:rFonts w:ascii="Times New Roman" w:hAnsi="Times New Roman"/>
                <w:sz w:val="20"/>
                <w:szCs w:val="20"/>
              </w:rPr>
              <w:t xml:space="preserve">further, </w:t>
            </w:r>
            <w:r w:rsidR="00D30CEF" w:rsidRPr="000D7A90">
              <w:rPr>
                <w:rFonts w:ascii="Times New Roman" w:hAnsi="Times New Roman"/>
                <w:sz w:val="20"/>
                <w:szCs w:val="20"/>
              </w:rPr>
              <w:t>but</w:t>
            </w:r>
            <w:proofErr w:type="gramEnd"/>
            <w:r w:rsidRPr="000D7A90">
              <w:rPr>
                <w:rFonts w:ascii="Times New Roman" w:hAnsi="Times New Roman"/>
                <w:sz w:val="20"/>
                <w:szCs w:val="20"/>
              </w:rPr>
              <w:t xml:space="preserve"> will also maintain a reduced exposure to the Underlying Stock in the event the Underlying Stock starts to </w:t>
            </w:r>
            <w:r w:rsidR="00671220" w:rsidRPr="000D7A90">
              <w:rPr>
                <w:rFonts w:ascii="Times New Roman" w:hAnsi="Times New Roman"/>
                <w:sz w:val="20"/>
                <w:szCs w:val="20"/>
              </w:rPr>
              <w:t>fall</w:t>
            </w:r>
            <w:r w:rsidRPr="000D7A90">
              <w:rPr>
                <w:rFonts w:ascii="Times New Roman" w:hAnsi="Times New Roman"/>
                <w:sz w:val="20"/>
                <w:szCs w:val="20"/>
              </w:rPr>
              <w:t xml:space="preserve"> after the Air Bag Mechanism is triggered, thereby reducing its ability to recoup losses. </w:t>
            </w:r>
            <w:r w:rsidR="0027729A" w:rsidRPr="000D7A90">
              <w:rPr>
                <w:rFonts w:ascii="Times New Roman" w:hAnsi="Times New Roman"/>
                <w:sz w:val="20"/>
                <w:szCs w:val="20"/>
              </w:rPr>
              <w:t xml:space="preserve">Investors should note that the performance of the Leverage Inverse Strategy will be the inverse of the Underlying Stock. </w:t>
            </w:r>
            <w:r w:rsidRPr="000D7A90">
              <w:rPr>
                <w:rFonts w:ascii="Times New Roman" w:hAnsi="Times New Roman"/>
                <w:sz w:val="20"/>
                <w:szCs w:val="20"/>
              </w:rPr>
              <w:t xml:space="preserve">Illustrative examples of the Air Bag Mechanism are set out </w:t>
            </w:r>
            <w:r w:rsidR="00D30CEF" w:rsidRPr="000D7A90">
              <w:rPr>
                <w:rFonts w:ascii="Times New Roman" w:hAnsi="Times New Roman"/>
                <w:sz w:val="20"/>
                <w:szCs w:val="20"/>
              </w:rPr>
              <w:t>below.</w:t>
            </w:r>
            <w:r w:rsidR="004E4013">
              <w:rPr>
                <w:rStyle w:val="FootnoteReference"/>
                <w:rFonts w:ascii="Times New Roman" w:hAnsi="Times New Roman"/>
                <w:sz w:val="20"/>
                <w:szCs w:val="20"/>
              </w:rPr>
              <w:footnoteReference w:id="6"/>
            </w:r>
          </w:p>
          <w:p w14:paraId="10118C87" w14:textId="77777777" w:rsidR="006946F6" w:rsidRPr="000D7A90" w:rsidRDefault="006946F6" w:rsidP="00C667AE">
            <w:pPr>
              <w:keepLines/>
              <w:spacing w:after="0" w:line="240" w:lineRule="auto"/>
              <w:ind w:left="400"/>
              <w:jc w:val="center"/>
              <w:rPr>
                <w:rFonts w:ascii="Times New Roman" w:hAnsi="Times New Roman"/>
                <w:sz w:val="20"/>
                <w:szCs w:val="20"/>
              </w:rPr>
            </w:pPr>
          </w:p>
          <w:p w14:paraId="0C48DBFB" w14:textId="77777777" w:rsidR="004C7908" w:rsidRPr="000D7A90" w:rsidRDefault="004C7908" w:rsidP="00C667AE">
            <w:pPr>
              <w:keepLines/>
              <w:tabs>
                <w:tab w:val="left" w:pos="2700"/>
              </w:tabs>
              <w:spacing w:after="0" w:line="240" w:lineRule="auto"/>
              <w:jc w:val="center"/>
              <w:rPr>
                <w:rFonts w:ascii="Times New Roman" w:hAnsi="Times New Roman"/>
                <w:sz w:val="20"/>
                <w:szCs w:val="20"/>
              </w:rPr>
            </w:pPr>
          </w:p>
          <w:p w14:paraId="622BE3DB" w14:textId="77777777" w:rsidR="007310BA" w:rsidRPr="000D7A90" w:rsidRDefault="007310BA" w:rsidP="00C667AE">
            <w:pPr>
              <w:spacing w:after="120"/>
              <w:jc w:val="center"/>
              <w:rPr>
                <w:rFonts w:ascii="Times New Roman" w:hAnsi="Times New Roman"/>
                <w:color w:val="FF0000"/>
                <w:sz w:val="20"/>
                <w:szCs w:val="20"/>
                <w:u w:val="single"/>
              </w:rPr>
            </w:pPr>
            <w:r w:rsidRPr="000D7A90">
              <w:rPr>
                <w:rFonts w:ascii="Times New Roman" w:hAnsi="Times New Roman"/>
                <w:color w:val="FF0000"/>
                <w:sz w:val="20"/>
                <w:szCs w:val="20"/>
                <w:u w:val="single"/>
              </w:rPr>
              <w:t xml:space="preserve">Scenario 1 – </w:t>
            </w:r>
            <w:r w:rsidR="004478DB" w:rsidRPr="000D7A90">
              <w:rPr>
                <w:rFonts w:ascii="Times New Roman" w:hAnsi="Times New Roman"/>
                <w:color w:val="FF0000"/>
                <w:sz w:val="20"/>
                <w:szCs w:val="20"/>
                <w:u w:val="single"/>
              </w:rPr>
              <w:t>Upward</w:t>
            </w:r>
            <w:r w:rsidRPr="000D7A90">
              <w:rPr>
                <w:rFonts w:ascii="Times New Roman" w:hAnsi="Times New Roman"/>
                <w:color w:val="FF0000"/>
                <w:sz w:val="20"/>
                <w:szCs w:val="20"/>
                <w:u w:val="single"/>
              </w:rPr>
              <w:t xml:space="preserve"> Trend after Air Bag trigger</w:t>
            </w:r>
          </w:p>
          <w:p w14:paraId="48D120D3" w14:textId="77777777" w:rsidR="007310BA" w:rsidRPr="000D7A90" w:rsidRDefault="00A14E98" w:rsidP="00C667AE">
            <w:pPr>
              <w:keepLines/>
              <w:spacing w:after="0" w:line="240" w:lineRule="auto"/>
              <w:ind w:left="400"/>
              <w:jc w:val="center"/>
              <w:rPr>
                <w:rFonts w:ascii="Times New Roman" w:hAnsi="Times New Roman"/>
                <w:color w:val="FF0000"/>
                <w:sz w:val="20"/>
                <w:szCs w:val="20"/>
              </w:rPr>
            </w:pPr>
            <w:r w:rsidRPr="000D7A90">
              <w:rPr>
                <w:rFonts w:ascii="Times New Roman" w:hAnsi="Times New Roman"/>
                <w:noProof/>
                <w:color w:val="FF0000"/>
                <w:sz w:val="20"/>
                <w:szCs w:val="20"/>
              </w:rPr>
              <w:drawing>
                <wp:inline distT="0" distB="0" distL="0" distR="0" wp14:anchorId="32413768" wp14:editId="2C551F4F">
                  <wp:extent cx="5788152" cy="318333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8152" cy="3183339"/>
                          </a:xfrm>
                          <a:prstGeom prst="rect">
                            <a:avLst/>
                          </a:prstGeom>
                          <a:noFill/>
                        </pic:spPr>
                      </pic:pic>
                    </a:graphicData>
                  </a:graphic>
                </wp:inline>
              </w:drawing>
            </w:r>
          </w:p>
          <w:p w14:paraId="19E51772" w14:textId="77777777" w:rsidR="007310BA" w:rsidRPr="000D7A90" w:rsidRDefault="007310BA" w:rsidP="00C667AE">
            <w:pPr>
              <w:spacing w:after="120"/>
              <w:jc w:val="center"/>
              <w:rPr>
                <w:rFonts w:ascii="Times New Roman" w:hAnsi="Times New Roman"/>
                <w:color w:val="FF0000"/>
                <w:sz w:val="20"/>
                <w:szCs w:val="20"/>
                <w:u w:val="single"/>
              </w:rPr>
            </w:pPr>
            <w:r w:rsidRPr="000D7A90">
              <w:rPr>
                <w:rFonts w:ascii="Times New Roman" w:hAnsi="Times New Roman"/>
                <w:color w:val="FF0000"/>
                <w:sz w:val="20"/>
                <w:szCs w:val="20"/>
                <w:u w:val="single"/>
              </w:rPr>
              <w:t xml:space="preserve">Scenario 2 – </w:t>
            </w:r>
            <w:r w:rsidR="004478DB" w:rsidRPr="000D7A90">
              <w:rPr>
                <w:rFonts w:ascii="Times New Roman" w:hAnsi="Times New Roman"/>
                <w:color w:val="FF0000"/>
                <w:sz w:val="20"/>
                <w:szCs w:val="20"/>
                <w:u w:val="single"/>
              </w:rPr>
              <w:t>Downward</w:t>
            </w:r>
            <w:r w:rsidRPr="000D7A90">
              <w:rPr>
                <w:rFonts w:ascii="Times New Roman" w:hAnsi="Times New Roman"/>
                <w:color w:val="FF0000"/>
                <w:sz w:val="20"/>
                <w:szCs w:val="20"/>
                <w:u w:val="single"/>
              </w:rPr>
              <w:t xml:space="preserve"> Trend after Air Bag trigger</w:t>
            </w:r>
          </w:p>
          <w:p w14:paraId="04C12D43" w14:textId="77777777" w:rsidR="007310BA" w:rsidRPr="000D7A90" w:rsidRDefault="00A14E98" w:rsidP="0059521F">
            <w:pPr>
              <w:spacing w:after="120"/>
              <w:jc w:val="center"/>
              <w:rPr>
                <w:rFonts w:ascii="Times New Roman" w:hAnsi="Times New Roman"/>
                <w:sz w:val="20"/>
                <w:szCs w:val="20"/>
              </w:rPr>
            </w:pPr>
            <w:r w:rsidRPr="000D7A90">
              <w:rPr>
                <w:rFonts w:ascii="Times New Roman" w:hAnsi="Times New Roman"/>
                <w:noProof/>
                <w:sz w:val="20"/>
                <w:szCs w:val="20"/>
              </w:rPr>
              <w:lastRenderedPageBreak/>
              <w:drawing>
                <wp:inline distT="0" distB="0" distL="0" distR="0" wp14:anchorId="51352243" wp14:editId="7E703256">
                  <wp:extent cx="5788152" cy="3333896"/>
                  <wp:effectExtent l="0" t="0" r="317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8152" cy="3333896"/>
                          </a:xfrm>
                          <a:prstGeom prst="rect">
                            <a:avLst/>
                          </a:prstGeom>
                          <a:noFill/>
                        </pic:spPr>
                      </pic:pic>
                    </a:graphicData>
                  </a:graphic>
                </wp:inline>
              </w:drawing>
            </w:r>
          </w:p>
          <w:p w14:paraId="01F20357" w14:textId="77777777" w:rsidR="007310BA" w:rsidRPr="000D7A90" w:rsidRDefault="007310BA" w:rsidP="00C667AE">
            <w:pPr>
              <w:keepLines/>
              <w:tabs>
                <w:tab w:val="left" w:pos="2700"/>
              </w:tabs>
              <w:spacing w:after="0" w:line="240" w:lineRule="auto"/>
              <w:jc w:val="center"/>
              <w:rPr>
                <w:rFonts w:ascii="Times New Roman" w:hAnsi="Times New Roman"/>
                <w:sz w:val="20"/>
                <w:szCs w:val="20"/>
              </w:rPr>
            </w:pPr>
          </w:p>
          <w:p w14:paraId="3C76C339" w14:textId="77777777" w:rsidR="00584F6C" w:rsidRPr="003D49A1" w:rsidRDefault="00A82110" w:rsidP="00343DBA">
            <w:pPr>
              <w:keepLines/>
              <w:numPr>
                <w:ilvl w:val="0"/>
                <w:numId w:val="9"/>
              </w:numPr>
              <w:spacing w:after="0" w:line="240" w:lineRule="auto"/>
              <w:rPr>
                <w:rFonts w:ascii="Times New Roman" w:hAnsi="Times New Roman"/>
                <w:sz w:val="20"/>
                <w:szCs w:val="20"/>
              </w:rPr>
            </w:pPr>
            <w:r w:rsidRPr="00AA1764">
              <w:rPr>
                <w:rFonts w:ascii="Times New Roman" w:hAnsi="Times New Roman"/>
                <w:b/>
                <w:sz w:val="20"/>
                <w:szCs w:val="20"/>
              </w:rPr>
              <w:t>There is no assurance that the Air Bag Mechanism will prevent investors from losing the entire value of their investment</w:t>
            </w:r>
            <w:r w:rsidRPr="00AA1764">
              <w:rPr>
                <w:rStyle w:val="DeltaViewInsertion"/>
                <w:rFonts w:ascii="Times New Roman" w:hAnsi="Times New Roman"/>
                <w:bCs/>
                <w:color w:val="000000" w:themeColor="text1"/>
                <w:sz w:val="20"/>
                <w:szCs w:val="20"/>
                <w:u w:val="none"/>
              </w:rPr>
              <w:t>, in the event of (</w:t>
            </w:r>
            <w:proofErr w:type="spellStart"/>
            <w:r w:rsidRPr="00AA1764">
              <w:rPr>
                <w:rStyle w:val="DeltaViewInsertion"/>
                <w:rFonts w:ascii="Times New Roman" w:hAnsi="Times New Roman"/>
                <w:bCs/>
                <w:color w:val="000000" w:themeColor="text1"/>
                <w:sz w:val="20"/>
                <w:szCs w:val="20"/>
                <w:u w:val="none"/>
              </w:rPr>
              <w:t>i</w:t>
            </w:r>
            <w:proofErr w:type="spellEnd"/>
            <w:r w:rsidRPr="00AA1764">
              <w:rPr>
                <w:rStyle w:val="DeltaViewInsertion"/>
                <w:rFonts w:ascii="Times New Roman" w:hAnsi="Times New Roman"/>
                <w:bCs/>
                <w:color w:val="000000" w:themeColor="text1"/>
                <w:sz w:val="20"/>
                <w:szCs w:val="20"/>
                <w:u w:val="none"/>
              </w:rPr>
              <w:t xml:space="preserve">) an overnight increase in the </w:t>
            </w:r>
            <w:r w:rsidR="001A4F3F" w:rsidRPr="00AA1764">
              <w:rPr>
                <w:rFonts w:ascii="Times New Roman" w:hAnsi="Times New Roman"/>
                <w:sz w:val="20"/>
                <w:szCs w:val="20"/>
              </w:rPr>
              <w:t>Underlying Stock</w:t>
            </w:r>
            <w:r w:rsidRPr="00AA1764">
              <w:rPr>
                <w:rStyle w:val="DeltaViewInsertion"/>
                <w:rFonts w:ascii="Times New Roman" w:hAnsi="Times New Roman"/>
                <w:bCs/>
                <w:color w:val="000000" w:themeColor="text1"/>
                <w:sz w:val="20"/>
                <w:szCs w:val="20"/>
                <w:u w:val="none"/>
              </w:rPr>
              <w:t xml:space="preserve">, where there is a </w:t>
            </w:r>
            <w:r w:rsidRPr="00AA1764">
              <w:rPr>
                <w:rFonts w:ascii="Times New Roman" w:hAnsi="Times New Roman"/>
                <w:sz w:val="20"/>
                <w:szCs w:val="20"/>
              </w:rPr>
              <w:t>20%</w:t>
            </w:r>
            <w:r w:rsidRPr="00AA1764">
              <w:rPr>
                <w:rStyle w:val="DeltaViewInsertion"/>
                <w:rFonts w:ascii="Times New Roman" w:hAnsi="Times New Roman"/>
                <w:bCs/>
                <w:color w:val="000000" w:themeColor="text1"/>
                <w:sz w:val="20"/>
                <w:szCs w:val="20"/>
                <w:u w:val="none"/>
              </w:rPr>
              <w:t xml:space="preserve"> or greater gap between the previous day closing </w:t>
            </w:r>
            <w:r w:rsidR="001A4F3F" w:rsidRPr="00AA1764">
              <w:rPr>
                <w:rStyle w:val="DeltaViewInsertion"/>
                <w:rFonts w:ascii="Times New Roman" w:hAnsi="Times New Roman"/>
                <w:bCs/>
                <w:color w:val="000000" w:themeColor="text1"/>
                <w:sz w:val="20"/>
                <w:szCs w:val="20"/>
                <w:u w:val="none"/>
              </w:rPr>
              <w:t>price</w:t>
            </w:r>
            <w:r w:rsidRPr="00AA1764">
              <w:rPr>
                <w:rStyle w:val="DeltaViewInsertion"/>
                <w:rFonts w:ascii="Times New Roman" w:hAnsi="Times New Roman"/>
                <w:bCs/>
                <w:color w:val="000000" w:themeColor="text1"/>
                <w:sz w:val="20"/>
                <w:szCs w:val="20"/>
                <w:u w:val="none"/>
              </w:rPr>
              <w:t xml:space="preserve"> and the opening </w:t>
            </w:r>
            <w:r w:rsidR="001A4F3F" w:rsidRPr="00AA1764">
              <w:rPr>
                <w:rStyle w:val="DeltaViewInsertion"/>
                <w:rFonts w:ascii="Times New Roman" w:hAnsi="Times New Roman"/>
                <w:bCs/>
                <w:color w:val="000000" w:themeColor="text1"/>
                <w:sz w:val="20"/>
                <w:szCs w:val="20"/>
                <w:u w:val="none"/>
              </w:rPr>
              <w:t>price</w:t>
            </w:r>
            <w:r w:rsidRPr="00AA1764">
              <w:rPr>
                <w:rStyle w:val="DeltaViewInsertion"/>
                <w:rFonts w:ascii="Times New Roman" w:hAnsi="Times New Roman"/>
                <w:bCs/>
                <w:color w:val="000000" w:themeColor="text1"/>
                <w:sz w:val="20"/>
                <w:szCs w:val="20"/>
                <w:u w:val="none"/>
              </w:rPr>
              <w:t xml:space="preserve"> of the </w:t>
            </w:r>
            <w:r w:rsidR="001A4F3F" w:rsidRPr="00AA1764">
              <w:rPr>
                <w:rFonts w:ascii="Times New Roman" w:hAnsi="Times New Roman"/>
                <w:sz w:val="20"/>
                <w:szCs w:val="20"/>
              </w:rPr>
              <w:t>Underlying Stock</w:t>
            </w:r>
            <w:r w:rsidRPr="00AA1764">
              <w:rPr>
                <w:rStyle w:val="DeltaViewInsertion"/>
                <w:rFonts w:ascii="Times New Roman" w:hAnsi="Times New Roman"/>
                <w:bCs/>
                <w:color w:val="000000" w:themeColor="text1"/>
                <w:sz w:val="20"/>
                <w:szCs w:val="20"/>
                <w:u w:val="none"/>
              </w:rPr>
              <w:t xml:space="preserve"> the following day, as the Air Bag Mechanism will only be triggered when market opens</w:t>
            </w:r>
            <w:r w:rsidR="00905194">
              <w:rPr>
                <w:rStyle w:val="DeltaViewInsertion"/>
                <w:rFonts w:ascii="Times New Roman" w:hAnsi="Times New Roman"/>
                <w:bCs/>
                <w:color w:val="000000" w:themeColor="text1"/>
                <w:sz w:val="20"/>
                <w:szCs w:val="20"/>
                <w:u w:val="none"/>
              </w:rPr>
              <w:t xml:space="preserve"> </w:t>
            </w:r>
            <w:r w:rsidR="00905194">
              <w:rPr>
                <w:rFonts w:ascii="Times New Roman" w:hAnsi="Times New Roman"/>
                <w:sz w:val="20"/>
                <w:szCs w:val="20"/>
              </w:rPr>
              <w:t>(including the pre-opening session)</w:t>
            </w:r>
            <w:r w:rsidRPr="00AA1764">
              <w:rPr>
                <w:rStyle w:val="DeltaViewInsertion"/>
                <w:rFonts w:ascii="Times New Roman" w:hAnsi="Times New Roman"/>
                <w:bCs/>
                <w:color w:val="000000" w:themeColor="text1"/>
                <w:sz w:val="20"/>
                <w:szCs w:val="20"/>
                <w:u w:val="none"/>
              </w:rPr>
              <w:t xml:space="preserve"> the following day or (ii) a sharp intraday increase in the </w:t>
            </w:r>
            <w:r w:rsidR="001A4F3F" w:rsidRPr="00AA1764">
              <w:rPr>
                <w:rFonts w:ascii="Times New Roman" w:hAnsi="Times New Roman"/>
                <w:sz w:val="20"/>
                <w:szCs w:val="20"/>
              </w:rPr>
              <w:t>Underlying Stock</w:t>
            </w:r>
            <w:r w:rsidR="0071203F" w:rsidRPr="00AA1764">
              <w:rPr>
                <w:rFonts w:ascii="Times New Roman" w:hAnsi="Times New Roman"/>
                <w:sz w:val="20"/>
                <w:szCs w:val="20"/>
              </w:rPr>
              <w:t xml:space="preserve"> price</w:t>
            </w:r>
            <w:r w:rsidRPr="00AA1764">
              <w:rPr>
                <w:rStyle w:val="DeltaViewInsertion"/>
                <w:rFonts w:ascii="Times New Roman" w:hAnsi="Times New Roman"/>
                <w:bCs/>
                <w:color w:val="000000" w:themeColor="text1"/>
                <w:sz w:val="20"/>
                <w:szCs w:val="20"/>
                <w:u w:val="none"/>
              </w:rPr>
              <w:t xml:space="preserve"> of </w:t>
            </w:r>
            <w:r w:rsidRPr="00AA1764">
              <w:rPr>
                <w:rFonts w:ascii="Times New Roman" w:hAnsi="Times New Roman"/>
                <w:sz w:val="20"/>
                <w:szCs w:val="20"/>
              </w:rPr>
              <w:t>20%</w:t>
            </w:r>
            <w:r w:rsidRPr="00AA1764">
              <w:rPr>
                <w:rStyle w:val="DeltaViewInsertion"/>
                <w:rFonts w:ascii="Times New Roman" w:hAnsi="Times New Roman"/>
                <w:bCs/>
                <w:color w:val="000000" w:themeColor="text1"/>
                <w:sz w:val="20"/>
                <w:szCs w:val="20"/>
                <w:u w:val="none"/>
              </w:rPr>
              <w:t xml:space="preserve"> or greater </w:t>
            </w:r>
            <w:r w:rsidR="00EB04C5" w:rsidRPr="00AA1764">
              <w:rPr>
                <w:rFonts w:ascii="Times New Roman" w:hAnsi="Times New Roman"/>
                <w:sz w:val="20"/>
                <w:szCs w:val="20"/>
              </w:rPr>
              <w:t>within the 15 minutes Observation Period compared to the reference price, being: (</w:t>
            </w:r>
            <w:r w:rsidR="00B76CAD" w:rsidRPr="00AA1764">
              <w:rPr>
                <w:rFonts w:ascii="Times New Roman" w:hAnsi="Times New Roman"/>
                <w:sz w:val="20"/>
                <w:szCs w:val="20"/>
              </w:rPr>
              <w:t>a</w:t>
            </w:r>
            <w:r w:rsidR="00EB04C5" w:rsidRPr="00AA1764">
              <w:rPr>
                <w:rFonts w:ascii="Times New Roman" w:hAnsi="Times New Roman"/>
                <w:sz w:val="20"/>
                <w:szCs w:val="20"/>
              </w:rPr>
              <w:t>) if air bag has not been previously triggered on the same day, the previous closing price of the Underlying Stock, or (</w:t>
            </w:r>
            <w:r w:rsidR="00B76CAD" w:rsidRPr="00AA1764">
              <w:rPr>
                <w:rFonts w:ascii="Times New Roman" w:hAnsi="Times New Roman"/>
                <w:sz w:val="20"/>
                <w:szCs w:val="20"/>
              </w:rPr>
              <w:t>b</w:t>
            </w:r>
            <w:r w:rsidR="00EB04C5" w:rsidRPr="00AA1764">
              <w:rPr>
                <w:rFonts w:ascii="Times New Roman" w:hAnsi="Times New Roman"/>
                <w:sz w:val="20"/>
                <w:szCs w:val="20"/>
              </w:rPr>
              <w:t>) if one or more air bag have been previously triggered on the same day, the latest New Observed Price.</w:t>
            </w:r>
          </w:p>
          <w:p w14:paraId="332C3867" w14:textId="77777777" w:rsidR="007A79B5" w:rsidRPr="000D7A90" w:rsidRDefault="007A79B5" w:rsidP="00C41708">
            <w:pPr>
              <w:keepLines/>
              <w:numPr>
                <w:ilvl w:val="0"/>
                <w:numId w:val="9"/>
              </w:numPr>
              <w:spacing w:after="0" w:line="240" w:lineRule="auto"/>
              <w:rPr>
                <w:rFonts w:ascii="Times New Roman" w:hAnsi="Times New Roman"/>
                <w:b/>
                <w:sz w:val="20"/>
                <w:szCs w:val="20"/>
              </w:rPr>
            </w:pPr>
            <w:r w:rsidRPr="000D7A90">
              <w:rPr>
                <w:rFonts w:ascii="Times New Roman" w:hAnsi="Times New Roman"/>
                <w:b/>
                <w:sz w:val="20"/>
                <w:szCs w:val="20"/>
              </w:rPr>
              <w:t>The Certificates may be cancelled by the Issuer</w:t>
            </w:r>
          </w:p>
          <w:p w14:paraId="427C97F7" w14:textId="77777777" w:rsidR="007A79B5" w:rsidRPr="000D7A90" w:rsidRDefault="007A79B5" w:rsidP="00C41708">
            <w:pPr>
              <w:keepLines/>
              <w:spacing w:after="0" w:line="240" w:lineRule="auto"/>
              <w:ind w:left="360"/>
              <w:rPr>
                <w:rFonts w:ascii="Times New Roman" w:hAnsi="Times New Roman"/>
                <w:b/>
                <w:sz w:val="20"/>
                <w:szCs w:val="20"/>
              </w:rPr>
            </w:pPr>
            <w:r w:rsidRPr="000D7A90">
              <w:rPr>
                <w:rStyle w:val="DeltaViewInsertion"/>
                <w:rFonts w:ascii="Times New Roman" w:hAnsi="Times New Roman"/>
                <w:bCs/>
                <w:color w:val="000000" w:themeColor="text1"/>
                <w:sz w:val="20"/>
                <w:u w:val="none"/>
              </w:rPr>
              <w:t>The Certificates may be cancelled at the discretion of the Issuer under certain circumstances, on giving notice to investors in accordance with the terms and conditions of the Certificates. Any money received by an investor on cancellation of the Certificates, which will be at the mark to market price, may be less than the capital initially invested by the investor, resulting in a loss to the investor.</w:t>
            </w:r>
          </w:p>
        </w:tc>
      </w:tr>
      <w:tr w:rsidR="00EB2213" w:rsidRPr="000D7A90" w14:paraId="690718BE" w14:textId="77777777" w:rsidTr="003C2303">
        <w:trPr>
          <w:jc w:val="center"/>
        </w:trPr>
        <w:tc>
          <w:tcPr>
            <w:tcW w:w="11027" w:type="dxa"/>
            <w:gridSpan w:val="5"/>
            <w:shd w:val="clear" w:color="auto" w:fill="C14020"/>
          </w:tcPr>
          <w:p w14:paraId="3CDF9941" w14:textId="77777777" w:rsidR="00EB2213" w:rsidRPr="000D7A90" w:rsidRDefault="00EB2213" w:rsidP="00A44B0F">
            <w:pPr>
              <w:keepLines/>
              <w:spacing w:after="0" w:line="240" w:lineRule="auto"/>
              <w:jc w:val="center"/>
              <w:rPr>
                <w:rFonts w:ascii="Times New Roman" w:hAnsi="Times New Roman"/>
                <w:b/>
                <w:color w:val="FFFFFF"/>
                <w:sz w:val="20"/>
                <w:szCs w:val="20"/>
              </w:rPr>
            </w:pPr>
            <w:r w:rsidRPr="000D7A90">
              <w:rPr>
                <w:rFonts w:ascii="Times New Roman" w:hAnsi="Times New Roman"/>
                <w:b/>
                <w:color w:val="FFFFFF"/>
                <w:sz w:val="20"/>
                <w:szCs w:val="20"/>
              </w:rPr>
              <w:lastRenderedPageBreak/>
              <w:t>Issuer Related Risks</w:t>
            </w:r>
          </w:p>
        </w:tc>
      </w:tr>
      <w:tr w:rsidR="001A4F3F" w:rsidRPr="000D7A90" w14:paraId="5F23F825" w14:textId="77777777" w:rsidTr="00260E9F">
        <w:trPr>
          <w:jc w:val="center"/>
        </w:trPr>
        <w:tc>
          <w:tcPr>
            <w:tcW w:w="11027" w:type="dxa"/>
            <w:gridSpan w:val="5"/>
            <w:shd w:val="clear" w:color="auto" w:fill="auto"/>
          </w:tcPr>
          <w:p w14:paraId="504D31D3" w14:textId="77777777" w:rsidR="001A4F3F" w:rsidRPr="000D7A90" w:rsidRDefault="001A4F3F" w:rsidP="001A4F3F">
            <w:pPr>
              <w:keepLines/>
              <w:numPr>
                <w:ilvl w:val="0"/>
                <w:numId w:val="9"/>
              </w:numPr>
              <w:spacing w:after="0" w:line="240" w:lineRule="auto"/>
              <w:jc w:val="both"/>
              <w:rPr>
                <w:rFonts w:ascii="Times New Roman" w:hAnsi="Times New Roman"/>
                <w:b/>
                <w:sz w:val="20"/>
                <w:szCs w:val="20"/>
              </w:rPr>
            </w:pPr>
            <w:r w:rsidRPr="000D7A90">
              <w:rPr>
                <w:rFonts w:ascii="Times New Roman" w:hAnsi="Times New Roman"/>
                <w:b/>
                <w:sz w:val="20"/>
                <w:szCs w:val="20"/>
              </w:rPr>
              <w:t>You are exposed to the credit risk of the Issuer and the Guarantor</w:t>
            </w:r>
          </w:p>
          <w:p w14:paraId="3C7D4EB5" w14:textId="77777777" w:rsidR="001A4F3F" w:rsidRPr="000D7A90" w:rsidRDefault="001A4F3F" w:rsidP="001A4F3F">
            <w:pPr>
              <w:keepLines/>
              <w:spacing w:after="0" w:line="240" w:lineRule="auto"/>
              <w:ind w:left="357"/>
              <w:jc w:val="both"/>
              <w:rPr>
                <w:rFonts w:ascii="Times New Roman" w:hAnsi="Times New Roman"/>
                <w:sz w:val="20"/>
                <w:szCs w:val="20"/>
              </w:rPr>
            </w:pPr>
            <w:r w:rsidRPr="000D7A90">
              <w:rPr>
                <w:rFonts w:ascii="Times New Roman" w:hAnsi="Times New Roman"/>
                <w:sz w:val="20"/>
                <w:szCs w:val="20"/>
              </w:rPr>
              <w:t>The Certificates constitute general and unsecured obligations of the Issuer</w:t>
            </w:r>
            <w:r w:rsidR="00DA459A">
              <w:rPr>
                <w:rFonts w:ascii="Times New Roman" w:hAnsi="Times New Roman"/>
                <w:sz w:val="20"/>
                <w:szCs w:val="20"/>
              </w:rPr>
              <w:t xml:space="preserve"> (in the case of any substitution of the Issuer in accordance with the Conditions of the Certificates, the Substituted Obligor as defined in the Conditions of the Certificates) </w:t>
            </w:r>
            <w:r w:rsidRPr="000D7A90">
              <w:rPr>
                <w:rFonts w:ascii="Times New Roman" w:hAnsi="Times New Roman"/>
                <w:sz w:val="20"/>
                <w:szCs w:val="20"/>
              </w:rPr>
              <w:t>and of no other person,</w:t>
            </w:r>
            <w:r w:rsidRPr="000D7A90">
              <w:t xml:space="preserve"> </w:t>
            </w:r>
            <w:r w:rsidRPr="000D7A90">
              <w:rPr>
                <w:rFonts w:ascii="Times New Roman" w:hAnsi="Times New Roman"/>
                <w:sz w:val="20"/>
                <w:szCs w:val="20"/>
              </w:rPr>
              <w:t xml:space="preserve">and the guarantee provided by the Guarantor constitutes </w:t>
            </w:r>
            <w:r w:rsidR="00905194">
              <w:rPr>
                <w:rFonts w:ascii="Times New Roman" w:hAnsi="Times New Roman"/>
                <w:sz w:val="20"/>
                <w:szCs w:val="20"/>
              </w:rPr>
              <w:t>direct unconditional</w:t>
            </w:r>
            <w:r w:rsidR="00905194" w:rsidRPr="000D7A90">
              <w:rPr>
                <w:rFonts w:ascii="Times New Roman" w:hAnsi="Times New Roman"/>
                <w:sz w:val="20"/>
                <w:szCs w:val="20"/>
              </w:rPr>
              <w:t xml:space="preserve"> </w:t>
            </w:r>
            <w:r w:rsidRPr="000D7A90">
              <w:rPr>
                <w:rFonts w:ascii="Times New Roman" w:hAnsi="Times New Roman"/>
                <w:sz w:val="20"/>
                <w:szCs w:val="20"/>
              </w:rPr>
              <w:t xml:space="preserve">unsecured </w:t>
            </w:r>
            <w:r w:rsidR="00905194">
              <w:rPr>
                <w:rFonts w:ascii="Times New Roman" w:hAnsi="Times New Roman"/>
                <w:sz w:val="20"/>
                <w:szCs w:val="20"/>
              </w:rPr>
              <w:t xml:space="preserve">senior preferred </w:t>
            </w:r>
            <w:r w:rsidRPr="000D7A90">
              <w:rPr>
                <w:rFonts w:ascii="Times New Roman" w:hAnsi="Times New Roman"/>
                <w:sz w:val="20"/>
                <w:szCs w:val="20"/>
              </w:rPr>
              <w:t xml:space="preserve">obligations of the Guarantor and of no other person. If you purchase the Certificates, you are relying upon the creditworthiness of the Issuer and the Guarantor and have no rights under the Certificates against any other person. You should note that the Issuer issues </w:t>
            </w:r>
            <w:proofErr w:type="gramStart"/>
            <w:r w:rsidRPr="000D7A90">
              <w:rPr>
                <w:rFonts w:ascii="Times New Roman" w:hAnsi="Times New Roman"/>
                <w:sz w:val="20"/>
                <w:szCs w:val="20"/>
              </w:rPr>
              <w:t>a large number of</w:t>
            </w:r>
            <w:proofErr w:type="gramEnd"/>
            <w:r w:rsidRPr="000D7A90">
              <w:rPr>
                <w:rFonts w:ascii="Times New Roman" w:hAnsi="Times New Roman"/>
                <w:sz w:val="20"/>
                <w:szCs w:val="20"/>
              </w:rPr>
              <w:t xml:space="preserve"> financial instruments, including Certificates, on a global basis and at any given time, the financial instruments outstanding may be substantial.</w:t>
            </w:r>
          </w:p>
          <w:p w14:paraId="2E41548A" w14:textId="77777777" w:rsidR="001A4F3F" w:rsidRPr="000D7A90" w:rsidRDefault="001A4F3F" w:rsidP="001A4F3F">
            <w:pPr>
              <w:keepLines/>
              <w:numPr>
                <w:ilvl w:val="0"/>
                <w:numId w:val="9"/>
              </w:numPr>
              <w:spacing w:after="0" w:line="240" w:lineRule="auto"/>
              <w:jc w:val="both"/>
              <w:rPr>
                <w:rFonts w:ascii="Times New Roman" w:hAnsi="Times New Roman"/>
                <w:b/>
                <w:sz w:val="20"/>
                <w:szCs w:val="20"/>
              </w:rPr>
            </w:pPr>
            <w:r w:rsidRPr="000D7A90">
              <w:rPr>
                <w:rFonts w:ascii="Times New Roman" w:hAnsi="Times New Roman"/>
                <w:b/>
                <w:sz w:val="20"/>
                <w:szCs w:val="20"/>
              </w:rPr>
              <w:t>Conflicts of interest may arise from the overall activities of the Issuer, the Guarantor and their subsidiaries or affiliates</w:t>
            </w:r>
          </w:p>
          <w:p w14:paraId="1B55035C" w14:textId="77777777" w:rsidR="001A4F3F" w:rsidRPr="000D7A90" w:rsidRDefault="001A4F3F" w:rsidP="001A4F3F">
            <w:pPr>
              <w:keepLines/>
              <w:spacing w:after="0" w:line="240" w:lineRule="auto"/>
              <w:ind w:left="360"/>
              <w:jc w:val="both"/>
              <w:rPr>
                <w:rFonts w:ascii="Times New Roman" w:hAnsi="Times New Roman"/>
                <w:sz w:val="20"/>
                <w:szCs w:val="20"/>
              </w:rPr>
            </w:pPr>
            <w:r w:rsidRPr="000D7A90">
              <w:rPr>
                <w:rFonts w:ascii="Times New Roman" w:hAnsi="Times New Roman"/>
                <w:sz w:val="20"/>
                <w:szCs w:val="20"/>
                <w:lang w:val="en-US"/>
              </w:rPr>
              <w:t xml:space="preserve">The Issuer, the Guarantor and any of their subsidiaries and affiliates are diversified financial institutions that engage in a wide range of commercial and investment banking, brokerage, funds management, hedging transactions and investment and other activities for their own account or the account of others. In addition, the Issuer, the </w:t>
            </w:r>
            <w:proofErr w:type="gramStart"/>
            <w:r w:rsidRPr="000D7A90">
              <w:rPr>
                <w:rFonts w:ascii="Times New Roman" w:hAnsi="Times New Roman"/>
                <w:sz w:val="20"/>
                <w:szCs w:val="20"/>
                <w:lang w:val="en-US"/>
              </w:rPr>
              <w:t>Guarantor</w:t>
            </w:r>
            <w:proofErr w:type="gramEnd"/>
            <w:r w:rsidRPr="000D7A90">
              <w:rPr>
                <w:rFonts w:ascii="Times New Roman" w:hAnsi="Times New Roman"/>
                <w:sz w:val="20"/>
                <w:szCs w:val="20"/>
                <w:lang w:val="en-US"/>
              </w:rPr>
              <w:t xml:space="preserve"> and any of their subsidiaries and/or affiliates, in connection with their other business activities, may possess or acquire material information about the Underlying Stock. Such activities and information may involve or otherwise affect issuers of the Underlying Stock in a manner that may cause consequences adverse to investors in the Certificates or otherwise create conflicts of interests in connection with the issue of Certificates by the Issuer. </w:t>
            </w:r>
          </w:p>
          <w:p w14:paraId="276E9001" w14:textId="77777777" w:rsidR="001A4F3F" w:rsidRPr="000D7A90" w:rsidRDefault="001A4F3F" w:rsidP="001A4F3F">
            <w:pPr>
              <w:keepLines/>
              <w:numPr>
                <w:ilvl w:val="0"/>
                <w:numId w:val="9"/>
              </w:numPr>
              <w:spacing w:after="0" w:line="240" w:lineRule="auto"/>
              <w:jc w:val="both"/>
              <w:rPr>
                <w:rFonts w:ascii="Times New Roman" w:hAnsi="Times New Roman"/>
                <w:b/>
                <w:sz w:val="20"/>
                <w:szCs w:val="20"/>
              </w:rPr>
            </w:pPr>
            <w:r w:rsidRPr="000D7A90">
              <w:rPr>
                <w:rFonts w:ascii="Times New Roman" w:hAnsi="Times New Roman"/>
                <w:b/>
                <w:sz w:val="20"/>
                <w:szCs w:val="20"/>
              </w:rPr>
              <w:t>Hedging or market-making activities by the Issuer, the Guarantor and their subsidiaries or affiliates may affect the Certificates</w:t>
            </w:r>
          </w:p>
          <w:p w14:paraId="579736F3" w14:textId="77777777" w:rsidR="001A4F3F" w:rsidRPr="000D7A90" w:rsidRDefault="001A4F3F" w:rsidP="001A4F3F">
            <w:pPr>
              <w:keepLines/>
              <w:spacing w:after="0" w:line="240" w:lineRule="auto"/>
              <w:ind w:left="360"/>
              <w:jc w:val="both"/>
              <w:rPr>
                <w:rFonts w:ascii="Times New Roman" w:hAnsi="Times New Roman"/>
                <w:b/>
                <w:sz w:val="20"/>
                <w:szCs w:val="20"/>
              </w:rPr>
            </w:pPr>
            <w:r w:rsidRPr="000D7A90">
              <w:rPr>
                <w:rFonts w:ascii="Times New Roman" w:hAnsi="Times New Roman"/>
                <w:sz w:val="20"/>
                <w:szCs w:val="20"/>
                <w:lang w:val="en-US"/>
              </w:rPr>
              <w:t>In connection with hedging or market-making activities or with respect to proprietary or other trading activities by the Issuer, the Guarantor and any of their respective subsidiaries and affiliates, the Issuer, the Guarantor and any of their respective subsidiaries and affiliates may enter into transactions in the Underlying Stock which may affect the market price, liquidity or value of the Certificates and which may affect the interests of investors in the Certificates.</w:t>
            </w:r>
          </w:p>
        </w:tc>
      </w:tr>
      <w:tr w:rsidR="001A4F3F" w:rsidRPr="000D7A90" w14:paraId="7630D848" w14:textId="77777777" w:rsidTr="00A44B0F">
        <w:trPr>
          <w:jc w:val="center"/>
        </w:trPr>
        <w:tc>
          <w:tcPr>
            <w:tcW w:w="11027" w:type="dxa"/>
            <w:gridSpan w:val="5"/>
            <w:tcBorders>
              <w:bottom w:val="single" w:sz="4" w:space="0" w:color="auto"/>
            </w:tcBorders>
            <w:shd w:val="solid" w:color="auto" w:fill="auto"/>
          </w:tcPr>
          <w:p w14:paraId="01F3848D" w14:textId="77777777" w:rsidR="001A4F3F" w:rsidRPr="000D7A90" w:rsidRDefault="001A4F3F" w:rsidP="001A4F3F">
            <w:pPr>
              <w:keepLines/>
              <w:spacing w:after="0" w:line="240" w:lineRule="auto"/>
              <w:jc w:val="center"/>
              <w:rPr>
                <w:rFonts w:ascii="Times New Roman" w:hAnsi="Times New Roman"/>
                <w:b/>
                <w:sz w:val="20"/>
                <w:szCs w:val="20"/>
              </w:rPr>
            </w:pPr>
            <w:r w:rsidRPr="000D7A90">
              <w:rPr>
                <w:rFonts w:ascii="Times New Roman" w:hAnsi="Times New Roman"/>
                <w:b/>
                <w:sz w:val="20"/>
                <w:szCs w:val="20"/>
              </w:rPr>
              <w:t>F.  FEES AND CHARGES</w:t>
            </w:r>
          </w:p>
        </w:tc>
      </w:tr>
      <w:tr w:rsidR="001A4F3F" w:rsidRPr="000D7A90" w14:paraId="062E90EA" w14:textId="77777777" w:rsidTr="0032169E">
        <w:trPr>
          <w:trHeight w:val="1440"/>
          <w:jc w:val="center"/>
        </w:trPr>
        <w:tc>
          <w:tcPr>
            <w:tcW w:w="11027" w:type="dxa"/>
            <w:gridSpan w:val="5"/>
            <w:tcBorders>
              <w:bottom w:val="single" w:sz="4" w:space="0" w:color="auto"/>
            </w:tcBorders>
            <w:shd w:val="clear" w:color="auto" w:fill="auto"/>
          </w:tcPr>
          <w:p w14:paraId="4AE631CD" w14:textId="77777777" w:rsidR="001A4F3F" w:rsidRPr="000D7A90" w:rsidRDefault="001A4F3F" w:rsidP="001A4F3F">
            <w:pPr>
              <w:keepLines/>
              <w:spacing w:after="0" w:line="240" w:lineRule="auto"/>
              <w:jc w:val="both"/>
              <w:rPr>
                <w:rFonts w:ascii="Times New Roman" w:hAnsi="Times New Roman"/>
                <w:b/>
                <w:sz w:val="20"/>
                <w:szCs w:val="20"/>
              </w:rPr>
            </w:pPr>
            <w:r w:rsidRPr="000D7A90">
              <w:rPr>
                <w:rFonts w:ascii="Times New Roman" w:hAnsi="Times New Roman"/>
                <w:b/>
                <w:sz w:val="20"/>
                <w:szCs w:val="20"/>
              </w:rPr>
              <w:t xml:space="preserve">WHAT ARE THE FEES AND CHARGES OF THIS INVESTMENT? </w:t>
            </w:r>
          </w:p>
          <w:p w14:paraId="7C1168C0" w14:textId="77777777" w:rsidR="001A4F3F" w:rsidRPr="000D7A90" w:rsidRDefault="001A4F3F" w:rsidP="001A4F3F">
            <w:pPr>
              <w:keepLines/>
              <w:numPr>
                <w:ilvl w:val="0"/>
                <w:numId w:val="9"/>
              </w:numPr>
              <w:spacing w:after="0" w:line="240" w:lineRule="auto"/>
              <w:jc w:val="both"/>
              <w:rPr>
                <w:rFonts w:ascii="Times New Roman" w:hAnsi="Times New Roman"/>
                <w:sz w:val="20"/>
                <w:szCs w:val="20"/>
              </w:rPr>
            </w:pPr>
            <w:r w:rsidRPr="000D7A90">
              <w:rPr>
                <w:rFonts w:ascii="Times New Roman" w:hAnsi="Times New Roman"/>
                <w:sz w:val="20"/>
                <w:szCs w:val="20"/>
              </w:rPr>
              <w:t xml:space="preserve">Normal transaction and brokerage fees apply, </w:t>
            </w:r>
            <w:proofErr w:type="gramStart"/>
            <w:r w:rsidRPr="000D7A90">
              <w:rPr>
                <w:rFonts w:ascii="Times New Roman" w:hAnsi="Times New Roman"/>
                <w:sz w:val="20"/>
                <w:szCs w:val="20"/>
              </w:rPr>
              <w:t>similar to</w:t>
            </w:r>
            <w:proofErr w:type="gramEnd"/>
            <w:r w:rsidRPr="000D7A90">
              <w:rPr>
                <w:rFonts w:ascii="Times New Roman" w:hAnsi="Times New Roman"/>
                <w:sz w:val="20"/>
                <w:szCs w:val="20"/>
              </w:rPr>
              <w:t xml:space="preserve"> fees that you would pay for other transactions on SGX-ST. </w:t>
            </w:r>
          </w:p>
          <w:p w14:paraId="42EC8170" w14:textId="77777777" w:rsidR="001A4F3F" w:rsidRPr="000D7A90" w:rsidRDefault="001A4F3F" w:rsidP="001A4F3F">
            <w:pPr>
              <w:keepLines/>
              <w:numPr>
                <w:ilvl w:val="0"/>
                <w:numId w:val="9"/>
              </w:numPr>
              <w:spacing w:after="0" w:line="240" w:lineRule="auto"/>
              <w:jc w:val="both"/>
              <w:rPr>
                <w:rFonts w:ascii="Times New Roman" w:hAnsi="Times New Roman"/>
                <w:b/>
                <w:sz w:val="20"/>
                <w:szCs w:val="20"/>
              </w:rPr>
            </w:pPr>
            <w:r w:rsidRPr="000D7A90">
              <w:rPr>
                <w:rFonts w:ascii="Times New Roman" w:hAnsi="Times New Roman"/>
                <w:sz w:val="20"/>
                <w:szCs w:val="20"/>
              </w:rPr>
              <w:t xml:space="preserve">Investors holding their position overnight will </w:t>
            </w:r>
            <w:r w:rsidRPr="000D7A90">
              <w:rPr>
                <w:rFonts w:ascii="Times New Roman" w:hAnsi="Times New Roman" w:hint="eastAsia"/>
                <w:sz w:val="20"/>
                <w:szCs w:val="20"/>
              </w:rPr>
              <w:t xml:space="preserve">also </w:t>
            </w:r>
            <w:r w:rsidRPr="000D7A90">
              <w:rPr>
                <w:rFonts w:ascii="Times New Roman" w:hAnsi="Times New Roman"/>
                <w:sz w:val="20"/>
                <w:szCs w:val="20"/>
              </w:rPr>
              <w:t xml:space="preserve">incur the annualised cost (which consists of the Management Fee and Gap Premium, which are calculated daily and applied to the value of the product, as well as certain costs embedded within </w:t>
            </w:r>
            <w:r w:rsidR="00056509" w:rsidRPr="000D7A90">
              <w:rPr>
                <w:rFonts w:ascii="Times New Roman" w:hAnsi="Times New Roman"/>
                <w:sz w:val="20"/>
                <w:szCs w:val="20"/>
              </w:rPr>
              <w:t xml:space="preserve">the </w:t>
            </w:r>
            <w:r w:rsidRPr="000D7A90">
              <w:rPr>
                <w:rFonts w:ascii="Times New Roman" w:hAnsi="Times New Roman"/>
                <w:sz w:val="20"/>
                <w:szCs w:val="20"/>
              </w:rPr>
              <w:t>Leverage Inverse Strategy</w:t>
            </w:r>
            <w:r w:rsidR="00D37027" w:rsidRPr="000D7A90">
              <w:rPr>
                <w:rFonts w:ascii="Times New Roman" w:hAnsi="Times New Roman"/>
                <w:sz w:val="20"/>
                <w:szCs w:val="20"/>
                <w:lang w:val="en-CA"/>
              </w:rPr>
              <w:t xml:space="preserve"> </w:t>
            </w:r>
            <w:r w:rsidRPr="000D7A90">
              <w:rPr>
                <w:rFonts w:ascii="Times New Roman" w:hAnsi="Times New Roman"/>
                <w:sz w:val="20"/>
                <w:szCs w:val="20"/>
              </w:rPr>
              <w:t>inc</w:t>
            </w:r>
            <w:r w:rsidR="00C47F43" w:rsidRPr="000D7A90">
              <w:rPr>
                <w:rFonts w:ascii="Times New Roman" w:hAnsi="Times New Roman"/>
                <w:sz w:val="20"/>
                <w:szCs w:val="20"/>
              </w:rPr>
              <w:t>l</w:t>
            </w:r>
            <w:r w:rsidR="00B95A52" w:rsidRPr="000D7A90">
              <w:rPr>
                <w:rFonts w:ascii="Times New Roman" w:hAnsi="Times New Roman"/>
                <w:sz w:val="20"/>
                <w:szCs w:val="20"/>
              </w:rPr>
              <w:t xml:space="preserve">uding the Stock Borrowing Cost </w:t>
            </w:r>
            <w:r w:rsidRPr="000D7A90">
              <w:rPr>
                <w:rFonts w:ascii="Times New Roman" w:hAnsi="Times New Roman"/>
                <w:sz w:val="20"/>
                <w:szCs w:val="20"/>
              </w:rPr>
              <w:t xml:space="preserve">and Rebalancing Cost). The Management Fee and Gap Premium will be published on the website at </w:t>
            </w:r>
            <w:hyperlink r:id="rId17" w:history="1">
              <w:r w:rsidRPr="000D7A90">
                <w:rPr>
                  <w:rStyle w:val="Hyperlink"/>
                  <w:rFonts w:ascii="Times New Roman" w:eastAsia="SimHei" w:hAnsi="Times New Roman"/>
                  <w:color w:val="auto"/>
                </w:rPr>
                <w:t>dlc.socgen.com</w:t>
              </w:r>
            </w:hyperlink>
            <w:r w:rsidRPr="000D7A90">
              <w:rPr>
                <w:rFonts w:ascii="Times New Roman" w:hAnsi="Times New Roman"/>
                <w:sz w:val="20"/>
                <w:szCs w:val="20"/>
              </w:rPr>
              <w:t xml:space="preserve"> and updated daily. </w:t>
            </w:r>
          </w:p>
        </w:tc>
      </w:tr>
    </w:tbl>
    <w:p w14:paraId="437A11B6" w14:textId="77777777" w:rsidR="003262C4" w:rsidRPr="000D7A90" w:rsidRDefault="00105C71" w:rsidP="003262C4">
      <w:pPr>
        <w:spacing w:after="0" w:line="240" w:lineRule="auto"/>
        <w:jc w:val="center"/>
        <w:rPr>
          <w:rFonts w:cs="Arial"/>
          <w:b/>
          <w:caps/>
          <w:sz w:val="20"/>
          <w:szCs w:val="20"/>
          <w:lang w:val="en-CA"/>
        </w:rPr>
      </w:pPr>
      <w:r w:rsidRPr="000D7A90">
        <w:rPr>
          <w:rFonts w:ascii="Times New Roman" w:hAnsi="Times New Roman"/>
          <w:b/>
          <w:caps/>
          <w:lang w:val="en-CA"/>
        </w:rPr>
        <w:br w:type="page"/>
      </w:r>
      <w:r w:rsidR="003262C4" w:rsidRPr="000D7A90">
        <w:rPr>
          <w:rFonts w:cs="Arial"/>
          <w:b/>
          <w:caps/>
          <w:sz w:val="20"/>
          <w:szCs w:val="20"/>
          <w:lang w:val="en-CA"/>
        </w:rPr>
        <w:lastRenderedPageBreak/>
        <w:t>Appendix I</w:t>
      </w:r>
    </w:p>
    <w:p w14:paraId="3D064F81" w14:textId="77777777" w:rsidR="003262C4" w:rsidRPr="000D7A90" w:rsidRDefault="003262C4" w:rsidP="003262C4">
      <w:pPr>
        <w:spacing w:after="0" w:line="240" w:lineRule="auto"/>
        <w:jc w:val="center"/>
        <w:rPr>
          <w:rFonts w:cs="Arial"/>
          <w:b/>
          <w:caps/>
          <w:sz w:val="20"/>
          <w:szCs w:val="20"/>
          <w:lang w:val="en-CA"/>
        </w:rPr>
      </w:pPr>
    </w:p>
    <w:p w14:paraId="3624E048" w14:textId="77777777" w:rsidR="003262C4" w:rsidRPr="000D7A90" w:rsidRDefault="003262C4" w:rsidP="003262C4">
      <w:pPr>
        <w:spacing w:after="0" w:line="240" w:lineRule="auto"/>
        <w:jc w:val="center"/>
        <w:rPr>
          <w:rFonts w:cs="Arial"/>
          <w:b/>
          <w:caps/>
          <w:szCs w:val="20"/>
          <w:lang w:val="en-CA"/>
        </w:rPr>
      </w:pPr>
      <w:r w:rsidRPr="000D7A90">
        <w:rPr>
          <w:rFonts w:cs="Arial"/>
          <w:b/>
          <w:caps/>
          <w:szCs w:val="20"/>
          <w:lang w:val="en-CA"/>
        </w:rPr>
        <w:t>SPECIFIC DEFINITIONS RELATING TO THE</w:t>
      </w:r>
      <w:r w:rsidR="000E50AA" w:rsidRPr="000D7A90">
        <w:rPr>
          <w:rFonts w:cs="Arial"/>
          <w:b/>
          <w:caps/>
          <w:szCs w:val="20"/>
          <w:lang w:val="en-CA"/>
        </w:rPr>
        <w:t xml:space="preserve"> LEVERAGE</w:t>
      </w:r>
      <w:r w:rsidRPr="000D7A90">
        <w:rPr>
          <w:rFonts w:cs="Arial"/>
          <w:b/>
          <w:caps/>
          <w:szCs w:val="20"/>
          <w:lang w:val="en-CA"/>
        </w:rPr>
        <w:t xml:space="preserve"> </w:t>
      </w:r>
      <w:r w:rsidR="00557BE9" w:rsidRPr="000D7A90">
        <w:rPr>
          <w:rFonts w:cs="Arial"/>
          <w:b/>
          <w:caps/>
          <w:szCs w:val="20"/>
          <w:lang w:val="en-CA"/>
        </w:rPr>
        <w:t>INVERSE</w:t>
      </w:r>
      <w:r w:rsidRPr="000D7A90">
        <w:rPr>
          <w:rFonts w:cs="Arial"/>
          <w:b/>
          <w:caps/>
          <w:szCs w:val="20"/>
          <w:lang w:val="en-CA"/>
        </w:rPr>
        <w:t xml:space="preserve"> STRATEGY</w:t>
      </w:r>
    </w:p>
    <w:p w14:paraId="3FBCEA85" w14:textId="77777777" w:rsidR="0032169E" w:rsidRPr="000D7A90" w:rsidRDefault="0032169E" w:rsidP="0032169E">
      <w:pPr>
        <w:pStyle w:val="PlainText"/>
        <w:spacing w:after="140" w:line="290" w:lineRule="auto"/>
        <w:jc w:val="both"/>
        <w:rPr>
          <w:rFonts w:ascii="Arial" w:hAnsi="Arial" w:cs="Arial"/>
          <w:b/>
          <w:bCs/>
          <w:u w:val="single"/>
          <w:lang w:val="en-CA"/>
        </w:rPr>
      </w:pPr>
    </w:p>
    <w:p w14:paraId="4D7DCB47" w14:textId="77777777" w:rsidR="0032169E" w:rsidRPr="000D7A90" w:rsidRDefault="00557BE9" w:rsidP="0032169E">
      <w:pPr>
        <w:pStyle w:val="PlainText"/>
        <w:spacing w:after="140" w:line="290" w:lineRule="auto"/>
        <w:jc w:val="both"/>
        <w:rPr>
          <w:rFonts w:ascii="Arial" w:hAnsi="Arial" w:cs="Arial"/>
          <w:b/>
          <w:bCs/>
          <w:u w:val="single"/>
        </w:rPr>
      </w:pPr>
      <w:r w:rsidRPr="000D7A90">
        <w:rPr>
          <w:rFonts w:ascii="Arial" w:hAnsi="Arial" w:cs="Arial"/>
          <w:b/>
          <w:bCs/>
          <w:u w:val="single"/>
        </w:rPr>
        <w:t>Description of the Leverage Inverse Strategy</w:t>
      </w:r>
    </w:p>
    <w:p w14:paraId="6DEC5043" w14:textId="77777777" w:rsidR="00557BE9" w:rsidRPr="000D7A90" w:rsidRDefault="00557BE9" w:rsidP="00557BE9">
      <w:pPr>
        <w:pStyle w:val="PlainText"/>
        <w:spacing w:after="140" w:line="290" w:lineRule="auto"/>
        <w:jc w:val="both"/>
        <w:rPr>
          <w:rFonts w:ascii="Arial" w:hAnsi="Arial" w:cs="Arial"/>
        </w:rPr>
      </w:pPr>
      <w:r w:rsidRPr="000D7A90">
        <w:rPr>
          <w:rFonts w:ascii="Arial" w:hAnsi="Arial" w:cs="Arial"/>
        </w:rPr>
        <w:t xml:space="preserve">The Leverage Inverse Strategy is designed to track a 5 times daily leveraged inverse exposure to the </w:t>
      </w:r>
      <w:r w:rsidR="00314263" w:rsidRPr="000D7A90">
        <w:rPr>
          <w:rFonts w:ascii="Arial" w:hAnsi="Arial" w:cs="Arial"/>
        </w:rPr>
        <w:t>Underlying Stock</w:t>
      </w:r>
      <w:r w:rsidRPr="000D7A90">
        <w:rPr>
          <w:rFonts w:ascii="Arial" w:hAnsi="Arial" w:cs="Arial"/>
        </w:rPr>
        <w:t>.</w:t>
      </w:r>
    </w:p>
    <w:p w14:paraId="1DD002A4" w14:textId="77777777" w:rsidR="00557BE9" w:rsidRPr="000D7A90" w:rsidRDefault="00557BE9" w:rsidP="00557BE9">
      <w:pPr>
        <w:pStyle w:val="PlainText"/>
        <w:spacing w:after="140" w:line="290" w:lineRule="auto"/>
        <w:jc w:val="both"/>
        <w:rPr>
          <w:rFonts w:ascii="Arial" w:hAnsi="Arial" w:cs="Arial"/>
          <w:lang w:val="en-US"/>
        </w:rPr>
      </w:pPr>
      <w:r w:rsidRPr="000D7A90">
        <w:rPr>
          <w:rFonts w:ascii="Arial" w:hAnsi="Arial" w:cs="Arial"/>
          <w:lang w:val="en-US"/>
        </w:rPr>
        <w:t xml:space="preserve">At the end of each trading day of the </w:t>
      </w:r>
      <w:r w:rsidR="00314263" w:rsidRPr="000D7A90">
        <w:rPr>
          <w:rFonts w:ascii="Arial" w:hAnsi="Arial" w:cs="Arial"/>
        </w:rPr>
        <w:t>Underlying Stock</w:t>
      </w:r>
      <w:r w:rsidRPr="000D7A90">
        <w:rPr>
          <w:rFonts w:ascii="Arial" w:hAnsi="Arial" w:cs="Arial"/>
          <w:lang w:val="en-US"/>
        </w:rPr>
        <w:t xml:space="preserve">, the exposure of the Leverage Inverse Strategy to the </w:t>
      </w:r>
      <w:r w:rsidR="00314263" w:rsidRPr="000D7A90">
        <w:rPr>
          <w:rFonts w:ascii="Arial" w:hAnsi="Arial" w:cs="Arial"/>
        </w:rPr>
        <w:t>Underlying Stock</w:t>
      </w:r>
      <w:r w:rsidR="00314263" w:rsidRPr="000D7A90">
        <w:rPr>
          <w:rFonts w:ascii="Arial" w:hAnsi="Arial" w:cs="Arial"/>
          <w:lang w:val="en-US"/>
        </w:rPr>
        <w:t xml:space="preserve"> </w:t>
      </w:r>
      <w:r w:rsidRPr="000D7A90">
        <w:rPr>
          <w:rFonts w:ascii="Arial" w:hAnsi="Arial" w:cs="Arial"/>
          <w:lang w:val="en-US"/>
        </w:rPr>
        <w:t xml:space="preserve">is reset within the Leverage Inverse Strategy </w:t>
      </w:r>
      <w:proofErr w:type="gramStart"/>
      <w:r w:rsidRPr="000D7A90">
        <w:rPr>
          <w:rFonts w:ascii="Arial" w:hAnsi="Arial" w:cs="Arial"/>
          <w:lang w:val="en-US"/>
        </w:rPr>
        <w:t>in order to</w:t>
      </w:r>
      <w:proofErr w:type="gramEnd"/>
      <w:r w:rsidRPr="000D7A90">
        <w:rPr>
          <w:rFonts w:ascii="Arial" w:hAnsi="Arial" w:cs="Arial"/>
          <w:lang w:val="en-US"/>
        </w:rPr>
        <w:t xml:space="preserve"> retain a daily leverage of </w:t>
      </w:r>
      <w:r w:rsidR="00734768" w:rsidRPr="000D7A90">
        <w:rPr>
          <w:rFonts w:ascii="Arial" w:hAnsi="Arial" w:cs="Arial"/>
        </w:rPr>
        <w:t>5</w:t>
      </w:r>
      <w:r w:rsidRPr="000D7A90">
        <w:rPr>
          <w:rFonts w:ascii="Arial" w:hAnsi="Arial" w:cs="Arial"/>
          <w:lang w:val="en-US"/>
        </w:rPr>
        <w:t xml:space="preserve"> times the inverse performance of the </w:t>
      </w:r>
      <w:r w:rsidR="00314263" w:rsidRPr="000D7A90">
        <w:rPr>
          <w:rFonts w:ascii="Arial" w:hAnsi="Arial" w:cs="Arial"/>
        </w:rPr>
        <w:t>Underlying Stock</w:t>
      </w:r>
      <w:r w:rsidR="00314263" w:rsidRPr="000D7A90">
        <w:rPr>
          <w:rFonts w:ascii="Arial" w:hAnsi="Arial" w:cs="Arial"/>
          <w:lang w:val="en-US"/>
        </w:rPr>
        <w:t xml:space="preserve"> </w:t>
      </w:r>
      <w:r w:rsidRPr="000D7A90">
        <w:rPr>
          <w:rFonts w:ascii="Arial" w:hAnsi="Arial" w:cs="Arial"/>
          <w:lang w:val="en-US"/>
        </w:rPr>
        <w:t xml:space="preserve">(excluding costs) regardless of the performance of the </w:t>
      </w:r>
      <w:r w:rsidR="00314263" w:rsidRPr="000D7A90">
        <w:rPr>
          <w:rFonts w:ascii="Arial" w:hAnsi="Arial" w:cs="Arial"/>
        </w:rPr>
        <w:t>Underlying Stock</w:t>
      </w:r>
      <w:r w:rsidR="00314263" w:rsidRPr="000D7A90">
        <w:rPr>
          <w:rFonts w:ascii="Arial" w:hAnsi="Arial" w:cs="Arial"/>
          <w:lang w:val="en-US"/>
        </w:rPr>
        <w:t xml:space="preserve"> </w:t>
      </w:r>
      <w:r w:rsidRPr="000D7A90">
        <w:rPr>
          <w:rFonts w:ascii="Arial" w:hAnsi="Arial" w:cs="Arial"/>
          <w:lang w:val="en-US"/>
        </w:rPr>
        <w:t>on the preceding day. This mechanism is referred to as the Daily Reset.</w:t>
      </w:r>
    </w:p>
    <w:p w14:paraId="5002216C" w14:textId="77777777" w:rsidR="00EC544D" w:rsidRPr="000D7A90" w:rsidRDefault="00557BE9" w:rsidP="0032169E">
      <w:pPr>
        <w:pStyle w:val="PlainText"/>
        <w:spacing w:after="140" w:line="290" w:lineRule="auto"/>
        <w:jc w:val="both"/>
        <w:rPr>
          <w:rFonts w:ascii="Arial" w:hAnsi="Arial" w:cs="Arial"/>
          <w:b/>
          <w:bCs/>
          <w:u w:val="single"/>
        </w:rPr>
      </w:pPr>
      <w:r w:rsidRPr="000D7A90">
        <w:rPr>
          <w:rFonts w:ascii="Arial" w:hAnsi="Arial" w:cs="Arial"/>
          <w:lang w:val="en-US"/>
        </w:rPr>
        <w:t>The Leverage In</w:t>
      </w:r>
      <w:r w:rsidR="00B8310E" w:rsidRPr="000D7A90">
        <w:rPr>
          <w:rFonts w:ascii="Arial" w:hAnsi="Arial" w:cs="Arial"/>
          <w:lang w:val="en-US"/>
        </w:rPr>
        <w:t>verse Strategy incorporates an a</w:t>
      </w:r>
      <w:r w:rsidRPr="000D7A90">
        <w:rPr>
          <w:rFonts w:ascii="Arial" w:hAnsi="Arial" w:cs="Arial"/>
          <w:lang w:val="en-US"/>
        </w:rPr>
        <w:t xml:space="preserve">ir </w:t>
      </w:r>
      <w:r w:rsidR="00B8310E" w:rsidRPr="000D7A90">
        <w:rPr>
          <w:rFonts w:ascii="Arial" w:hAnsi="Arial" w:cs="Arial"/>
          <w:lang w:val="en-US"/>
        </w:rPr>
        <w:t>b</w:t>
      </w:r>
      <w:r w:rsidRPr="000D7A90">
        <w:rPr>
          <w:rFonts w:ascii="Arial" w:hAnsi="Arial" w:cs="Arial"/>
          <w:lang w:val="en-US"/>
        </w:rPr>
        <w:t>ag mechanism which is designed to</w:t>
      </w:r>
      <w:r w:rsidRPr="000D7A90">
        <w:rPr>
          <w:rFonts w:ascii="Arial" w:eastAsia="SimHei" w:hAnsi="Arial" w:cs="Arial"/>
          <w:lang w:val="en-SG" w:eastAsia="zh-CN"/>
        </w:rPr>
        <w:t xml:space="preserve"> </w:t>
      </w:r>
      <w:r w:rsidRPr="000D7A90">
        <w:rPr>
          <w:rFonts w:ascii="Arial" w:hAnsi="Arial" w:cs="Arial"/>
          <w:lang w:val="en-SG"/>
        </w:rPr>
        <w:t xml:space="preserve">reduce exposure to the </w:t>
      </w:r>
      <w:r w:rsidR="00314263" w:rsidRPr="000D7A90">
        <w:rPr>
          <w:rFonts w:ascii="Arial" w:hAnsi="Arial" w:cs="Arial"/>
        </w:rPr>
        <w:t>Underlying Stock</w:t>
      </w:r>
      <w:r w:rsidR="00314263" w:rsidRPr="000D7A90">
        <w:rPr>
          <w:rFonts w:ascii="Arial" w:hAnsi="Arial" w:cs="Arial"/>
          <w:lang w:val="en-SG"/>
        </w:rPr>
        <w:t xml:space="preserve"> </w:t>
      </w:r>
      <w:r w:rsidRPr="000D7A90">
        <w:rPr>
          <w:rFonts w:ascii="Arial" w:hAnsi="Arial" w:cs="Arial"/>
          <w:lang w:val="en-SG"/>
        </w:rPr>
        <w:t>during extreme market conditions</w:t>
      </w:r>
      <w:r w:rsidRPr="000D7A90">
        <w:rPr>
          <w:rFonts w:ascii="Arial" w:hAnsi="Arial" w:cs="Arial"/>
          <w:lang w:val="en-US"/>
        </w:rPr>
        <w:t>, as further described below.</w:t>
      </w:r>
      <w:r w:rsidRPr="000D7A90">
        <w:rPr>
          <w:rFonts w:ascii="Arial" w:hAnsi="Arial" w:cs="Arial"/>
        </w:rPr>
        <w:t xml:space="preserve"> </w:t>
      </w:r>
    </w:p>
    <w:p w14:paraId="7CC90FE3" w14:textId="77777777" w:rsidR="0032169E" w:rsidRPr="000D7A90" w:rsidRDefault="0032169E" w:rsidP="0032169E">
      <w:pPr>
        <w:pStyle w:val="PlainText"/>
        <w:spacing w:after="140" w:line="290" w:lineRule="auto"/>
        <w:jc w:val="both"/>
        <w:rPr>
          <w:rFonts w:ascii="Arial" w:hAnsi="Arial" w:cs="Arial"/>
          <w:b/>
          <w:bCs/>
          <w:u w:val="single"/>
        </w:rPr>
      </w:pPr>
      <w:r w:rsidRPr="000D7A90">
        <w:rPr>
          <w:rFonts w:ascii="Arial" w:hAnsi="Arial" w:cs="Arial"/>
          <w:b/>
          <w:bCs/>
          <w:u w:val="single"/>
        </w:rPr>
        <w:t xml:space="preserve">Leverage </w:t>
      </w:r>
      <w:r w:rsidR="00557BE9" w:rsidRPr="000D7A90">
        <w:rPr>
          <w:rFonts w:ascii="Arial" w:hAnsi="Arial" w:cs="Arial"/>
          <w:b/>
          <w:bCs/>
          <w:u w:val="single"/>
        </w:rPr>
        <w:t>Inverse</w:t>
      </w:r>
      <w:r w:rsidR="00557BE9" w:rsidRPr="000D7A90">
        <w:rPr>
          <w:rFonts w:ascii="Arial" w:hAnsi="Arial" w:cs="Arial"/>
          <w:b/>
          <w:caps/>
          <w:u w:val="single"/>
          <w:lang w:val="en-CA"/>
        </w:rPr>
        <w:t xml:space="preserve"> </w:t>
      </w:r>
      <w:r w:rsidRPr="000D7A90">
        <w:rPr>
          <w:rFonts w:ascii="Arial" w:hAnsi="Arial" w:cs="Arial"/>
          <w:b/>
          <w:bCs/>
          <w:u w:val="single"/>
        </w:rPr>
        <w:t>Strategy Formula</w:t>
      </w:r>
    </w:p>
    <w:p w14:paraId="487367A2" w14:textId="77777777" w:rsidR="003262C4" w:rsidRPr="000D7A90" w:rsidRDefault="003262C4" w:rsidP="0032169E">
      <w:pPr>
        <w:spacing w:after="0" w:line="240" w:lineRule="auto"/>
        <w:rPr>
          <w:rFonts w:cs="Arial"/>
          <w:b/>
          <w:caps/>
          <w:sz w:val="20"/>
          <w:szCs w:val="20"/>
          <w:lang w:val="en-CA"/>
        </w:rPr>
      </w:pPr>
    </w:p>
    <w:tbl>
      <w:tblPr>
        <w:tblW w:w="11070" w:type="dxa"/>
        <w:tblInd w:w="108" w:type="dxa"/>
        <w:tblLayout w:type="fixed"/>
        <w:tblLook w:val="0000" w:firstRow="0" w:lastRow="0" w:firstColumn="0" w:lastColumn="0" w:noHBand="0" w:noVBand="0"/>
      </w:tblPr>
      <w:tblGrid>
        <w:gridCol w:w="3072"/>
        <w:gridCol w:w="7998"/>
      </w:tblGrid>
      <w:tr w:rsidR="00E5588C" w:rsidRPr="000D7A90" w14:paraId="287BE328" w14:textId="77777777" w:rsidTr="00124C72">
        <w:tc>
          <w:tcPr>
            <w:tcW w:w="3072" w:type="dxa"/>
          </w:tcPr>
          <w:p w14:paraId="0E5B888C" w14:textId="77777777" w:rsidR="00E5588C" w:rsidRPr="000D7A90" w:rsidRDefault="00C17CDA" w:rsidP="00022CEA">
            <w:pPr>
              <w:spacing w:after="120" w:line="260" w:lineRule="exact"/>
              <w:jc w:val="center"/>
              <w:rPr>
                <w:rFonts w:cs="Arial"/>
                <w:b/>
                <w:color w:val="000000"/>
                <w:sz w:val="20"/>
                <w:szCs w:val="20"/>
                <w:lang w:val="en-US"/>
              </w:rPr>
            </w:pPr>
            <m:oMathPara>
              <m:oMath>
                <m:sSub>
                  <m:sSubPr>
                    <m:ctrlPr>
                      <w:rPr>
                        <w:rFonts w:ascii="Cambria Math" w:eastAsia="Calibri" w:hAnsi="Cambria Math" w:cs="Arial"/>
                        <w:b/>
                        <w:bCs/>
                        <w:sz w:val="20"/>
                        <w:szCs w:val="20"/>
                        <w:lang w:val="en-US" w:eastAsia="it-IT"/>
                      </w:rPr>
                    </m:ctrlPr>
                  </m:sSubPr>
                  <m:e>
                    <m:r>
                      <m:rPr>
                        <m:sty m:val="b"/>
                      </m:rPr>
                      <w:rPr>
                        <w:rFonts w:ascii="Cambria Math" w:eastAsia="Calibri" w:hAnsi="Cambria Math" w:cs="Arial"/>
                        <w:sz w:val="20"/>
                        <w:szCs w:val="20"/>
                        <w:lang w:val="en-US" w:eastAsia="it-IT"/>
                      </w:rPr>
                      <m:t>LSL</m:t>
                    </m:r>
                  </m:e>
                  <m:sub>
                    <m:r>
                      <m:rPr>
                        <m:sty m:val="b"/>
                      </m:rPr>
                      <w:rPr>
                        <w:rFonts w:ascii="Cambria Math" w:eastAsia="Calibri" w:hAnsi="Cambria Math" w:cs="Arial"/>
                        <w:sz w:val="20"/>
                        <w:szCs w:val="20"/>
                        <w:lang w:val="en-US" w:eastAsia="it-IT"/>
                      </w:rPr>
                      <m:t>t</m:t>
                    </m:r>
                  </m:sub>
                </m:sSub>
              </m:oMath>
            </m:oMathPara>
          </w:p>
        </w:tc>
        <w:tc>
          <w:tcPr>
            <w:tcW w:w="7998" w:type="dxa"/>
          </w:tcPr>
          <w:p w14:paraId="68921C67" w14:textId="77777777" w:rsidR="00E5588C" w:rsidRPr="000D7A90" w:rsidRDefault="00557BE9" w:rsidP="00983D8D">
            <w:pPr>
              <w:autoSpaceDE w:val="0"/>
              <w:autoSpaceDN w:val="0"/>
              <w:adjustRightInd w:val="0"/>
              <w:spacing w:after="120" w:line="260" w:lineRule="exact"/>
              <w:jc w:val="both"/>
              <w:rPr>
                <w:rFonts w:eastAsia="Calibri" w:cs="Arial"/>
                <w:sz w:val="20"/>
                <w:szCs w:val="20"/>
                <w:lang w:val="en-US" w:eastAsia="it-IT"/>
              </w:rPr>
            </w:pPr>
            <w:r w:rsidRPr="000D7A90">
              <w:rPr>
                <w:rFonts w:eastAsia="Calibri" w:cs="Arial"/>
                <w:sz w:val="20"/>
                <w:szCs w:val="20"/>
                <w:lang w:val="en-US" w:eastAsia="it-IT"/>
              </w:rPr>
              <w:t xml:space="preserve">means, for any Observation Date(t), the Leverage Inverse Strategy Closing </w:t>
            </w:r>
            <w:r w:rsidR="00056509" w:rsidRPr="000D7A90">
              <w:rPr>
                <w:rFonts w:eastAsia="Calibri" w:cs="Arial"/>
                <w:sz w:val="20"/>
                <w:szCs w:val="20"/>
                <w:lang w:val="en-US" w:eastAsia="it-IT"/>
              </w:rPr>
              <w:t>Level</w:t>
            </w:r>
            <w:r w:rsidRPr="000D7A90">
              <w:rPr>
                <w:rFonts w:eastAsia="Calibri" w:cs="Arial"/>
                <w:sz w:val="20"/>
                <w:szCs w:val="20"/>
                <w:lang w:val="en-US" w:eastAsia="it-IT"/>
              </w:rPr>
              <w:t xml:space="preserve"> as of such day (t).</w:t>
            </w:r>
          </w:p>
          <w:p w14:paraId="48588870" w14:textId="77777777" w:rsidR="00557BE9" w:rsidRPr="000D7A90" w:rsidRDefault="00557BE9" w:rsidP="00557BE9">
            <w:pPr>
              <w:autoSpaceDE w:val="0"/>
              <w:autoSpaceDN w:val="0"/>
              <w:adjustRightInd w:val="0"/>
              <w:spacing w:after="120" w:line="260" w:lineRule="exact"/>
              <w:jc w:val="both"/>
              <w:rPr>
                <w:rFonts w:eastAsia="Calibri" w:cs="Arial"/>
                <w:sz w:val="20"/>
                <w:szCs w:val="20"/>
                <w:lang w:val="en-US" w:eastAsia="it-IT"/>
              </w:rPr>
            </w:pPr>
            <w:r w:rsidRPr="000D7A90">
              <w:rPr>
                <w:rFonts w:eastAsia="Calibri" w:cs="Arial"/>
                <w:sz w:val="20"/>
                <w:szCs w:val="20"/>
                <w:lang w:val="en-US" w:eastAsia="it-IT"/>
              </w:rPr>
              <w:t xml:space="preserve">Subject to the occurrence of an Intraday Restrike Event, the </w:t>
            </w:r>
            <w:r w:rsidRPr="000D7A90">
              <w:rPr>
                <w:rFonts w:eastAsia="Calibri" w:cs="Arial"/>
                <w:b/>
                <w:bCs/>
                <w:sz w:val="20"/>
                <w:szCs w:val="20"/>
                <w:lang w:val="en-US" w:eastAsia="it-IT"/>
              </w:rPr>
              <w:t xml:space="preserve">Leverage Inverse Strategy Closing </w:t>
            </w:r>
            <w:r w:rsidR="00056509" w:rsidRPr="000D7A90">
              <w:rPr>
                <w:rFonts w:eastAsia="Calibri" w:cs="Arial"/>
                <w:b/>
                <w:bCs/>
                <w:sz w:val="20"/>
                <w:szCs w:val="20"/>
                <w:lang w:val="en-US" w:eastAsia="it-IT"/>
              </w:rPr>
              <w:t>Level</w:t>
            </w:r>
            <w:r w:rsidRPr="000D7A90">
              <w:rPr>
                <w:rFonts w:eastAsia="Calibri" w:cs="Arial"/>
                <w:b/>
                <w:bCs/>
                <w:sz w:val="20"/>
                <w:szCs w:val="20"/>
                <w:lang w:val="en-US" w:eastAsia="it-IT"/>
              </w:rPr>
              <w:t xml:space="preserve"> </w:t>
            </w:r>
            <w:r w:rsidRPr="000D7A90">
              <w:rPr>
                <w:rFonts w:eastAsia="Calibri" w:cs="Arial"/>
                <w:sz w:val="20"/>
                <w:szCs w:val="20"/>
                <w:lang w:val="en-US" w:eastAsia="it-IT"/>
              </w:rPr>
              <w:t>as of such Observation Date(t) is calculated in accordance with the following formulae:</w:t>
            </w:r>
          </w:p>
          <w:p w14:paraId="0777158B" w14:textId="77777777" w:rsidR="00557BE9" w:rsidRPr="000D7A90" w:rsidRDefault="00557BE9" w:rsidP="00557BE9">
            <w:pPr>
              <w:autoSpaceDE w:val="0"/>
              <w:autoSpaceDN w:val="0"/>
              <w:adjustRightInd w:val="0"/>
              <w:spacing w:after="120" w:line="260" w:lineRule="exact"/>
              <w:jc w:val="both"/>
              <w:rPr>
                <w:rFonts w:eastAsia="Calibri" w:cs="Arial"/>
                <w:sz w:val="20"/>
                <w:szCs w:val="20"/>
                <w:lang w:val="en-US" w:eastAsia="it-IT"/>
              </w:rPr>
            </w:pPr>
            <w:r w:rsidRPr="000D7A90">
              <w:rPr>
                <w:rFonts w:eastAsia="Calibri" w:cs="Arial"/>
                <w:sz w:val="20"/>
                <w:szCs w:val="20"/>
                <w:lang w:val="en-US" w:eastAsia="it-IT"/>
              </w:rPr>
              <w:t xml:space="preserve">On Observation </w:t>
            </w:r>
            <w:proofErr w:type="gramStart"/>
            <w:r w:rsidRPr="000D7A90">
              <w:rPr>
                <w:rFonts w:eastAsia="Calibri" w:cs="Arial"/>
                <w:sz w:val="20"/>
                <w:szCs w:val="20"/>
                <w:lang w:val="en-US" w:eastAsia="it-IT"/>
              </w:rPr>
              <w:t>Date(</w:t>
            </w:r>
            <w:proofErr w:type="gramEnd"/>
            <w:r w:rsidRPr="000D7A90">
              <w:rPr>
                <w:rFonts w:eastAsia="Calibri" w:cs="Arial"/>
                <w:sz w:val="20"/>
                <w:szCs w:val="20"/>
                <w:lang w:val="en-US" w:eastAsia="it-IT"/>
              </w:rPr>
              <w:t>1):</w:t>
            </w:r>
          </w:p>
          <w:p w14:paraId="7E823BB3" w14:textId="77777777" w:rsidR="00557BE9" w:rsidRPr="000D7A90" w:rsidRDefault="00C17CDA" w:rsidP="00557BE9">
            <w:pPr>
              <w:autoSpaceDE w:val="0"/>
              <w:autoSpaceDN w:val="0"/>
              <w:adjustRightInd w:val="0"/>
              <w:spacing w:after="120" w:line="260" w:lineRule="exact"/>
              <w:jc w:val="both"/>
              <w:rPr>
                <w:rFonts w:eastAsia="Calibri" w:cs="Arial"/>
                <w:sz w:val="20"/>
                <w:szCs w:val="20"/>
                <w:lang w:val="en-US" w:eastAsia="it-IT"/>
              </w:rPr>
            </w:pPr>
            <m:oMathPara>
              <m:oMathParaPr>
                <m:jc m:val="left"/>
              </m:oMathParaPr>
              <m:oMath>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LSL</m:t>
                    </m:r>
                  </m:e>
                  <m:sub>
                    <m:r>
                      <m:rPr>
                        <m:sty m:val="p"/>
                      </m:rPr>
                      <w:rPr>
                        <w:rFonts w:ascii="Cambria Math" w:eastAsia="Calibri" w:cs="Arial"/>
                        <w:sz w:val="20"/>
                        <w:szCs w:val="20"/>
                        <w:lang w:val="en-US" w:eastAsia="it-IT"/>
                      </w:rPr>
                      <m:t>1</m:t>
                    </m:r>
                  </m:sub>
                </m:sSub>
                <m:r>
                  <w:rPr>
                    <w:rFonts w:ascii="Cambria Math" w:eastAsia="Calibri" w:cs="Arial"/>
                    <w:sz w:val="20"/>
                    <w:szCs w:val="20"/>
                    <w:lang w:val="en-US" w:eastAsia="it-IT"/>
                  </w:rPr>
                  <m:t>= 1000</m:t>
                </m:r>
              </m:oMath>
            </m:oMathPara>
          </w:p>
          <w:p w14:paraId="653949CC" w14:textId="77777777" w:rsidR="00557BE9" w:rsidRPr="000D7A90" w:rsidRDefault="00557BE9" w:rsidP="00557BE9">
            <w:pPr>
              <w:autoSpaceDE w:val="0"/>
              <w:autoSpaceDN w:val="0"/>
              <w:adjustRightInd w:val="0"/>
              <w:spacing w:after="120" w:line="260" w:lineRule="exact"/>
              <w:jc w:val="both"/>
              <w:rPr>
                <w:rFonts w:eastAsia="Calibri" w:cs="Arial"/>
                <w:b/>
                <w:bCs/>
                <w:sz w:val="20"/>
                <w:szCs w:val="20"/>
                <w:lang w:val="en-US" w:eastAsia="it-IT"/>
              </w:rPr>
            </w:pPr>
            <w:r w:rsidRPr="000D7A90">
              <w:rPr>
                <w:rFonts w:eastAsia="Calibri" w:cs="Arial"/>
                <w:sz w:val="20"/>
                <w:szCs w:val="20"/>
                <w:lang w:val="en-US" w:eastAsia="it-IT"/>
              </w:rPr>
              <w:t>On each subsequent Observation Date(t):</w:t>
            </w:r>
          </w:p>
          <w:p w14:paraId="61D0F60B" w14:textId="77777777" w:rsidR="00E5588C" w:rsidRPr="000D7A90" w:rsidRDefault="00C17CDA" w:rsidP="00734768">
            <w:pPr>
              <w:autoSpaceDE w:val="0"/>
              <w:autoSpaceDN w:val="0"/>
              <w:adjustRightInd w:val="0"/>
              <w:spacing w:after="120"/>
              <w:jc w:val="both"/>
              <w:rPr>
                <w:rFonts w:cs="Arial"/>
                <w:sz w:val="20"/>
                <w:szCs w:val="20"/>
              </w:rPr>
            </w:pPr>
            <m:oMathPara>
              <m:oMath>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LSL</m:t>
                    </m:r>
                  </m:e>
                  <m:sub>
                    <m:r>
                      <m:rPr>
                        <m:sty m:val="p"/>
                      </m:rPr>
                      <w:rPr>
                        <w:rFonts w:ascii="Cambria Math" w:eastAsia="Calibri" w:cs="Arial"/>
                        <w:sz w:val="20"/>
                        <w:szCs w:val="20"/>
                        <w:lang w:val="en-US" w:eastAsia="it-IT"/>
                      </w:rPr>
                      <m:t>t</m:t>
                    </m:r>
                  </m:sub>
                </m:sSub>
                <m:r>
                  <m:rPr>
                    <m:sty m:val="p"/>
                  </m:rPr>
                  <w:rPr>
                    <w:rFonts w:ascii="Cambria Math" w:eastAsia="Calibri" w:cs="Arial"/>
                    <w:sz w:val="20"/>
                    <w:szCs w:val="20"/>
                    <w:lang w:val="en-US" w:eastAsia="it-IT"/>
                  </w:rPr>
                  <m:t>=Max</m:t>
                </m:r>
                <m:d>
                  <m:dPr>
                    <m:begChr m:val="["/>
                    <m:endChr m:val="]"/>
                    <m:ctrlPr>
                      <w:rPr>
                        <w:rFonts w:ascii="Cambria Math" w:eastAsia="Calibri" w:hAnsi="Cambria Math" w:cs="Arial"/>
                        <w:bCs/>
                        <w:sz w:val="20"/>
                        <w:szCs w:val="20"/>
                        <w:lang w:val="en-US" w:eastAsia="it-IT"/>
                      </w:rPr>
                    </m:ctrlPr>
                  </m:dPr>
                  <m:e>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LSL</m:t>
                        </m:r>
                      </m:e>
                      <m:sub>
                        <m:r>
                          <m:rPr>
                            <m:sty m:val="p"/>
                          </m:rPr>
                          <w:rPr>
                            <w:rFonts w:ascii="Cambria Math" w:eastAsia="Calibri" w:cs="Arial"/>
                            <w:sz w:val="20"/>
                            <w:szCs w:val="20"/>
                            <w:lang w:val="en-US" w:eastAsia="it-IT"/>
                          </w:rPr>
                          <m:t>t</m:t>
                        </m:r>
                        <m:r>
                          <m:rPr>
                            <m:sty m:val="p"/>
                          </m:rPr>
                          <w:rPr>
                            <w:rFonts w:eastAsia="Calibri" w:cs="Arial"/>
                            <w:sz w:val="20"/>
                            <w:szCs w:val="20"/>
                            <w:lang w:val="en-US" w:eastAsia="it-IT"/>
                          </w:rPr>
                          <m:t>-</m:t>
                        </m:r>
                        <m:r>
                          <m:rPr>
                            <m:sty m:val="p"/>
                          </m:rPr>
                          <w:rPr>
                            <w:rFonts w:ascii="Cambria Math" w:eastAsia="Calibri" w:cs="Arial"/>
                            <w:sz w:val="20"/>
                            <w:szCs w:val="20"/>
                            <w:lang w:val="en-US" w:eastAsia="it-IT"/>
                          </w:rPr>
                          <m:t>1</m:t>
                        </m:r>
                      </m:sub>
                    </m:sSub>
                    <m:r>
                      <m:rPr>
                        <m:sty m:val="p"/>
                      </m:rPr>
                      <w:rPr>
                        <w:rFonts w:eastAsia="Calibri" w:cs="Arial"/>
                        <w:sz w:val="20"/>
                        <w:szCs w:val="20"/>
                        <w:lang w:val="en-US" w:eastAsia="it-IT"/>
                      </w:rPr>
                      <m:t>×</m:t>
                    </m:r>
                    <m:d>
                      <m:dPr>
                        <m:ctrlPr>
                          <w:rPr>
                            <w:rFonts w:ascii="Cambria Math" w:eastAsia="Calibri" w:hAnsi="Cambria Math" w:cs="Arial"/>
                            <w:bCs/>
                            <w:sz w:val="20"/>
                            <w:szCs w:val="20"/>
                            <w:lang w:val="en-US" w:eastAsia="it-IT"/>
                          </w:rPr>
                        </m:ctrlPr>
                      </m:dPr>
                      <m:e>
                        <m:r>
                          <m:rPr>
                            <m:sty m:val="p"/>
                          </m:rPr>
                          <w:rPr>
                            <w:rFonts w:ascii="Cambria Math" w:eastAsia="Calibri" w:cs="Arial"/>
                            <w:sz w:val="20"/>
                            <w:szCs w:val="20"/>
                            <w:lang w:val="en-US" w:eastAsia="it-IT"/>
                          </w:rPr>
                          <m:t>1+</m:t>
                        </m:r>
                        <m:sSub>
                          <m:sSubPr>
                            <m:ctrlPr>
                              <w:rPr>
                                <w:rFonts w:ascii="Cambria Math" w:eastAsia="Calibri" w:hAnsi="Cambria Math" w:cs="Arial"/>
                                <w:sz w:val="20"/>
                                <w:szCs w:val="20"/>
                                <w:lang w:val="en-US" w:eastAsia="it-IT"/>
                              </w:rPr>
                            </m:ctrlPr>
                          </m:sSubPr>
                          <m:e>
                            <m:r>
                              <m:rPr>
                                <m:sty m:val="p"/>
                              </m:rPr>
                              <w:rPr>
                                <w:rFonts w:ascii="Cambria Math" w:eastAsia="Calibri" w:cs="Arial"/>
                                <w:sz w:val="20"/>
                                <w:szCs w:val="20"/>
                                <w:lang w:val="en-US" w:eastAsia="it-IT"/>
                              </w:rPr>
                              <m:t>LR</m:t>
                            </m:r>
                          </m:e>
                          <m:sub>
                            <m:r>
                              <m:rPr>
                                <m:sty m:val="p"/>
                              </m:rPr>
                              <w:rPr>
                                <w:rFonts w:ascii="Cambria Math" w:eastAsia="Calibri" w:cs="Arial"/>
                                <w:sz w:val="20"/>
                                <w:szCs w:val="20"/>
                                <w:lang w:val="en-US" w:eastAsia="it-IT"/>
                              </w:rPr>
                              <m:t>t</m:t>
                            </m:r>
                            <m:r>
                              <m:rPr>
                                <m:sty m:val="p"/>
                              </m:rPr>
                              <w:rPr>
                                <w:rFonts w:eastAsia="Calibri" w:cs="Arial"/>
                                <w:sz w:val="20"/>
                                <w:szCs w:val="20"/>
                                <w:lang w:val="en-US" w:eastAsia="it-IT"/>
                              </w:rPr>
                              <m:t>-</m:t>
                            </m:r>
                            <m:r>
                              <m:rPr>
                                <m:sty m:val="p"/>
                              </m:rPr>
                              <w:rPr>
                                <w:rFonts w:ascii="Cambria Math" w:eastAsia="Calibri" w:cs="Arial"/>
                                <w:sz w:val="20"/>
                                <w:szCs w:val="20"/>
                                <w:lang w:val="en-US" w:eastAsia="it-IT"/>
                              </w:rPr>
                              <m:t>1,t</m:t>
                            </m:r>
                          </m:sub>
                        </m:sSub>
                        <m:r>
                          <m:rPr>
                            <m:sty m:val="p"/>
                          </m:rPr>
                          <w:rPr>
                            <w:rFonts w:eastAsia="Calibri" w:cs="Arial"/>
                            <w:sz w:val="20"/>
                            <w:szCs w:val="20"/>
                            <w:lang w:val="en-US" w:eastAsia="it-IT"/>
                          </w:rPr>
                          <m:t>-</m:t>
                        </m:r>
                        <m:sSub>
                          <m:sSubPr>
                            <m:ctrlPr>
                              <w:rPr>
                                <w:rFonts w:ascii="Cambria Math" w:eastAsia="Calibri" w:hAnsi="Cambria Math" w:cs="Arial"/>
                                <w:sz w:val="20"/>
                                <w:szCs w:val="20"/>
                                <w:lang w:val="en-US" w:eastAsia="it-IT"/>
                              </w:rPr>
                            </m:ctrlPr>
                          </m:sSubPr>
                          <m:e>
                            <m:r>
                              <m:rPr>
                                <m:sty m:val="p"/>
                              </m:rPr>
                              <w:rPr>
                                <w:rFonts w:ascii="Cambria Math" w:eastAsia="Calibri" w:cs="Arial"/>
                                <w:sz w:val="20"/>
                                <w:szCs w:val="20"/>
                                <w:lang w:val="en-US" w:eastAsia="it-IT"/>
                              </w:rPr>
                              <m:t>FC</m:t>
                            </m:r>
                          </m:e>
                          <m:sub>
                            <m:r>
                              <m:rPr>
                                <m:sty m:val="p"/>
                              </m:rPr>
                              <w:rPr>
                                <w:rFonts w:ascii="Cambria Math" w:eastAsia="Calibri" w:cs="Arial"/>
                                <w:sz w:val="20"/>
                                <w:szCs w:val="20"/>
                                <w:lang w:val="en-US" w:eastAsia="it-IT"/>
                              </w:rPr>
                              <m:t>t</m:t>
                            </m:r>
                            <m:r>
                              <m:rPr>
                                <m:sty m:val="p"/>
                              </m:rPr>
                              <w:rPr>
                                <w:rFonts w:eastAsia="Calibri" w:cs="Arial"/>
                                <w:sz w:val="20"/>
                                <w:szCs w:val="20"/>
                                <w:lang w:val="en-US" w:eastAsia="it-IT"/>
                              </w:rPr>
                              <m:t>-</m:t>
                            </m:r>
                            <m:r>
                              <m:rPr>
                                <m:sty m:val="p"/>
                              </m:rPr>
                              <w:rPr>
                                <w:rFonts w:ascii="Cambria Math" w:eastAsia="Calibri" w:cs="Arial"/>
                                <w:sz w:val="20"/>
                                <w:szCs w:val="20"/>
                                <w:lang w:val="en-US" w:eastAsia="it-IT"/>
                              </w:rPr>
                              <m:t>1,t</m:t>
                            </m:r>
                          </m:sub>
                        </m:sSub>
                        <m:r>
                          <m:rPr>
                            <m:sty m:val="p"/>
                          </m:rPr>
                          <w:rPr>
                            <w:rFonts w:eastAsia="Calibri" w:cs="Arial"/>
                            <w:sz w:val="20"/>
                            <w:szCs w:val="20"/>
                            <w:lang w:val="en-US" w:eastAsia="it-IT"/>
                          </w:rPr>
                          <m:t>-</m:t>
                        </m:r>
                        <m:r>
                          <m:rPr>
                            <m:sty m:val="p"/>
                          </m:rPr>
                          <w:rPr>
                            <w:rFonts w:ascii="Cambria Math" w:eastAsia="Calibri" w:cs="Arial"/>
                            <w:sz w:val="20"/>
                            <w:szCs w:val="20"/>
                            <w:lang w:val="en-US" w:eastAsia="it-IT"/>
                          </w:rPr>
                          <m:t xml:space="preserve"> </m:t>
                        </m:r>
                        <m:sSub>
                          <m:sSubPr>
                            <m:ctrlPr>
                              <w:rPr>
                                <w:rFonts w:ascii="Cambria Math" w:eastAsia="Calibri" w:hAnsi="Cambria Math" w:cs="Arial"/>
                                <w:sz w:val="20"/>
                                <w:szCs w:val="20"/>
                                <w:lang w:val="en-US" w:eastAsia="it-IT"/>
                              </w:rPr>
                            </m:ctrlPr>
                          </m:sSubPr>
                          <m:e>
                            <m:r>
                              <m:rPr>
                                <m:sty m:val="p"/>
                              </m:rPr>
                              <w:rPr>
                                <w:rFonts w:ascii="Cambria Math" w:eastAsia="Calibri" w:cs="Arial"/>
                                <w:sz w:val="20"/>
                                <w:szCs w:val="20"/>
                                <w:lang w:val="en-US" w:eastAsia="it-IT"/>
                              </w:rPr>
                              <m:t>SB</m:t>
                            </m:r>
                          </m:e>
                          <m:sub>
                            <m:r>
                              <m:rPr>
                                <m:sty m:val="p"/>
                              </m:rPr>
                              <w:rPr>
                                <w:rFonts w:ascii="Cambria Math" w:eastAsia="Calibri" w:cs="Arial"/>
                                <w:sz w:val="20"/>
                                <w:szCs w:val="20"/>
                                <w:lang w:val="en-US" w:eastAsia="it-IT"/>
                              </w:rPr>
                              <m:t>t</m:t>
                            </m:r>
                            <m:r>
                              <m:rPr>
                                <m:sty m:val="p"/>
                              </m:rPr>
                              <w:rPr>
                                <w:rFonts w:eastAsia="Calibri" w:cs="Arial"/>
                                <w:sz w:val="20"/>
                                <w:szCs w:val="20"/>
                                <w:lang w:val="en-US" w:eastAsia="it-IT"/>
                              </w:rPr>
                              <m:t>-</m:t>
                            </m:r>
                            <m:r>
                              <m:rPr>
                                <m:sty m:val="p"/>
                              </m:rPr>
                              <w:rPr>
                                <w:rFonts w:ascii="Cambria Math" w:eastAsia="Calibri" w:cs="Arial"/>
                                <w:sz w:val="20"/>
                                <w:szCs w:val="20"/>
                                <w:lang w:val="en-US" w:eastAsia="it-IT"/>
                              </w:rPr>
                              <m:t>1,t</m:t>
                            </m:r>
                          </m:sub>
                        </m:sSub>
                        <m:r>
                          <m:rPr>
                            <m:sty m:val="p"/>
                          </m:rPr>
                          <w:rPr>
                            <w:rFonts w:eastAsia="Calibri" w:cs="Arial"/>
                            <w:sz w:val="20"/>
                            <w:szCs w:val="20"/>
                            <w:lang w:val="en-US" w:eastAsia="it-IT"/>
                          </w:rPr>
                          <m:t>-</m:t>
                        </m:r>
                        <m:r>
                          <m:rPr>
                            <m:sty m:val="p"/>
                          </m:rPr>
                          <w:rPr>
                            <w:rFonts w:ascii="Cambria Math" w:eastAsia="Calibri" w:cs="Arial"/>
                            <w:sz w:val="20"/>
                            <w:szCs w:val="20"/>
                            <w:lang w:val="en-US" w:eastAsia="it-IT"/>
                          </w:rPr>
                          <m:t xml:space="preserve"> </m:t>
                        </m:r>
                        <m:sSub>
                          <m:sSubPr>
                            <m:ctrlPr>
                              <w:rPr>
                                <w:rFonts w:ascii="Cambria Math" w:eastAsia="Calibri" w:hAnsi="Cambria Math" w:cs="Arial"/>
                                <w:sz w:val="20"/>
                                <w:szCs w:val="20"/>
                                <w:lang w:val="en-US" w:eastAsia="it-IT"/>
                              </w:rPr>
                            </m:ctrlPr>
                          </m:sSubPr>
                          <m:e>
                            <m:r>
                              <m:rPr>
                                <m:sty m:val="p"/>
                              </m:rPr>
                              <w:rPr>
                                <w:rFonts w:ascii="Cambria Math" w:eastAsia="Calibri" w:cs="Arial"/>
                                <w:sz w:val="20"/>
                                <w:szCs w:val="20"/>
                                <w:lang w:val="en-US" w:eastAsia="it-IT"/>
                              </w:rPr>
                              <m:t>RC</m:t>
                            </m:r>
                          </m:e>
                          <m:sub>
                            <m:r>
                              <m:rPr>
                                <m:sty m:val="p"/>
                              </m:rPr>
                              <w:rPr>
                                <w:rFonts w:ascii="Cambria Math" w:eastAsia="Calibri" w:cs="Arial"/>
                                <w:sz w:val="20"/>
                                <w:szCs w:val="20"/>
                                <w:lang w:val="en-US" w:eastAsia="it-IT"/>
                              </w:rPr>
                              <m:t>t</m:t>
                            </m:r>
                            <m:r>
                              <m:rPr>
                                <m:sty m:val="p"/>
                              </m:rPr>
                              <w:rPr>
                                <w:rFonts w:eastAsia="Calibri" w:cs="Arial"/>
                                <w:sz w:val="20"/>
                                <w:szCs w:val="20"/>
                                <w:lang w:val="en-US" w:eastAsia="it-IT"/>
                              </w:rPr>
                              <m:t>-</m:t>
                            </m:r>
                            <m:r>
                              <m:rPr>
                                <m:sty m:val="p"/>
                              </m:rPr>
                              <w:rPr>
                                <w:rFonts w:ascii="Cambria Math" w:eastAsia="Calibri" w:cs="Arial"/>
                                <w:sz w:val="20"/>
                                <w:szCs w:val="20"/>
                                <w:lang w:val="en-US" w:eastAsia="it-IT"/>
                              </w:rPr>
                              <m:t>1,t</m:t>
                            </m:r>
                          </m:sub>
                        </m:sSub>
                      </m:e>
                    </m:d>
                    <m:r>
                      <m:rPr>
                        <m:sty m:val="p"/>
                      </m:rPr>
                      <w:rPr>
                        <w:rFonts w:ascii="Cambria Math" w:eastAsia="Calibri" w:cs="Arial"/>
                        <w:sz w:val="20"/>
                        <w:szCs w:val="20"/>
                        <w:lang w:val="en-US" w:eastAsia="it-IT"/>
                      </w:rPr>
                      <m:t>,0</m:t>
                    </m:r>
                  </m:e>
                </m:d>
              </m:oMath>
            </m:oMathPara>
          </w:p>
        </w:tc>
      </w:tr>
      <w:tr w:rsidR="00E5588C" w:rsidRPr="000D7A90" w14:paraId="00C20A7C" w14:textId="77777777" w:rsidTr="00124C72">
        <w:tc>
          <w:tcPr>
            <w:tcW w:w="3072" w:type="dxa"/>
          </w:tcPr>
          <w:p w14:paraId="33C6433C" w14:textId="77777777" w:rsidR="00E5588C" w:rsidRPr="000D7A90" w:rsidRDefault="00C17CDA" w:rsidP="00022CEA">
            <w:pPr>
              <w:spacing w:after="120" w:line="260" w:lineRule="exact"/>
              <w:jc w:val="center"/>
              <w:rPr>
                <w:rFonts w:eastAsia="Calibri" w:cs="Arial"/>
                <w:b/>
                <w:bCs/>
                <w:sz w:val="20"/>
                <w:szCs w:val="20"/>
                <w:lang w:val="en-US" w:eastAsia="it-IT"/>
              </w:rPr>
            </w:pPr>
            <m:oMathPara>
              <m:oMath>
                <m:sSub>
                  <m:sSubPr>
                    <m:ctrlPr>
                      <w:rPr>
                        <w:rFonts w:ascii="Cambria Math" w:eastAsia="Calibri" w:hAnsi="Cambria Math" w:cs="Arial"/>
                        <w:b/>
                        <w:bCs/>
                        <w:sz w:val="20"/>
                        <w:szCs w:val="20"/>
                        <w:lang w:val="en-US" w:eastAsia="it-IT"/>
                      </w:rPr>
                    </m:ctrlPr>
                  </m:sSubPr>
                  <m:e>
                    <m:r>
                      <m:rPr>
                        <m:sty m:val="b"/>
                      </m:rPr>
                      <w:rPr>
                        <w:rFonts w:ascii="Cambria Math" w:eastAsia="Calibri" w:hAnsi="Cambria Math" w:cs="Arial"/>
                        <w:sz w:val="20"/>
                        <w:szCs w:val="20"/>
                        <w:lang w:val="en-US" w:eastAsia="it-IT"/>
                      </w:rPr>
                      <m:t>LR</m:t>
                    </m:r>
                  </m:e>
                  <m:sub>
                    <m:r>
                      <m:rPr>
                        <m:sty m:val="b"/>
                      </m:rPr>
                      <w:rPr>
                        <w:rFonts w:ascii="Cambria Math" w:eastAsia="Calibri" w:hAnsi="Cambria Math" w:cs="Arial"/>
                        <w:sz w:val="20"/>
                        <w:szCs w:val="20"/>
                        <w:lang w:val="en-US" w:eastAsia="it-IT"/>
                      </w:rPr>
                      <m:t>t</m:t>
                    </m:r>
                    <m:r>
                      <m:rPr>
                        <m:sty m:val="b"/>
                      </m:rPr>
                      <w:rPr>
                        <w:rFonts w:eastAsia="Calibri" w:cs="Arial"/>
                        <w:sz w:val="20"/>
                        <w:szCs w:val="20"/>
                        <w:lang w:val="en-US" w:eastAsia="it-IT"/>
                      </w:rPr>
                      <m:t>-</m:t>
                    </m:r>
                    <m:r>
                      <m:rPr>
                        <m:sty m:val="b"/>
                      </m:rPr>
                      <w:rPr>
                        <w:rFonts w:ascii="Cambria Math" w:eastAsia="Calibri" w:hAnsi="Cambria Math" w:cs="Arial"/>
                        <w:sz w:val="20"/>
                        <w:szCs w:val="20"/>
                        <w:lang w:val="en-US" w:eastAsia="it-IT"/>
                      </w:rPr>
                      <m:t>1</m:t>
                    </m:r>
                    <m:r>
                      <m:rPr>
                        <m:sty m:val="b"/>
                      </m:rPr>
                      <w:rPr>
                        <w:rFonts w:ascii="Cambria Math" w:eastAsia="Calibri" w:cs="Arial"/>
                        <w:sz w:val="20"/>
                        <w:szCs w:val="20"/>
                        <w:lang w:val="en-US" w:eastAsia="it-IT"/>
                      </w:rPr>
                      <m:t>,</m:t>
                    </m:r>
                    <m:r>
                      <m:rPr>
                        <m:sty m:val="b"/>
                      </m:rPr>
                      <w:rPr>
                        <w:rFonts w:ascii="Cambria Math" w:eastAsia="Calibri" w:hAnsi="Cambria Math" w:cs="Arial"/>
                        <w:sz w:val="20"/>
                        <w:szCs w:val="20"/>
                        <w:lang w:val="en-US" w:eastAsia="it-IT"/>
                      </w:rPr>
                      <m:t>t</m:t>
                    </m:r>
                  </m:sub>
                </m:sSub>
              </m:oMath>
            </m:oMathPara>
          </w:p>
        </w:tc>
        <w:tc>
          <w:tcPr>
            <w:tcW w:w="7998" w:type="dxa"/>
          </w:tcPr>
          <w:p w14:paraId="580E1622" w14:textId="77777777" w:rsidR="00E5588C" w:rsidRPr="000D7A90" w:rsidRDefault="006240F7" w:rsidP="00983D8D">
            <w:pPr>
              <w:autoSpaceDE w:val="0"/>
              <w:autoSpaceDN w:val="0"/>
              <w:adjustRightInd w:val="0"/>
              <w:spacing w:after="120" w:line="260" w:lineRule="exact"/>
              <w:jc w:val="both"/>
              <w:rPr>
                <w:rFonts w:eastAsiaTheme="minorEastAsia" w:cs="Arial"/>
                <w:b/>
                <w:bCs/>
                <w:sz w:val="20"/>
                <w:szCs w:val="20"/>
                <w:lang w:val="en-US"/>
              </w:rPr>
            </w:pPr>
            <w:r w:rsidRPr="000D7A90">
              <w:rPr>
                <w:rFonts w:eastAsia="Calibri" w:cs="Arial"/>
                <w:sz w:val="20"/>
                <w:szCs w:val="20"/>
                <w:lang w:val="en-US" w:eastAsia="it-IT"/>
              </w:rPr>
              <w:t>m</w:t>
            </w:r>
            <w:r w:rsidR="00E5588C" w:rsidRPr="000D7A90">
              <w:rPr>
                <w:rFonts w:eastAsia="Calibri" w:cs="Arial"/>
                <w:sz w:val="20"/>
                <w:szCs w:val="20"/>
                <w:lang w:val="en-US" w:eastAsia="it-IT"/>
              </w:rPr>
              <w:t xml:space="preserve">eans the Leveraged Return of the </w:t>
            </w:r>
            <w:r w:rsidR="00314263" w:rsidRPr="000D7A90">
              <w:rPr>
                <w:rFonts w:eastAsia="Calibri" w:cs="Arial"/>
                <w:sz w:val="20"/>
                <w:szCs w:val="20"/>
                <w:lang w:val="en-US" w:eastAsia="it-IT"/>
              </w:rPr>
              <w:t xml:space="preserve">Underlying Stock </w:t>
            </w:r>
            <w:r w:rsidR="00E5588C" w:rsidRPr="000D7A90">
              <w:rPr>
                <w:rFonts w:eastAsia="Calibri" w:cs="Arial"/>
                <w:sz w:val="20"/>
                <w:szCs w:val="20"/>
                <w:lang w:val="en-US" w:eastAsia="it-IT"/>
              </w:rPr>
              <w:t xml:space="preserve">between Observation Date(t-1) and Observation Date(t) closing </w:t>
            </w:r>
            <w:r w:rsidR="0071203F" w:rsidRPr="000D7A90">
              <w:rPr>
                <w:rFonts w:eastAsia="Calibri" w:cs="Arial"/>
                <w:sz w:val="20"/>
                <w:szCs w:val="20"/>
                <w:lang w:val="en-US" w:eastAsia="it-IT"/>
              </w:rPr>
              <w:t>prices</w:t>
            </w:r>
            <w:r w:rsidR="00E5588C" w:rsidRPr="000D7A90">
              <w:rPr>
                <w:rFonts w:eastAsia="Calibri" w:cs="Arial"/>
                <w:sz w:val="20"/>
                <w:szCs w:val="20"/>
                <w:lang w:val="en-US" w:eastAsia="it-IT"/>
              </w:rPr>
              <w:t>, calculated as follow</w:t>
            </w:r>
            <w:r w:rsidR="0022457F">
              <w:rPr>
                <w:rFonts w:eastAsia="Calibri" w:cs="Arial"/>
                <w:sz w:val="20"/>
                <w:szCs w:val="20"/>
                <w:lang w:val="en-US" w:eastAsia="it-IT"/>
              </w:rPr>
              <w:t>s</w:t>
            </w:r>
            <w:r w:rsidR="00EC544D" w:rsidRPr="000D7A90">
              <w:rPr>
                <w:rFonts w:eastAsia="Calibri" w:cs="Arial"/>
                <w:sz w:val="20"/>
                <w:szCs w:val="20"/>
                <w:lang w:val="en-US" w:eastAsia="it-IT"/>
              </w:rPr>
              <w:t>:</w:t>
            </w:r>
          </w:p>
          <w:p w14:paraId="2F73FF2D" w14:textId="77777777" w:rsidR="00E5588C" w:rsidRPr="000D7A90" w:rsidRDefault="00C17CDA" w:rsidP="00983D8D">
            <w:pPr>
              <w:spacing w:after="120" w:line="260" w:lineRule="exact"/>
              <w:jc w:val="both"/>
              <w:rPr>
                <w:rFonts w:cs="Arial"/>
                <w:sz w:val="20"/>
                <w:szCs w:val="20"/>
              </w:rPr>
            </w:pPr>
            <m:oMath>
              <m:sSub>
                <m:sSubPr>
                  <m:ctrlPr>
                    <w:rPr>
                      <w:rFonts w:ascii="Cambria Math" w:eastAsia="Calibri" w:hAnsi="Cambria Math" w:cs="Arial"/>
                      <w:sz w:val="20"/>
                      <w:szCs w:val="20"/>
                      <w:lang w:val="en-US" w:eastAsia="it-IT"/>
                    </w:rPr>
                  </m:ctrlPr>
                </m:sSubPr>
                <m:e>
                  <m:r>
                    <m:rPr>
                      <m:sty m:val="p"/>
                    </m:rPr>
                    <w:rPr>
                      <w:rFonts w:ascii="Cambria Math" w:eastAsia="Calibri" w:cs="Arial"/>
                      <w:sz w:val="20"/>
                      <w:szCs w:val="20"/>
                      <w:lang w:val="en-US" w:eastAsia="it-IT"/>
                    </w:rPr>
                    <m:t>LR</m:t>
                  </m:r>
                </m:e>
                <m:sub>
                  <m:r>
                    <m:rPr>
                      <m:sty m:val="p"/>
                    </m:rPr>
                    <w:rPr>
                      <w:rFonts w:ascii="Cambria Math" w:eastAsia="Calibri" w:cs="Arial"/>
                      <w:sz w:val="20"/>
                      <w:szCs w:val="20"/>
                      <w:lang w:val="en-US" w:eastAsia="it-IT"/>
                    </w:rPr>
                    <m:t>t</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1,t</m:t>
                  </m:r>
                </m:sub>
              </m:sSub>
              <m:r>
                <m:rPr>
                  <m:sty m:val="p"/>
                </m:rPr>
                <w:rPr>
                  <w:rFonts w:ascii="Cambria Math" w:eastAsia="Calibri" w:cs="Arial"/>
                  <w:sz w:val="20"/>
                  <w:szCs w:val="20"/>
                  <w:lang w:val="en-US" w:eastAsia="it-IT"/>
                </w:rPr>
                <m:t xml:space="preserve">=Leverage </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 xml:space="preserve"> </m:t>
              </m:r>
              <m:d>
                <m:dPr>
                  <m:ctrlPr>
                    <w:rPr>
                      <w:rFonts w:ascii="Cambria Math" w:eastAsia="Calibri" w:hAnsi="Cambria Math" w:cs="Arial"/>
                      <w:bCs/>
                      <w:sz w:val="20"/>
                      <w:szCs w:val="20"/>
                      <w:lang w:val="en-US" w:eastAsia="it-IT"/>
                    </w:rPr>
                  </m:ctrlPr>
                </m:dPr>
                <m:e>
                  <m:f>
                    <m:fPr>
                      <m:ctrlPr>
                        <w:rPr>
                          <w:rFonts w:ascii="Cambria Math" w:eastAsia="Calibri" w:hAnsi="Cambria Math" w:cs="Arial"/>
                          <w:bCs/>
                          <w:sz w:val="20"/>
                          <w:szCs w:val="20"/>
                          <w:lang w:val="en-US" w:eastAsia="it-IT"/>
                        </w:rPr>
                      </m:ctrlPr>
                    </m:fPr>
                    <m:num>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S</m:t>
                          </m:r>
                        </m:e>
                        <m:sub>
                          <m:r>
                            <m:rPr>
                              <m:sty m:val="p"/>
                            </m:rPr>
                            <w:rPr>
                              <w:rFonts w:ascii="Cambria Math" w:eastAsia="Calibri" w:cs="Arial"/>
                              <w:sz w:val="20"/>
                              <w:szCs w:val="20"/>
                              <w:lang w:val="en-US" w:eastAsia="it-IT"/>
                            </w:rPr>
                            <m:t>t</m:t>
                          </m:r>
                        </m:sub>
                      </m:sSub>
                    </m:num>
                    <m:den>
                      <m:eqArr>
                        <m:eqArrPr>
                          <m:ctrlPr>
                            <w:rPr>
                              <w:rFonts w:ascii="Cambria Math" w:eastAsia="Calibri" w:hAnsi="Cambria Math" w:cs="Arial"/>
                              <w:bCs/>
                              <w:i/>
                              <w:sz w:val="20"/>
                              <w:szCs w:val="20"/>
                              <w:lang w:val="en-US" w:eastAsia="it-IT"/>
                            </w:rPr>
                          </m:ctrlPr>
                        </m:eqArrPr>
                        <m:e>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S</m:t>
                              </m:r>
                            </m:e>
                            <m:sub>
                              <m:r>
                                <m:rPr>
                                  <m:sty m:val="p"/>
                                </m:rPr>
                                <w:rPr>
                                  <w:rFonts w:ascii="Cambria Math" w:eastAsia="Calibri" w:cs="Arial"/>
                                  <w:sz w:val="20"/>
                                  <w:szCs w:val="20"/>
                                  <w:lang w:val="en-US" w:eastAsia="it-IT"/>
                                </w:rPr>
                                <m:t>t</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1</m:t>
                              </m:r>
                            </m:sub>
                          </m:sSub>
                          <m:r>
                            <w:rPr>
                              <w:rFonts w:ascii="Cambria Math" w:eastAsia="Calibri" w:hAnsi="Cambria Math" w:cs="Arial"/>
                              <w:sz w:val="20"/>
                              <w:szCs w:val="20"/>
                              <w:lang w:val="en-US" w:eastAsia="it-IT"/>
                            </w:rPr>
                            <m:t>×Rfacto</m:t>
                          </m:r>
                          <m:sSub>
                            <m:sSubPr>
                              <m:ctrlPr>
                                <w:rPr>
                                  <w:rFonts w:ascii="Cambria Math" w:eastAsia="Calibri" w:hAnsi="Cambria Math" w:cs="Arial"/>
                                  <w:bCs/>
                                  <w:i/>
                                  <w:sz w:val="20"/>
                                  <w:szCs w:val="20"/>
                                  <w:lang w:val="en-US" w:eastAsia="it-IT"/>
                                </w:rPr>
                              </m:ctrlPr>
                            </m:sSubPr>
                            <m:e>
                              <m:r>
                                <w:rPr>
                                  <w:rFonts w:ascii="Cambria Math" w:eastAsia="Calibri" w:hAnsi="Cambria Math" w:cs="Arial"/>
                                  <w:sz w:val="20"/>
                                  <w:szCs w:val="20"/>
                                  <w:lang w:val="en-US" w:eastAsia="it-IT"/>
                                </w:rPr>
                                <m:t>r</m:t>
                              </m:r>
                            </m:e>
                            <m:sub>
                              <m:r>
                                <w:rPr>
                                  <w:rFonts w:ascii="Cambria Math" w:eastAsia="Calibri" w:hAnsi="Cambria Math" w:cs="Arial"/>
                                  <w:sz w:val="20"/>
                                  <w:szCs w:val="20"/>
                                  <w:lang w:val="en-US" w:eastAsia="it-IT"/>
                                </w:rPr>
                                <m:t>t</m:t>
                              </m:r>
                            </m:sub>
                          </m:sSub>
                        </m:e>
                        <m:e/>
                      </m:eqArr>
                    </m:den>
                  </m:f>
                  <m:r>
                    <m:rPr>
                      <m:sty m:val="p"/>
                    </m:rPr>
                    <w:rPr>
                      <w:rFonts w:eastAsia="Calibri" w:cs="Arial"/>
                      <w:sz w:val="20"/>
                      <w:szCs w:val="20"/>
                      <w:lang w:val="en-US" w:eastAsia="it-IT"/>
                    </w:rPr>
                    <m:t>-</m:t>
                  </m:r>
                  <m:r>
                    <m:rPr>
                      <m:sty m:val="p"/>
                    </m:rPr>
                    <w:rPr>
                      <w:rFonts w:ascii="Cambria Math" w:eastAsia="Calibri" w:cs="Arial"/>
                      <w:sz w:val="20"/>
                      <w:szCs w:val="20"/>
                      <w:lang w:val="en-US" w:eastAsia="it-IT"/>
                    </w:rPr>
                    <m:t>1</m:t>
                  </m:r>
                </m:e>
              </m:d>
            </m:oMath>
            <w:r w:rsidR="00E5588C" w:rsidRPr="000D7A90">
              <w:rPr>
                <w:rFonts w:cs="Arial"/>
                <w:bCs/>
                <w:sz w:val="20"/>
                <w:szCs w:val="20"/>
                <w:lang w:val="en-US" w:eastAsia="it-IT"/>
              </w:rPr>
              <w:t xml:space="preserve">  </w:t>
            </w:r>
          </w:p>
          <w:p w14:paraId="10113F9C" w14:textId="77777777" w:rsidR="00E5588C" w:rsidRPr="000D7A90" w:rsidRDefault="00E5588C" w:rsidP="00A92CE4">
            <w:pPr>
              <w:spacing w:after="120" w:line="260" w:lineRule="exact"/>
              <w:jc w:val="both"/>
              <w:rPr>
                <w:rFonts w:cs="Arial"/>
                <w:color w:val="000000"/>
                <w:sz w:val="20"/>
                <w:szCs w:val="20"/>
                <w:lang w:val="en-US"/>
              </w:rPr>
            </w:pPr>
          </w:p>
        </w:tc>
      </w:tr>
      <w:tr w:rsidR="00E5588C" w:rsidRPr="000D7A90" w14:paraId="00B1A80A" w14:textId="77777777" w:rsidTr="00124C72">
        <w:tc>
          <w:tcPr>
            <w:tcW w:w="3072" w:type="dxa"/>
          </w:tcPr>
          <w:p w14:paraId="2F18DD1D" w14:textId="77777777" w:rsidR="00E5588C" w:rsidRPr="000D7A90" w:rsidRDefault="00C17CDA" w:rsidP="00022CEA">
            <w:pPr>
              <w:spacing w:after="120" w:line="260" w:lineRule="exact"/>
              <w:jc w:val="center"/>
              <w:rPr>
                <w:rFonts w:eastAsia="Calibri" w:cs="Arial"/>
                <w:b/>
                <w:bCs/>
                <w:sz w:val="20"/>
                <w:szCs w:val="20"/>
                <w:lang w:val="en-US" w:eastAsia="it-IT"/>
              </w:rPr>
            </w:pPr>
            <m:oMathPara>
              <m:oMath>
                <m:sSub>
                  <m:sSubPr>
                    <m:ctrlPr>
                      <w:rPr>
                        <w:rFonts w:ascii="Cambria Math" w:eastAsia="Calibri" w:hAnsi="Cambria Math" w:cs="Arial"/>
                        <w:b/>
                        <w:bCs/>
                        <w:sz w:val="20"/>
                        <w:szCs w:val="20"/>
                        <w:lang w:val="en-US" w:eastAsia="it-IT"/>
                      </w:rPr>
                    </m:ctrlPr>
                  </m:sSubPr>
                  <m:e>
                    <m:r>
                      <m:rPr>
                        <m:sty m:val="b"/>
                      </m:rPr>
                      <w:rPr>
                        <w:rFonts w:ascii="Cambria Math" w:eastAsia="Calibri" w:hAnsi="Cambria Math" w:cs="Arial"/>
                        <w:sz w:val="20"/>
                        <w:szCs w:val="20"/>
                        <w:lang w:val="en-US" w:eastAsia="it-IT"/>
                      </w:rPr>
                      <m:t>FC</m:t>
                    </m:r>
                  </m:e>
                  <m:sub>
                    <m:r>
                      <m:rPr>
                        <m:sty m:val="b"/>
                      </m:rPr>
                      <w:rPr>
                        <w:rFonts w:ascii="Cambria Math" w:eastAsia="Calibri" w:hAnsi="Cambria Math" w:cs="Arial"/>
                        <w:sz w:val="20"/>
                        <w:szCs w:val="20"/>
                        <w:lang w:val="en-US" w:eastAsia="it-IT"/>
                      </w:rPr>
                      <m:t>t</m:t>
                    </m:r>
                    <m:r>
                      <m:rPr>
                        <m:sty m:val="b"/>
                      </m:rPr>
                      <w:rPr>
                        <w:rFonts w:eastAsia="Calibri" w:cs="Arial"/>
                        <w:sz w:val="20"/>
                        <w:szCs w:val="20"/>
                        <w:lang w:val="en-US" w:eastAsia="it-IT"/>
                      </w:rPr>
                      <m:t>-</m:t>
                    </m:r>
                    <m:r>
                      <m:rPr>
                        <m:sty m:val="b"/>
                      </m:rPr>
                      <w:rPr>
                        <w:rFonts w:ascii="Cambria Math" w:eastAsia="Calibri" w:hAnsi="Cambria Math" w:cs="Arial"/>
                        <w:sz w:val="20"/>
                        <w:szCs w:val="20"/>
                        <w:lang w:val="en-US" w:eastAsia="it-IT"/>
                      </w:rPr>
                      <m:t>1</m:t>
                    </m:r>
                    <m:r>
                      <m:rPr>
                        <m:sty m:val="b"/>
                      </m:rPr>
                      <w:rPr>
                        <w:rFonts w:ascii="Cambria Math" w:eastAsia="Calibri" w:cs="Arial"/>
                        <w:sz w:val="20"/>
                        <w:szCs w:val="20"/>
                        <w:lang w:val="en-US" w:eastAsia="it-IT"/>
                      </w:rPr>
                      <m:t>,</m:t>
                    </m:r>
                    <m:r>
                      <m:rPr>
                        <m:sty m:val="b"/>
                      </m:rPr>
                      <w:rPr>
                        <w:rFonts w:ascii="Cambria Math" w:eastAsia="Calibri" w:hAnsi="Cambria Math" w:cs="Arial"/>
                        <w:sz w:val="20"/>
                        <w:szCs w:val="20"/>
                        <w:lang w:val="en-US" w:eastAsia="it-IT"/>
                      </w:rPr>
                      <m:t>t</m:t>
                    </m:r>
                  </m:sub>
                </m:sSub>
              </m:oMath>
            </m:oMathPara>
          </w:p>
        </w:tc>
        <w:tc>
          <w:tcPr>
            <w:tcW w:w="7998" w:type="dxa"/>
          </w:tcPr>
          <w:p w14:paraId="67E75F80" w14:textId="77777777" w:rsidR="00E5588C" w:rsidRPr="000D7A90" w:rsidRDefault="00E5588C" w:rsidP="00983D8D">
            <w:pPr>
              <w:autoSpaceDE w:val="0"/>
              <w:autoSpaceDN w:val="0"/>
              <w:adjustRightInd w:val="0"/>
              <w:spacing w:after="120" w:line="260" w:lineRule="exact"/>
              <w:jc w:val="both"/>
              <w:rPr>
                <w:rFonts w:eastAsia="Calibri" w:cs="Arial"/>
                <w:b/>
                <w:bCs/>
                <w:sz w:val="20"/>
                <w:szCs w:val="20"/>
                <w:lang w:val="en-US" w:eastAsia="it-IT"/>
              </w:rPr>
            </w:pPr>
            <w:r w:rsidRPr="000D7A90">
              <w:rPr>
                <w:rFonts w:eastAsia="Calibri" w:cs="Arial"/>
                <w:sz w:val="20"/>
                <w:szCs w:val="20"/>
                <w:lang w:val="en-US" w:eastAsia="it-IT"/>
              </w:rPr>
              <w:t>means, the Funding Cost between Observation Date(t-1) (included) and Observation Date(t) (excluded) calculated as follows:</w:t>
            </w:r>
          </w:p>
          <w:p w14:paraId="32479F29" w14:textId="77777777" w:rsidR="00E5588C" w:rsidRPr="000D7A90" w:rsidRDefault="00C17CDA" w:rsidP="00983D8D">
            <w:pPr>
              <w:spacing w:after="120"/>
              <w:jc w:val="both"/>
              <w:rPr>
                <w:rFonts w:cs="Arial"/>
                <w:b/>
                <w:caps/>
                <w:color w:val="000000"/>
                <w:sz w:val="20"/>
                <w:szCs w:val="20"/>
                <w:lang w:val="en-US"/>
              </w:rPr>
            </w:pPr>
            <m:oMathPara>
              <m:oMath>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FC</m:t>
                    </m:r>
                  </m:e>
                  <m:sub>
                    <m:r>
                      <m:rPr>
                        <m:sty m:val="p"/>
                      </m:rPr>
                      <w:rPr>
                        <w:rFonts w:ascii="Cambria Math" w:eastAsia="Calibri" w:cs="Arial"/>
                        <w:sz w:val="20"/>
                        <w:szCs w:val="20"/>
                        <w:lang w:val="en-US" w:eastAsia="it-IT"/>
                      </w:rPr>
                      <m:t>t</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1,t</m:t>
                    </m:r>
                  </m:sub>
                </m:sSub>
                <m:r>
                  <m:rPr>
                    <m:sty m:val="p"/>
                  </m:rPr>
                  <w:rPr>
                    <w:rFonts w:ascii="Cambria Math" w:eastAsia="Calibri" w:cs="Arial"/>
                    <w:sz w:val="20"/>
                    <w:szCs w:val="20"/>
                    <w:lang w:val="en-US" w:eastAsia="it-IT"/>
                  </w:rPr>
                  <m:t>=</m:t>
                </m:r>
                <m:r>
                  <m:rPr>
                    <m:sty m:val="b"/>
                  </m:rPr>
                  <w:rPr>
                    <w:rFonts w:ascii="Cambria Math" w:eastAsia="Calibri" w:cs="Arial"/>
                    <w:sz w:val="20"/>
                    <w:szCs w:val="20"/>
                    <w:lang w:val="en-US" w:eastAsia="it-IT"/>
                  </w:rPr>
                  <m:t xml:space="preserve"> </m:t>
                </m:r>
                <m:d>
                  <m:dPr>
                    <m:ctrlPr>
                      <w:rPr>
                        <w:rFonts w:ascii="Cambria Math" w:eastAsia="Calibri" w:hAnsi="Cambria Math" w:cs="Arial"/>
                        <w:bCs/>
                        <w:sz w:val="20"/>
                        <w:szCs w:val="20"/>
                        <w:lang w:val="en-US" w:eastAsia="it-IT"/>
                      </w:rPr>
                    </m:ctrlPr>
                  </m:dPr>
                  <m:e>
                    <m:r>
                      <m:rPr>
                        <m:sty m:val="p"/>
                      </m:rPr>
                      <w:rPr>
                        <w:rFonts w:ascii="Cambria Math" w:eastAsia="Calibri" w:cs="Arial"/>
                        <w:sz w:val="20"/>
                        <w:szCs w:val="20"/>
                        <w:lang w:val="en-US" w:eastAsia="it-IT"/>
                      </w:rPr>
                      <m:t>Leverage</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1</m:t>
                    </m:r>
                  </m:e>
                </m:d>
                <m:r>
                  <m:rPr>
                    <m:sty m:val="p"/>
                  </m:rPr>
                  <w:rPr>
                    <w:rFonts w:ascii="Cambria Math" w:eastAsia="Calibri" w:cs="Arial"/>
                    <w:sz w:val="20"/>
                    <w:szCs w:val="20"/>
                    <w:lang w:val="en-US" w:eastAsia="it-IT"/>
                  </w:rPr>
                  <m:t>×</m:t>
                </m:r>
                <m:f>
                  <m:fPr>
                    <m:ctrlPr>
                      <w:rPr>
                        <w:rFonts w:ascii="Cambria Math" w:eastAsia="Calibri" w:hAnsi="Cambria Math" w:cs="Arial"/>
                        <w:bCs/>
                        <w:sz w:val="20"/>
                        <w:szCs w:val="20"/>
                        <w:lang w:val="en-US" w:eastAsia="it-IT"/>
                      </w:rPr>
                    </m:ctrlPr>
                  </m:fPr>
                  <m:num>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Rate</m:t>
                        </m:r>
                      </m:e>
                      <m:sub>
                        <m:r>
                          <m:rPr>
                            <m:sty m:val="p"/>
                          </m:rPr>
                          <w:rPr>
                            <w:rFonts w:ascii="Cambria Math" w:eastAsia="Calibri" w:cs="Arial"/>
                            <w:sz w:val="20"/>
                            <w:szCs w:val="20"/>
                            <w:lang w:val="en-US" w:eastAsia="it-IT"/>
                          </w:rPr>
                          <m:t>t</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1</m:t>
                        </m:r>
                      </m:sub>
                    </m:sSub>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ACT</m:t>
                    </m:r>
                    <m:d>
                      <m:dPr>
                        <m:ctrlPr>
                          <w:rPr>
                            <w:rFonts w:ascii="Cambria Math" w:eastAsia="Calibri" w:hAnsi="Cambria Math" w:cs="Arial"/>
                            <w:bCs/>
                            <w:sz w:val="20"/>
                            <w:szCs w:val="20"/>
                            <w:lang w:val="en-US" w:eastAsia="it-IT"/>
                          </w:rPr>
                        </m:ctrlPr>
                      </m:dPr>
                      <m:e>
                        <m:r>
                          <m:rPr>
                            <m:sty m:val="p"/>
                          </m:rPr>
                          <w:rPr>
                            <w:rFonts w:ascii="Cambria Math" w:eastAsia="Calibri" w:cs="Arial"/>
                            <w:sz w:val="20"/>
                            <w:szCs w:val="20"/>
                            <w:lang w:val="en-US" w:eastAsia="it-IT"/>
                          </w:rPr>
                          <m:t>t</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1,t</m:t>
                        </m:r>
                      </m:e>
                    </m:d>
                  </m:num>
                  <m:den>
                    <m:r>
                      <m:rPr>
                        <m:sty m:val="p"/>
                      </m:rPr>
                      <w:rPr>
                        <w:rFonts w:ascii="Cambria Math" w:eastAsia="Calibri" w:cs="Arial"/>
                        <w:sz w:val="20"/>
                        <w:szCs w:val="20"/>
                        <w:lang w:val="en-US" w:eastAsia="it-IT"/>
                      </w:rPr>
                      <m:t>DayCountBasisRate</m:t>
                    </m:r>
                  </m:den>
                </m:f>
              </m:oMath>
            </m:oMathPara>
          </w:p>
        </w:tc>
      </w:tr>
      <w:tr w:rsidR="00557BE9" w:rsidRPr="000D7A90" w14:paraId="5D0C046A" w14:textId="77777777" w:rsidTr="00124C72">
        <w:tc>
          <w:tcPr>
            <w:tcW w:w="3072" w:type="dxa"/>
          </w:tcPr>
          <w:p w14:paraId="3A882754" w14:textId="77777777" w:rsidR="00557BE9" w:rsidRPr="000D7A90" w:rsidRDefault="00557BE9" w:rsidP="00B728E6">
            <w:pPr>
              <w:spacing w:after="120" w:line="260" w:lineRule="exact"/>
              <w:jc w:val="center"/>
              <w:rPr>
                <w:rFonts w:cs="Arial"/>
                <w:b/>
                <w:sz w:val="20"/>
                <w:szCs w:val="20"/>
                <w:lang w:val="en-US" w:eastAsia="it-IT"/>
              </w:rPr>
            </w:pPr>
            <w:r w:rsidRPr="000D7A90">
              <w:rPr>
                <w:rFonts w:ascii="Cambria Math" w:eastAsia="Calibri" w:cs="Arial"/>
                <w:sz w:val="20"/>
                <w:szCs w:val="20"/>
                <w:lang w:val="en-US" w:eastAsia="it-IT"/>
              </w:rPr>
              <w:br/>
            </w:r>
            <m:oMathPara>
              <m:oMath>
                <m:sSub>
                  <m:sSubPr>
                    <m:ctrlPr>
                      <w:rPr>
                        <w:rFonts w:ascii="Cambria Math" w:eastAsia="Calibri" w:hAnsi="Cambria Math" w:cs="Arial"/>
                        <w:b/>
                        <w:sz w:val="20"/>
                        <w:szCs w:val="20"/>
                        <w:lang w:val="en-US" w:eastAsia="it-IT"/>
                      </w:rPr>
                    </m:ctrlPr>
                  </m:sSubPr>
                  <m:e>
                    <m:r>
                      <m:rPr>
                        <m:sty m:val="b"/>
                      </m:rPr>
                      <w:rPr>
                        <w:rFonts w:ascii="Cambria Math" w:eastAsia="Calibri" w:hAnsi="Cambria Math" w:cs="Arial"/>
                        <w:sz w:val="20"/>
                        <w:szCs w:val="20"/>
                        <w:lang w:val="en-US" w:eastAsia="it-IT"/>
                      </w:rPr>
                      <m:t>SB</m:t>
                    </m:r>
                  </m:e>
                  <m:sub>
                    <m:r>
                      <m:rPr>
                        <m:sty m:val="b"/>
                      </m:rPr>
                      <w:rPr>
                        <w:rFonts w:ascii="Cambria Math" w:eastAsia="Calibri" w:hAnsi="Cambria Math" w:cs="Arial"/>
                        <w:sz w:val="20"/>
                        <w:szCs w:val="20"/>
                        <w:lang w:val="en-US" w:eastAsia="it-IT"/>
                      </w:rPr>
                      <m:t>t</m:t>
                    </m:r>
                    <m:r>
                      <m:rPr>
                        <m:sty m:val="b"/>
                      </m:rPr>
                      <w:rPr>
                        <w:rFonts w:eastAsia="Calibri" w:cs="Arial"/>
                        <w:sz w:val="20"/>
                        <w:szCs w:val="20"/>
                        <w:lang w:val="en-US" w:eastAsia="it-IT"/>
                      </w:rPr>
                      <m:t>-</m:t>
                    </m:r>
                    <m:r>
                      <m:rPr>
                        <m:sty m:val="b"/>
                      </m:rPr>
                      <w:rPr>
                        <w:rFonts w:ascii="Cambria Math" w:eastAsia="Calibri" w:hAnsi="Cambria Math" w:cs="Arial"/>
                        <w:sz w:val="20"/>
                        <w:szCs w:val="20"/>
                        <w:lang w:val="en-US" w:eastAsia="it-IT"/>
                      </w:rPr>
                      <m:t>1</m:t>
                    </m:r>
                    <m:r>
                      <m:rPr>
                        <m:sty m:val="b"/>
                      </m:rPr>
                      <w:rPr>
                        <w:rFonts w:ascii="Cambria Math" w:eastAsia="Calibri" w:cs="Arial"/>
                        <w:sz w:val="20"/>
                        <w:szCs w:val="20"/>
                        <w:lang w:val="en-US" w:eastAsia="it-IT"/>
                      </w:rPr>
                      <m:t>,</m:t>
                    </m:r>
                    <m:r>
                      <m:rPr>
                        <m:sty m:val="b"/>
                      </m:rPr>
                      <w:rPr>
                        <w:rFonts w:ascii="Cambria Math" w:eastAsia="Calibri" w:hAnsi="Cambria Math" w:cs="Arial"/>
                        <w:sz w:val="20"/>
                        <w:szCs w:val="20"/>
                        <w:lang w:val="en-US" w:eastAsia="it-IT"/>
                      </w:rPr>
                      <m:t>t</m:t>
                    </m:r>
                  </m:sub>
                </m:sSub>
              </m:oMath>
            </m:oMathPara>
          </w:p>
        </w:tc>
        <w:tc>
          <w:tcPr>
            <w:tcW w:w="7998" w:type="dxa"/>
          </w:tcPr>
          <w:p w14:paraId="145994FD" w14:textId="77777777" w:rsidR="00557BE9" w:rsidRPr="000D7A90" w:rsidRDefault="00557BE9" w:rsidP="00557BE9">
            <w:pPr>
              <w:autoSpaceDE w:val="0"/>
              <w:autoSpaceDN w:val="0"/>
              <w:adjustRightInd w:val="0"/>
              <w:spacing w:after="120" w:line="260" w:lineRule="exact"/>
              <w:jc w:val="both"/>
              <w:rPr>
                <w:rFonts w:eastAsia="Calibri" w:cs="Arial"/>
                <w:sz w:val="20"/>
                <w:szCs w:val="20"/>
                <w:lang w:val="en-US" w:eastAsia="it-IT"/>
              </w:rPr>
            </w:pPr>
            <w:r w:rsidRPr="000D7A90">
              <w:rPr>
                <w:rFonts w:eastAsia="Calibri" w:cs="Arial"/>
                <w:sz w:val="20"/>
                <w:szCs w:val="20"/>
                <w:lang w:val="en-US" w:eastAsia="it-IT"/>
              </w:rPr>
              <w:t>means the Stock Borrowing Cost between Observation Date(t-1) (included) and Observation Date(t) (excluded) calculated as follows:</w:t>
            </w:r>
          </w:p>
          <w:p w14:paraId="4BB57A30" w14:textId="77777777" w:rsidR="00557BE9" w:rsidRPr="000D7A90" w:rsidRDefault="00C17CDA" w:rsidP="00557BE9">
            <w:pPr>
              <w:spacing w:after="120"/>
              <w:jc w:val="both"/>
              <w:rPr>
                <w:rFonts w:eastAsia="Calibri" w:cs="Arial"/>
                <w:bCs/>
                <w:sz w:val="20"/>
                <w:szCs w:val="20"/>
                <w:lang w:val="en-US" w:eastAsia="it-IT"/>
              </w:rPr>
            </w:pPr>
            <m:oMathPara>
              <m:oMath>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SB</m:t>
                    </m:r>
                  </m:e>
                  <m:sub>
                    <m:r>
                      <m:rPr>
                        <m:sty m:val="p"/>
                      </m:rPr>
                      <w:rPr>
                        <w:rFonts w:ascii="Cambria Math" w:eastAsia="Calibri" w:cs="Arial"/>
                        <w:sz w:val="20"/>
                        <w:szCs w:val="20"/>
                        <w:lang w:val="en-US" w:eastAsia="it-IT"/>
                      </w:rPr>
                      <m:t>t</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1,t</m:t>
                    </m:r>
                  </m:sub>
                </m:sSub>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Leverage</m:t>
                </m:r>
                <m:r>
                  <m:rPr>
                    <m:sty m:val="p"/>
                  </m:rPr>
                  <w:rPr>
                    <w:rFonts w:ascii="Cambria Math" w:eastAsia="Calibri" w:cs="Arial"/>
                    <w:sz w:val="20"/>
                    <w:szCs w:val="20"/>
                    <w:lang w:val="en-US" w:eastAsia="it-IT"/>
                  </w:rPr>
                  <m:t>×</m:t>
                </m:r>
                <m:f>
                  <m:fPr>
                    <m:ctrlPr>
                      <w:rPr>
                        <w:rFonts w:ascii="Cambria Math" w:eastAsia="Calibri" w:hAnsi="Cambria Math" w:cs="Arial"/>
                        <w:bCs/>
                        <w:sz w:val="20"/>
                        <w:szCs w:val="20"/>
                        <w:lang w:val="en-US" w:eastAsia="it-IT"/>
                      </w:rPr>
                    </m:ctrlPr>
                  </m:fPr>
                  <m:num>
                    <m:r>
                      <m:rPr>
                        <m:sty m:val="p"/>
                      </m:rPr>
                      <w:rPr>
                        <w:rFonts w:ascii="Cambria Math" w:eastAsia="Calibri" w:cs="Arial"/>
                        <w:sz w:val="20"/>
                        <w:szCs w:val="20"/>
                        <w:lang w:val="en-US" w:eastAsia="it-IT"/>
                      </w:rPr>
                      <m:t>CB</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ACT</m:t>
                    </m:r>
                    <m:d>
                      <m:dPr>
                        <m:ctrlPr>
                          <w:rPr>
                            <w:rFonts w:ascii="Cambria Math" w:eastAsia="Calibri" w:hAnsi="Cambria Math" w:cs="Arial"/>
                            <w:bCs/>
                            <w:sz w:val="20"/>
                            <w:szCs w:val="20"/>
                            <w:lang w:val="en-US" w:eastAsia="it-IT"/>
                          </w:rPr>
                        </m:ctrlPr>
                      </m:dPr>
                      <m:e>
                        <m:r>
                          <m:rPr>
                            <m:sty m:val="p"/>
                          </m:rPr>
                          <w:rPr>
                            <w:rFonts w:ascii="Cambria Math" w:eastAsia="Calibri" w:cs="Arial"/>
                            <w:sz w:val="20"/>
                            <w:szCs w:val="20"/>
                            <w:lang w:val="en-US" w:eastAsia="it-IT"/>
                          </w:rPr>
                          <m:t>t</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1,t</m:t>
                        </m:r>
                      </m:e>
                    </m:d>
                  </m:num>
                  <m:den>
                    <m:r>
                      <m:rPr>
                        <m:sty m:val="p"/>
                      </m:rPr>
                      <w:rPr>
                        <w:rFonts w:ascii="Cambria Math" w:eastAsia="Calibri" w:cs="Arial"/>
                        <w:sz w:val="20"/>
                        <w:szCs w:val="20"/>
                        <w:lang w:val="en-US" w:eastAsia="it-IT"/>
                      </w:rPr>
                      <m:t>DayCountBasisRate</m:t>
                    </m:r>
                  </m:den>
                </m:f>
              </m:oMath>
            </m:oMathPara>
          </w:p>
          <w:p w14:paraId="0C1D59D5" w14:textId="77777777" w:rsidR="00557BE9" w:rsidRPr="000D7A90" w:rsidRDefault="00557BE9" w:rsidP="00983D8D">
            <w:pPr>
              <w:autoSpaceDE w:val="0"/>
              <w:autoSpaceDN w:val="0"/>
              <w:adjustRightInd w:val="0"/>
              <w:spacing w:after="120" w:line="260" w:lineRule="exact"/>
              <w:jc w:val="both"/>
              <w:rPr>
                <w:rFonts w:eastAsia="Calibri" w:cs="Arial"/>
                <w:sz w:val="20"/>
                <w:szCs w:val="20"/>
                <w:lang w:val="en-US" w:eastAsia="it-IT"/>
              </w:rPr>
            </w:pPr>
          </w:p>
        </w:tc>
      </w:tr>
      <w:tr w:rsidR="00557BE9" w:rsidRPr="000D7A90" w14:paraId="184E53B1" w14:textId="77777777" w:rsidTr="00124C72">
        <w:tc>
          <w:tcPr>
            <w:tcW w:w="3072" w:type="dxa"/>
          </w:tcPr>
          <w:p w14:paraId="31122DA7" w14:textId="77777777" w:rsidR="00557BE9" w:rsidRPr="000D7A90" w:rsidRDefault="00557BE9" w:rsidP="00022CEA">
            <w:pPr>
              <w:spacing w:after="120" w:line="260" w:lineRule="exact"/>
              <w:jc w:val="center"/>
              <w:rPr>
                <w:rFonts w:cs="Arial"/>
                <w:b/>
                <w:sz w:val="20"/>
                <w:szCs w:val="20"/>
                <w:lang w:val="en-US" w:eastAsia="it-IT"/>
              </w:rPr>
            </w:pPr>
            <w:r w:rsidRPr="000D7A90">
              <w:rPr>
                <w:rFonts w:cs="Arial"/>
                <w:b/>
                <w:sz w:val="20"/>
                <w:szCs w:val="20"/>
                <w:lang w:val="en-US" w:eastAsia="it-IT"/>
              </w:rPr>
              <w:t>CB</w:t>
            </w:r>
          </w:p>
        </w:tc>
        <w:tc>
          <w:tcPr>
            <w:tcW w:w="7998" w:type="dxa"/>
          </w:tcPr>
          <w:p w14:paraId="216E1CA9" w14:textId="77777777" w:rsidR="00557BE9" w:rsidRPr="000D7A90" w:rsidRDefault="00557BE9" w:rsidP="00CA1DC7">
            <w:pPr>
              <w:autoSpaceDE w:val="0"/>
              <w:autoSpaceDN w:val="0"/>
              <w:adjustRightInd w:val="0"/>
              <w:spacing w:after="120" w:line="260" w:lineRule="exact"/>
              <w:jc w:val="both"/>
              <w:rPr>
                <w:rFonts w:eastAsia="Calibri" w:cs="Arial"/>
                <w:sz w:val="20"/>
                <w:szCs w:val="20"/>
                <w:lang w:val="en-US" w:eastAsia="it-IT"/>
              </w:rPr>
            </w:pPr>
            <w:r w:rsidRPr="000D7A90">
              <w:rPr>
                <w:rFonts w:eastAsia="Calibri" w:cs="Arial"/>
                <w:sz w:val="20"/>
                <w:szCs w:val="20"/>
                <w:lang w:val="en-US" w:eastAsia="it-IT"/>
              </w:rPr>
              <w:t>means the Cost of Borrowing applicable that is equal to:</w:t>
            </w:r>
            <w:r w:rsidR="00F11963">
              <w:rPr>
                <w:rFonts w:eastAsia="Calibri" w:cs="Arial"/>
                <w:sz w:val="20"/>
                <w:szCs w:val="20"/>
                <w:lang w:val="en-US" w:eastAsia="it-IT"/>
              </w:rPr>
              <w:t xml:space="preserve"> </w:t>
            </w:r>
            <w:r w:rsidR="00350FCC" w:rsidRPr="000D7A90">
              <w:rPr>
                <w:rFonts w:cs="Arial"/>
                <w:color w:val="000000"/>
                <w:sz w:val="20"/>
                <w:szCs w:val="20"/>
                <w:lang w:val="en-US"/>
              </w:rPr>
              <w:t>4.00%</w:t>
            </w:r>
          </w:p>
        </w:tc>
      </w:tr>
      <w:tr w:rsidR="00E5588C" w:rsidRPr="000D7A90" w14:paraId="5CA54A8C" w14:textId="77777777" w:rsidTr="00124C72">
        <w:tc>
          <w:tcPr>
            <w:tcW w:w="3072" w:type="dxa"/>
          </w:tcPr>
          <w:p w14:paraId="0FED6E0B" w14:textId="77777777" w:rsidR="00E5588C" w:rsidRPr="000D7A90" w:rsidRDefault="00C17CDA" w:rsidP="00022CEA">
            <w:pPr>
              <w:spacing w:after="120" w:line="260" w:lineRule="exact"/>
              <w:jc w:val="center"/>
              <w:rPr>
                <w:rFonts w:eastAsia="Calibri" w:cs="Arial"/>
                <w:b/>
                <w:bCs/>
                <w:sz w:val="20"/>
                <w:szCs w:val="20"/>
                <w:lang w:val="en-US" w:eastAsia="it-IT"/>
              </w:rPr>
            </w:pPr>
            <m:oMathPara>
              <m:oMath>
                <m:sSub>
                  <m:sSubPr>
                    <m:ctrlPr>
                      <w:rPr>
                        <w:rFonts w:ascii="Cambria Math" w:eastAsia="Calibri" w:hAnsi="Cambria Math" w:cs="Arial"/>
                        <w:b/>
                        <w:sz w:val="20"/>
                        <w:szCs w:val="20"/>
                        <w:lang w:val="en-US" w:eastAsia="it-IT"/>
                      </w:rPr>
                    </m:ctrlPr>
                  </m:sSubPr>
                  <m:e>
                    <m:r>
                      <m:rPr>
                        <m:sty m:val="b"/>
                      </m:rPr>
                      <w:rPr>
                        <w:rFonts w:ascii="Cambria Math" w:eastAsia="Calibri" w:hAnsi="Cambria Math" w:cs="Arial"/>
                        <w:sz w:val="20"/>
                        <w:szCs w:val="20"/>
                        <w:lang w:val="en-US" w:eastAsia="it-IT"/>
                      </w:rPr>
                      <m:t>RC</m:t>
                    </m:r>
                  </m:e>
                  <m:sub>
                    <m:r>
                      <m:rPr>
                        <m:sty m:val="b"/>
                      </m:rPr>
                      <w:rPr>
                        <w:rFonts w:ascii="Cambria Math" w:eastAsia="Calibri" w:hAnsi="Cambria Math" w:cs="Arial"/>
                        <w:sz w:val="20"/>
                        <w:szCs w:val="20"/>
                        <w:lang w:val="en-US" w:eastAsia="it-IT"/>
                      </w:rPr>
                      <m:t>t</m:t>
                    </m:r>
                    <m:r>
                      <m:rPr>
                        <m:sty m:val="b"/>
                      </m:rPr>
                      <w:rPr>
                        <w:rFonts w:eastAsia="Calibri" w:cs="Arial"/>
                        <w:sz w:val="20"/>
                        <w:szCs w:val="20"/>
                        <w:lang w:val="en-US" w:eastAsia="it-IT"/>
                      </w:rPr>
                      <m:t>-</m:t>
                    </m:r>
                    <m:r>
                      <m:rPr>
                        <m:sty m:val="b"/>
                      </m:rPr>
                      <w:rPr>
                        <w:rFonts w:ascii="Cambria Math" w:eastAsia="Calibri" w:hAnsi="Cambria Math" w:cs="Arial"/>
                        <w:sz w:val="20"/>
                        <w:szCs w:val="20"/>
                        <w:lang w:val="en-US" w:eastAsia="it-IT"/>
                      </w:rPr>
                      <m:t>1</m:t>
                    </m:r>
                    <m:r>
                      <m:rPr>
                        <m:sty m:val="b"/>
                      </m:rPr>
                      <w:rPr>
                        <w:rFonts w:ascii="Cambria Math" w:eastAsia="Calibri" w:cs="Arial"/>
                        <w:sz w:val="20"/>
                        <w:szCs w:val="20"/>
                        <w:lang w:val="en-US" w:eastAsia="it-IT"/>
                      </w:rPr>
                      <m:t>,</m:t>
                    </m:r>
                    <m:r>
                      <m:rPr>
                        <m:sty m:val="b"/>
                      </m:rPr>
                      <w:rPr>
                        <w:rFonts w:ascii="Cambria Math" w:eastAsia="Calibri" w:hAnsi="Cambria Math" w:cs="Arial"/>
                        <w:sz w:val="20"/>
                        <w:szCs w:val="20"/>
                        <w:lang w:val="en-US" w:eastAsia="it-IT"/>
                      </w:rPr>
                      <m:t>t</m:t>
                    </m:r>
                  </m:sub>
                </m:sSub>
              </m:oMath>
            </m:oMathPara>
          </w:p>
        </w:tc>
        <w:tc>
          <w:tcPr>
            <w:tcW w:w="7998" w:type="dxa"/>
          </w:tcPr>
          <w:p w14:paraId="22A34D14" w14:textId="77777777" w:rsidR="00E5588C" w:rsidRPr="000D7A90" w:rsidRDefault="00734768" w:rsidP="00983D8D">
            <w:pPr>
              <w:autoSpaceDE w:val="0"/>
              <w:autoSpaceDN w:val="0"/>
              <w:adjustRightInd w:val="0"/>
              <w:spacing w:after="120" w:line="260" w:lineRule="exact"/>
              <w:jc w:val="both"/>
              <w:rPr>
                <w:rFonts w:eastAsia="Calibri" w:cs="Arial"/>
                <w:b/>
                <w:bCs/>
                <w:sz w:val="20"/>
                <w:szCs w:val="20"/>
                <w:lang w:val="en-US" w:eastAsia="it-IT"/>
              </w:rPr>
            </w:pPr>
            <w:r w:rsidRPr="000D7A90">
              <w:rPr>
                <w:rFonts w:eastAsia="Calibri" w:cs="Arial"/>
                <w:sz w:val="20"/>
                <w:szCs w:val="18"/>
                <w:lang w:val="en-US" w:eastAsia="it-IT"/>
              </w:rPr>
              <w:t>means the Rebalancing Cost of the Leverage Inverse Strategy on Observation Date (t), calculated as follows:</w:t>
            </w:r>
          </w:p>
          <w:p w14:paraId="6DD0AAC4" w14:textId="77777777" w:rsidR="00734768" w:rsidRPr="000D7A90" w:rsidRDefault="00C17CDA" w:rsidP="00734768">
            <w:pPr>
              <w:spacing w:before="120" w:after="120"/>
              <w:jc w:val="both"/>
              <w:rPr>
                <w:rFonts w:cs="Arial"/>
                <w:b/>
                <w:caps/>
                <w:color w:val="000000"/>
                <w:sz w:val="18"/>
                <w:szCs w:val="18"/>
                <w:lang w:val="en-US"/>
              </w:rPr>
            </w:pPr>
            <m:oMath>
              <m:sSub>
                <m:sSubPr>
                  <m:ctrlPr>
                    <w:rPr>
                      <w:rFonts w:ascii="Cambria Math" w:eastAsia="Calibri" w:hAnsi="Cambria Math" w:cs="Arial"/>
                      <w:bCs/>
                      <w:sz w:val="18"/>
                      <w:szCs w:val="18"/>
                      <w:lang w:val="en-US" w:eastAsia="it-IT"/>
                    </w:rPr>
                  </m:ctrlPr>
                </m:sSubPr>
                <m:e>
                  <m:r>
                    <m:rPr>
                      <m:sty m:val="p"/>
                    </m:rPr>
                    <w:rPr>
                      <w:rFonts w:ascii="Cambria Math" w:eastAsia="Calibri" w:cs="Arial"/>
                      <w:sz w:val="18"/>
                      <w:szCs w:val="18"/>
                      <w:lang w:val="en-US" w:eastAsia="it-IT"/>
                    </w:rPr>
                    <m:t>RC</m:t>
                  </m:r>
                </m:e>
                <m:sub>
                  <m:r>
                    <m:rPr>
                      <m:sty m:val="p"/>
                    </m:rPr>
                    <w:rPr>
                      <w:rFonts w:ascii="Cambria Math" w:eastAsia="Calibri" w:cs="Arial"/>
                      <w:sz w:val="18"/>
                      <w:szCs w:val="18"/>
                      <w:lang w:val="en-US" w:eastAsia="it-IT"/>
                    </w:rPr>
                    <m:t>t</m:t>
                  </m:r>
                  <m:r>
                    <m:rPr>
                      <m:sty m:val="p"/>
                    </m:rPr>
                    <w:rPr>
                      <w:rFonts w:ascii="Cambria Math" w:eastAsia="Calibri" w:cs="Arial"/>
                      <w:sz w:val="18"/>
                      <w:szCs w:val="18"/>
                      <w:lang w:val="en-US" w:eastAsia="it-IT"/>
                    </w:rPr>
                    <m:t>-</m:t>
                  </m:r>
                  <m:r>
                    <m:rPr>
                      <m:sty m:val="p"/>
                    </m:rPr>
                    <w:rPr>
                      <w:rFonts w:ascii="Cambria Math" w:eastAsia="Calibri" w:cs="Arial"/>
                      <w:sz w:val="18"/>
                      <w:szCs w:val="18"/>
                      <w:lang w:val="en-US" w:eastAsia="it-IT"/>
                    </w:rPr>
                    <m:t>1,t</m:t>
                  </m:r>
                </m:sub>
              </m:sSub>
              <m:r>
                <m:rPr>
                  <m:sty m:val="p"/>
                </m:rPr>
                <w:rPr>
                  <w:rFonts w:ascii="Cambria Math" w:eastAsia="Calibri" w:cs="Arial"/>
                  <w:sz w:val="18"/>
                  <w:szCs w:val="18"/>
                  <w:lang w:val="en-US" w:eastAsia="it-IT"/>
                </w:rPr>
                <m:t>=</m:t>
              </m:r>
              <m:r>
                <m:rPr>
                  <m:sty m:val="b"/>
                </m:rPr>
                <w:rPr>
                  <w:rFonts w:ascii="Cambria Math" w:eastAsia="Calibri" w:cs="Arial"/>
                  <w:sz w:val="18"/>
                  <w:szCs w:val="18"/>
                  <w:lang w:val="en-US" w:eastAsia="it-IT"/>
                </w:rPr>
                <m:t xml:space="preserve"> </m:t>
              </m:r>
              <m:r>
                <m:rPr>
                  <m:sty m:val="p"/>
                </m:rPr>
                <w:rPr>
                  <w:rFonts w:ascii="Cambria Math" w:eastAsia="Calibri" w:cs="Arial"/>
                  <w:sz w:val="18"/>
                  <w:szCs w:val="18"/>
                  <w:lang w:val="en-US" w:eastAsia="it-IT"/>
                </w:rPr>
                <m:t>Leverage</m:t>
              </m:r>
              <m:r>
                <m:rPr>
                  <m:sty m:val="b"/>
                </m:rPr>
                <w:rPr>
                  <w:rFonts w:ascii="Cambria Math" w:eastAsia="Calibri" w:cs="Arial"/>
                  <w:sz w:val="18"/>
                  <w:szCs w:val="18"/>
                  <w:lang w:val="en-US" w:eastAsia="it-IT"/>
                </w:rPr>
                <m:t xml:space="preserve"> </m:t>
              </m:r>
              <m:r>
                <m:rPr>
                  <m:sty m:val="b"/>
                </m:rPr>
                <w:rPr>
                  <w:rFonts w:ascii="Cambria Math" w:eastAsia="Calibri" w:cs="Arial"/>
                  <w:sz w:val="18"/>
                  <w:szCs w:val="18"/>
                  <w:lang w:val="en-US" w:eastAsia="it-IT"/>
                </w:rPr>
                <m:t>×</m:t>
              </m:r>
              <m:d>
                <m:dPr>
                  <m:ctrlPr>
                    <w:rPr>
                      <w:rFonts w:ascii="Cambria Math" w:eastAsia="Calibri" w:hAnsi="Cambria Math" w:cs="Arial"/>
                      <w:bCs/>
                      <w:sz w:val="18"/>
                      <w:szCs w:val="18"/>
                      <w:lang w:val="en-US" w:eastAsia="it-IT"/>
                    </w:rPr>
                  </m:ctrlPr>
                </m:dPr>
                <m:e>
                  <m:r>
                    <m:rPr>
                      <m:sty m:val="p"/>
                    </m:rPr>
                    <w:rPr>
                      <w:rFonts w:ascii="Cambria Math" w:eastAsia="Calibri" w:cs="Arial"/>
                      <w:sz w:val="18"/>
                      <w:szCs w:val="18"/>
                      <w:lang w:val="en-US" w:eastAsia="it-IT"/>
                    </w:rPr>
                    <m:t>Leverage</m:t>
                  </m:r>
                  <m:r>
                    <m:rPr>
                      <m:sty m:val="p"/>
                    </m:rPr>
                    <w:rPr>
                      <w:rFonts w:ascii="Cambria Math" w:eastAsia="Calibri" w:cs="Arial"/>
                      <w:sz w:val="18"/>
                      <w:szCs w:val="18"/>
                      <w:lang w:val="en-US" w:eastAsia="it-IT"/>
                    </w:rPr>
                    <m:t>-</m:t>
                  </m:r>
                  <m:r>
                    <m:rPr>
                      <m:sty m:val="p"/>
                    </m:rPr>
                    <w:rPr>
                      <w:rFonts w:ascii="Cambria Math" w:eastAsia="Calibri" w:cs="Arial"/>
                      <w:sz w:val="18"/>
                      <w:szCs w:val="18"/>
                      <w:lang w:val="en-US" w:eastAsia="it-IT"/>
                    </w:rPr>
                    <m:t>1</m:t>
                  </m:r>
                </m:e>
              </m:d>
              <m:r>
                <m:rPr>
                  <m:sty m:val="p"/>
                </m:rPr>
                <w:rPr>
                  <w:rFonts w:ascii="Cambria Math" w:eastAsia="Calibri" w:cs="Arial"/>
                  <w:sz w:val="18"/>
                  <w:szCs w:val="18"/>
                  <w:lang w:val="en-US" w:eastAsia="it-IT"/>
                </w:rPr>
                <m:t>×</m:t>
              </m:r>
              <m:d>
                <m:dPr>
                  <m:ctrlPr>
                    <w:rPr>
                      <w:rFonts w:ascii="Cambria Math" w:eastAsia="Calibri" w:hAnsi="Cambria Math" w:cs="Arial"/>
                      <w:bCs/>
                      <w:sz w:val="18"/>
                      <w:szCs w:val="18"/>
                      <w:lang w:val="en-US" w:eastAsia="it-IT"/>
                    </w:rPr>
                  </m:ctrlPr>
                </m:dPr>
                <m:e>
                  <m:d>
                    <m:dPr>
                      <m:begChr m:val="|"/>
                      <m:endChr m:val="|"/>
                      <m:ctrlPr>
                        <w:rPr>
                          <w:rFonts w:ascii="Cambria Math" w:eastAsia="Calibri" w:hAnsi="Cambria Math" w:cs="Arial"/>
                          <w:bCs/>
                          <w:sz w:val="18"/>
                          <w:szCs w:val="18"/>
                          <w:lang w:val="en-US" w:eastAsia="it-IT"/>
                        </w:rPr>
                      </m:ctrlPr>
                    </m:dPr>
                    <m:e>
                      <m:f>
                        <m:fPr>
                          <m:ctrlPr>
                            <w:rPr>
                              <w:rFonts w:ascii="Cambria Math" w:eastAsia="Calibri" w:hAnsi="Cambria Math" w:cs="Arial"/>
                              <w:bCs/>
                              <w:sz w:val="20"/>
                              <w:szCs w:val="20"/>
                              <w:lang w:val="en-US" w:eastAsia="it-IT"/>
                            </w:rPr>
                          </m:ctrlPr>
                        </m:fPr>
                        <m:num>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S</m:t>
                              </m:r>
                            </m:e>
                            <m:sub>
                              <m:r>
                                <m:rPr>
                                  <m:sty m:val="p"/>
                                </m:rPr>
                                <w:rPr>
                                  <w:rFonts w:ascii="Cambria Math" w:eastAsia="Calibri" w:cs="Arial"/>
                                  <w:sz w:val="20"/>
                                  <w:szCs w:val="20"/>
                                  <w:lang w:val="en-US" w:eastAsia="it-IT"/>
                                </w:rPr>
                                <m:t>t</m:t>
                              </m:r>
                            </m:sub>
                          </m:sSub>
                        </m:num>
                        <m:den>
                          <m:sSub>
                            <m:sSubPr>
                              <m:ctrlPr>
                                <w:rPr>
                                  <w:rFonts w:ascii="Cambria Math" w:eastAsia="Calibri" w:hAnsi="Cambria Math" w:cs="Arial"/>
                                  <w:bCs/>
                                  <w:sz w:val="20"/>
                                  <w:szCs w:val="20"/>
                                  <w:lang w:val="en-US" w:eastAsia="it-IT"/>
                                </w:rPr>
                              </m:ctrlPr>
                            </m:sSubPr>
                            <m:e>
                              <m:r>
                                <m:rPr>
                                  <m:sty m:val="p"/>
                                </m:rPr>
                                <w:rPr>
                                  <w:rFonts w:ascii="Cambria Math" w:eastAsia="Calibri" w:cs="Arial"/>
                                  <w:sz w:val="20"/>
                                  <w:szCs w:val="20"/>
                                  <w:lang w:val="en-US" w:eastAsia="it-IT"/>
                                </w:rPr>
                                <m:t>S</m:t>
                              </m:r>
                            </m:e>
                            <m:sub>
                              <m:r>
                                <m:rPr>
                                  <m:sty m:val="p"/>
                                </m:rPr>
                                <w:rPr>
                                  <w:rFonts w:ascii="Cambria Math" w:eastAsia="Calibri" w:cs="Arial"/>
                                  <w:sz w:val="20"/>
                                  <w:szCs w:val="20"/>
                                  <w:lang w:val="en-US" w:eastAsia="it-IT"/>
                                </w:rPr>
                                <m:t>t</m:t>
                              </m:r>
                              <m:r>
                                <m:rPr>
                                  <m:sty m:val="p"/>
                                </m:rPr>
                                <w:rPr>
                                  <w:rFonts w:ascii="Cambria Math" w:eastAsia="Calibri" w:cs="Arial"/>
                                  <w:sz w:val="20"/>
                                  <w:szCs w:val="20"/>
                                  <w:lang w:val="en-US" w:eastAsia="it-IT"/>
                                </w:rPr>
                                <m:t>-</m:t>
                              </m:r>
                              <m:r>
                                <m:rPr>
                                  <m:sty m:val="p"/>
                                </m:rPr>
                                <w:rPr>
                                  <w:rFonts w:ascii="Cambria Math" w:eastAsia="Calibri" w:cs="Arial"/>
                                  <w:sz w:val="20"/>
                                  <w:szCs w:val="20"/>
                                  <w:lang w:val="en-US" w:eastAsia="it-IT"/>
                                </w:rPr>
                                <m:t>1</m:t>
                              </m:r>
                            </m:sub>
                          </m:sSub>
                          <m:r>
                            <w:rPr>
                              <w:rFonts w:ascii="Cambria Math" w:eastAsia="Calibri" w:hAnsi="Cambria Math" w:cs="Arial"/>
                              <w:sz w:val="20"/>
                              <w:szCs w:val="20"/>
                              <w:lang w:val="en-US" w:eastAsia="it-IT"/>
                            </w:rPr>
                            <m:t>×Rfacto</m:t>
                          </m:r>
                          <m:sSub>
                            <m:sSubPr>
                              <m:ctrlPr>
                                <w:rPr>
                                  <w:rFonts w:ascii="Cambria Math" w:eastAsia="Calibri" w:hAnsi="Cambria Math" w:cs="Arial"/>
                                  <w:bCs/>
                                  <w:i/>
                                  <w:sz w:val="20"/>
                                  <w:szCs w:val="20"/>
                                  <w:lang w:val="en-US" w:eastAsia="it-IT"/>
                                </w:rPr>
                              </m:ctrlPr>
                            </m:sSubPr>
                            <m:e>
                              <m:r>
                                <w:rPr>
                                  <w:rFonts w:ascii="Cambria Math" w:eastAsia="Calibri" w:hAnsi="Cambria Math" w:cs="Arial"/>
                                  <w:sz w:val="20"/>
                                  <w:szCs w:val="20"/>
                                  <w:lang w:val="en-US" w:eastAsia="it-IT"/>
                                </w:rPr>
                                <m:t>r</m:t>
                              </m:r>
                            </m:e>
                            <m:sub>
                              <m:r>
                                <w:rPr>
                                  <w:rFonts w:ascii="Cambria Math" w:eastAsia="Calibri" w:hAnsi="Cambria Math" w:cs="Arial"/>
                                  <w:sz w:val="20"/>
                                  <w:szCs w:val="20"/>
                                  <w:lang w:val="en-US" w:eastAsia="it-IT"/>
                                </w:rPr>
                                <m:t>t</m:t>
                              </m:r>
                            </m:sub>
                          </m:sSub>
                        </m:den>
                      </m:f>
                      <m:r>
                        <m:rPr>
                          <m:sty m:val="p"/>
                        </m:rPr>
                        <w:rPr>
                          <w:rFonts w:eastAsia="Calibri" w:cs="Arial"/>
                          <w:sz w:val="18"/>
                          <w:szCs w:val="18"/>
                          <w:lang w:val="en-US" w:eastAsia="it-IT"/>
                        </w:rPr>
                        <m:t>-</m:t>
                      </m:r>
                      <m:r>
                        <m:rPr>
                          <m:sty m:val="p"/>
                        </m:rPr>
                        <w:rPr>
                          <w:rFonts w:ascii="Cambria Math" w:eastAsia="Calibri" w:cs="Arial"/>
                          <w:sz w:val="18"/>
                          <w:szCs w:val="18"/>
                          <w:lang w:val="en-US" w:eastAsia="it-IT"/>
                        </w:rPr>
                        <m:t>1</m:t>
                      </m:r>
                    </m:e>
                  </m:d>
                </m:e>
              </m:d>
              <m:r>
                <m:rPr>
                  <m:sty m:val="p"/>
                </m:rPr>
                <w:rPr>
                  <w:rFonts w:ascii="Cambria Math" w:eastAsia="Calibri" w:cs="Arial"/>
                  <w:sz w:val="18"/>
                  <w:szCs w:val="18"/>
                  <w:lang w:val="en-US" w:eastAsia="it-IT"/>
                </w:rPr>
                <m:t>×</m:t>
              </m:r>
              <m:r>
                <m:rPr>
                  <m:sty m:val="p"/>
                </m:rPr>
                <w:rPr>
                  <w:rFonts w:ascii="Cambria Math" w:eastAsia="Calibri" w:cs="Arial"/>
                  <w:sz w:val="18"/>
                  <w:szCs w:val="18"/>
                  <w:lang w:val="en-US" w:eastAsia="it-IT"/>
                </w:rPr>
                <m:t>TC</m:t>
              </m:r>
            </m:oMath>
            <w:r w:rsidR="00734768" w:rsidRPr="000D7A90">
              <w:rPr>
                <w:rFonts w:cs="Arial"/>
                <w:bCs/>
                <w:sz w:val="18"/>
                <w:szCs w:val="18"/>
                <w:lang w:val="en-US" w:eastAsia="it-IT"/>
              </w:rPr>
              <w:t xml:space="preserve"> </w:t>
            </w:r>
          </w:p>
          <w:p w14:paraId="79340B60" w14:textId="77777777" w:rsidR="00734768" w:rsidRPr="000D7A90" w:rsidRDefault="00734768" w:rsidP="00734768">
            <w:pPr>
              <w:spacing w:after="120" w:line="260" w:lineRule="exact"/>
              <w:jc w:val="both"/>
              <w:rPr>
                <w:rFonts w:cs="Arial"/>
                <w:color w:val="000000"/>
                <w:sz w:val="20"/>
                <w:szCs w:val="20"/>
                <w:lang w:val="en-US"/>
              </w:rPr>
            </w:pPr>
          </w:p>
        </w:tc>
      </w:tr>
      <w:tr w:rsidR="00E5588C" w:rsidRPr="000D7A90" w14:paraId="0D4C1825" w14:textId="77777777" w:rsidTr="00124C72">
        <w:tc>
          <w:tcPr>
            <w:tcW w:w="3072" w:type="dxa"/>
          </w:tcPr>
          <w:p w14:paraId="4C29D39F" w14:textId="77777777" w:rsidR="00E5588C" w:rsidRPr="000D7A90" w:rsidRDefault="00E5588C" w:rsidP="00022CEA">
            <w:pPr>
              <w:spacing w:after="120" w:line="260" w:lineRule="exact"/>
              <w:jc w:val="center"/>
              <w:rPr>
                <w:rFonts w:eastAsia="Calibri" w:cs="Arial"/>
                <w:b/>
                <w:bCs/>
                <w:sz w:val="20"/>
                <w:szCs w:val="20"/>
                <w:lang w:val="en-US" w:eastAsia="it-IT"/>
              </w:rPr>
            </w:pPr>
            <w:r w:rsidRPr="000D7A90">
              <w:rPr>
                <w:rFonts w:eastAsia="Calibri" w:cs="Arial"/>
                <w:b/>
                <w:bCs/>
                <w:sz w:val="20"/>
                <w:szCs w:val="20"/>
                <w:lang w:val="en-US" w:eastAsia="it-IT"/>
              </w:rPr>
              <w:t>TC</w:t>
            </w:r>
          </w:p>
        </w:tc>
        <w:tc>
          <w:tcPr>
            <w:tcW w:w="7998" w:type="dxa"/>
          </w:tcPr>
          <w:p w14:paraId="7BA850C7" w14:textId="77777777" w:rsidR="00250230" w:rsidRPr="000D7A90" w:rsidRDefault="00250230" w:rsidP="00250230">
            <w:pPr>
              <w:autoSpaceDE w:val="0"/>
              <w:autoSpaceDN w:val="0"/>
              <w:adjustRightInd w:val="0"/>
              <w:spacing w:after="120" w:line="260" w:lineRule="exact"/>
              <w:jc w:val="both"/>
              <w:rPr>
                <w:rFonts w:eastAsia="Calibri" w:cs="Arial"/>
                <w:sz w:val="20"/>
                <w:szCs w:val="20"/>
                <w:lang w:val="en-US" w:eastAsia="it-IT"/>
              </w:rPr>
            </w:pPr>
            <w:r w:rsidRPr="000D7A90">
              <w:rPr>
                <w:rFonts w:eastAsia="Calibri" w:cs="Arial"/>
                <w:sz w:val="20"/>
                <w:szCs w:val="20"/>
                <w:lang w:val="en-US" w:eastAsia="it-IT"/>
              </w:rPr>
              <w:t>means the Transaction Costs applicable (including Stamp Duty</w:t>
            </w:r>
            <w:r>
              <w:rPr>
                <w:rFonts w:eastAsia="Calibri" w:cs="Arial"/>
                <w:sz w:val="20"/>
                <w:szCs w:val="20"/>
                <w:lang w:val="en-US" w:eastAsia="it-IT"/>
              </w:rPr>
              <w:t xml:space="preserve"> </w:t>
            </w:r>
            <w:r w:rsidRPr="001C544A">
              <w:rPr>
                <w:rFonts w:eastAsia="Calibri" w:cs="Arial"/>
                <w:sz w:val="20"/>
                <w:szCs w:val="20"/>
                <w:lang w:val="en-US" w:eastAsia="it-IT"/>
              </w:rPr>
              <w:t>and any other applicable taxes, levies and costs which may be levied on the stock transactions on the Relev</w:t>
            </w:r>
            <w:r>
              <w:rPr>
                <w:rFonts w:eastAsia="Calibri" w:cs="Arial"/>
                <w:sz w:val="20"/>
                <w:szCs w:val="20"/>
                <w:lang w:val="en-US" w:eastAsia="it-IT"/>
              </w:rPr>
              <w:t xml:space="preserve">ant Stock Exchange for the </w:t>
            </w:r>
            <w:r>
              <w:rPr>
                <w:rFonts w:cs="Arial"/>
                <w:spacing w:val="-3"/>
                <w:sz w:val="20"/>
                <w:lang w:val="en-GB"/>
              </w:rPr>
              <w:t>Underlying Stock</w:t>
            </w:r>
            <w:r w:rsidRPr="001C544A">
              <w:rPr>
                <w:rFonts w:eastAsia="Calibri" w:cs="Arial"/>
                <w:sz w:val="20"/>
                <w:szCs w:val="20"/>
                <w:lang w:val="en-US" w:eastAsia="it-IT"/>
              </w:rPr>
              <w:t xml:space="preserve"> by the applicable regulatory authorities from time to time</w:t>
            </w:r>
            <w:r w:rsidRPr="000D7A90">
              <w:rPr>
                <w:rFonts w:eastAsia="Calibri" w:cs="Arial"/>
                <w:sz w:val="20"/>
                <w:szCs w:val="20"/>
                <w:lang w:val="en-US" w:eastAsia="it-IT"/>
              </w:rPr>
              <w:t xml:space="preserve">) that are </w:t>
            </w:r>
            <w:r>
              <w:rPr>
                <w:rFonts w:eastAsia="Calibri" w:cs="Arial"/>
                <w:sz w:val="20"/>
                <w:szCs w:val="20"/>
                <w:lang w:val="en-US" w:eastAsia="it-IT"/>
              </w:rPr>
              <w:t>currently</w:t>
            </w:r>
            <w:r w:rsidRPr="000D7A90">
              <w:rPr>
                <w:rFonts w:eastAsia="Calibri" w:cs="Arial"/>
                <w:sz w:val="20"/>
                <w:szCs w:val="20"/>
                <w:lang w:val="en-US" w:eastAsia="it-IT"/>
              </w:rPr>
              <w:t xml:space="preserve"> equal </w:t>
            </w:r>
            <w:proofErr w:type="gramStart"/>
            <w:r w:rsidRPr="000D7A90">
              <w:rPr>
                <w:rFonts w:eastAsia="Calibri" w:cs="Arial"/>
                <w:sz w:val="20"/>
                <w:szCs w:val="20"/>
                <w:lang w:val="en-US" w:eastAsia="it-IT"/>
              </w:rPr>
              <w:t>to :</w:t>
            </w:r>
            <w:proofErr w:type="gramEnd"/>
          </w:p>
          <w:p w14:paraId="032FD038" w14:textId="3A4CB8AA" w:rsidR="00E5588C" w:rsidRPr="00567F74" w:rsidRDefault="00D9293A" w:rsidP="00983D8D">
            <w:pPr>
              <w:autoSpaceDE w:val="0"/>
              <w:autoSpaceDN w:val="0"/>
              <w:adjustRightInd w:val="0"/>
              <w:spacing w:after="120" w:line="260" w:lineRule="exact"/>
              <w:jc w:val="both"/>
              <w:rPr>
                <w:rFonts w:eastAsia="Calibri" w:cs="Arial"/>
                <w:sz w:val="20"/>
                <w:szCs w:val="20"/>
                <w:lang w:val="en-US" w:eastAsia="it-IT"/>
              </w:rPr>
            </w:pPr>
            <w:r w:rsidRPr="00567F74">
              <w:rPr>
                <w:rFonts w:cs="Arial"/>
                <w:sz w:val="20"/>
                <w:szCs w:val="20"/>
                <w:lang w:val="en-CA"/>
              </w:rPr>
              <w:t>0.1</w:t>
            </w:r>
            <w:r w:rsidR="00B77BCF">
              <w:rPr>
                <w:rFonts w:cs="Arial"/>
                <w:sz w:val="20"/>
                <w:szCs w:val="20"/>
                <w:lang w:val="en-CA"/>
              </w:rPr>
              <w:t>1</w:t>
            </w:r>
            <w:r w:rsidRPr="00567F74">
              <w:rPr>
                <w:rFonts w:cs="Arial"/>
                <w:sz w:val="20"/>
                <w:szCs w:val="20"/>
                <w:lang w:val="en-CA"/>
              </w:rPr>
              <w:t>%</w:t>
            </w:r>
          </w:p>
          <w:p w14:paraId="5C539370" w14:textId="77777777" w:rsidR="00E5588C" w:rsidRPr="000D7A90" w:rsidRDefault="00250230" w:rsidP="00983D8D">
            <w:pPr>
              <w:spacing w:after="120" w:line="260" w:lineRule="exact"/>
              <w:jc w:val="both"/>
              <w:rPr>
                <w:rFonts w:cs="Arial"/>
                <w:color w:val="000000"/>
                <w:sz w:val="20"/>
                <w:szCs w:val="20"/>
                <w:lang w:val="en-US"/>
              </w:rPr>
            </w:pPr>
            <w:r w:rsidRPr="00AF1D43">
              <w:rPr>
                <w:rFonts w:eastAsia="Calibri" w:cs="Arial"/>
                <w:sz w:val="20"/>
                <w:szCs w:val="20"/>
                <w:lang w:val="en-US" w:eastAsia="it-IT"/>
              </w:rPr>
              <w:lastRenderedPageBreak/>
              <w:t xml:space="preserve">“Stamp Duty” refers to the applicable rate of stamp duty on the stock transactions in the jurisdiction of the Relevant Stock Exchange for </w:t>
            </w:r>
            <w:r>
              <w:rPr>
                <w:rFonts w:eastAsia="Calibri" w:cs="Arial"/>
                <w:sz w:val="20"/>
                <w:szCs w:val="20"/>
                <w:lang w:val="en-US" w:eastAsia="it-IT"/>
              </w:rPr>
              <w:t xml:space="preserve">the </w:t>
            </w:r>
            <w:r>
              <w:rPr>
                <w:rFonts w:cs="Arial"/>
                <w:spacing w:val="-3"/>
                <w:sz w:val="20"/>
                <w:lang w:val="en-GB"/>
              </w:rPr>
              <w:t>Underlying Stock</w:t>
            </w:r>
            <w:r w:rsidRPr="00AF1D43">
              <w:rPr>
                <w:rFonts w:eastAsia="Calibri" w:cs="Arial"/>
                <w:sz w:val="20"/>
                <w:szCs w:val="20"/>
                <w:lang w:val="en-US" w:eastAsia="it-IT"/>
              </w:rPr>
              <w:t>, which may be changed by the applicable regulatory authorities from time to time.</w:t>
            </w:r>
          </w:p>
        </w:tc>
      </w:tr>
      <w:tr w:rsidR="00E5588C" w:rsidRPr="000D7A90" w14:paraId="30A5A21E" w14:textId="77777777" w:rsidTr="00124C72">
        <w:tc>
          <w:tcPr>
            <w:tcW w:w="3072" w:type="dxa"/>
          </w:tcPr>
          <w:p w14:paraId="3B46EF80" w14:textId="77777777" w:rsidR="00E5588C" w:rsidRPr="000D7A90" w:rsidRDefault="00E5588C" w:rsidP="00022CEA">
            <w:pPr>
              <w:spacing w:after="120" w:line="260" w:lineRule="exact"/>
              <w:jc w:val="center"/>
              <w:rPr>
                <w:rFonts w:eastAsia="Calibri" w:cs="Arial"/>
                <w:b/>
                <w:bCs/>
                <w:sz w:val="20"/>
                <w:szCs w:val="20"/>
                <w:lang w:val="en-US" w:eastAsia="it-IT"/>
              </w:rPr>
            </w:pPr>
            <w:r w:rsidRPr="000D7A90">
              <w:rPr>
                <w:rFonts w:eastAsia="Calibri" w:cs="Arial"/>
                <w:b/>
                <w:bCs/>
                <w:sz w:val="20"/>
                <w:szCs w:val="20"/>
                <w:lang w:val="en-US" w:eastAsia="it-IT"/>
              </w:rPr>
              <w:lastRenderedPageBreak/>
              <w:t>Leverage</w:t>
            </w:r>
          </w:p>
        </w:tc>
        <w:tc>
          <w:tcPr>
            <w:tcW w:w="7998" w:type="dxa"/>
          </w:tcPr>
          <w:p w14:paraId="2B5ED3D9" w14:textId="77777777" w:rsidR="00E5588C" w:rsidRPr="000D7A90" w:rsidRDefault="00734768" w:rsidP="00983D8D">
            <w:pPr>
              <w:spacing w:after="120" w:line="260" w:lineRule="exact"/>
              <w:jc w:val="both"/>
              <w:rPr>
                <w:rFonts w:cs="Arial"/>
                <w:color w:val="000000"/>
                <w:sz w:val="20"/>
                <w:szCs w:val="20"/>
                <w:lang w:val="en-US"/>
              </w:rPr>
            </w:pPr>
            <w:r w:rsidRPr="000D7A90">
              <w:rPr>
                <w:rFonts w:cs="Arial"/>
                <w:color w:val="000000"/>
                <w:sz w:val="20"/>
                <w:szCs w:val="20"/>
                <w:lang w:val="en-US"/>
              </w:rPr>
              <w:t>-5</w:t>
            </w:r>
          </w:p>
          <w:p w14:paraId="6FF1F735" w14:textId="77777777" w:rsidR="00E5588C" w:rsidRPr="000D7A90" w:rsidRDefault="00E5588C" w:rsidP="00983D8D">
            <w:pPr>
              <w:tabs>
                <w:tab w:val="left" w:pos="4393"/>
              </w:tabs>
              <w:spacing w:after="120" w:line="260" w:lineRule="exact"/>
              <w:ind w:left="59"/>
              <w:jc w:val="both"/>
              <w:rPr>
                <w:rFonts w:cs="Arial"/>
                <w:color w:val="000000"/>
                <w:kern w:val="20"/>
                <w:sz w:val="20"/>
                <w:szCs w:val="20"/>
                <w:lang w:val="en-US"/>
              </w:rPr>
            </w:pPr>
            <w:r w:rsidRPr="000D7A90">
              <w:rPr>
                <w:rFonts w:cs="Arial"/>
                <w:color w:val="000000"/>
                <w:sz w:val="20"/>
                <w:szCs w:val="20"/>
                <w:lang w:val="en-US"/>
              </w:rPr>
              <w:tab/>
            </w:r>
          </w:p>
        </w:tc>
      </w:tr>
      <w:tr w:rsidR="00E5588C" w:rsidRPr="000D7A90" w14:paraId="31B16480" w14:textId="77777777" w:rsidTr="00124C72">
        <w:tc>
          <w:tcPr>
            <w:tcW w:w="3072" w:type="dxa"/>
          </w:tcPr>
          <w:p w14:paraId="5D492819" w14:textId="77777777" w:rsidR="00E5588C" w:rsidRPr="000D7A90" w:rsidRDefault="00C17CDA" w:rsidP="00734768">
            <w:pPr>
              <w:spacing w:after="120" w:line="260" w:lineRule="exact"/>
              <w:jc w:val="center"/>
              <w:rPr>
                <w:rFonts w:eastAsia="Calibri" w:cs="Arial"/>
                <w:b/>
                <w:bCs/>
                <w:sz w:val="20"/>
                <w:szCs w:val="20"/>
                <w:lang w:val="en-US" w:eastAsia="it-IT"/>
              </w:rPr>
            </w:pPr>
            <m:oMathPara>
              <m:oMath>
                <m:sSub>
                  <m:sSubPr>
                    <m:ctrlPr>
                      <w:rPr>
                        <w:rFonts w:ascii="Cambria Math" w:eastAsia="Calibri" w:hAnsi="Cambria Math" w:cs="Arial"/>
                        <w:b/>
                        <w:sz w:val="20"/>
                        <w:szCs w:val="20"/>
                        <w:lang w:val="en-US" w:eastAsia="it-IT"/>
                      </w:rPr>
                    </m:ctrlPr>
                  </m:sSubPr>
                  <m:e>
                    <m:r>
                      <m:rPr>
                        <m:sty m:val="b"/>
                      </m:rPr>
                      <w:rPr>
                        <w:rFonts w:ascii="Cambria Math" w:eastAsia="Calibri" w:hAnsi="Cambria Math" w:cs="Arial"/>
                        <w:sz w:val="20"/>
                        <w:szCs w:val="20"/>
                        <w:lang w:val="en-US" w:eastAsia="it-IT"/>
                      </w:rPr>
                      <m:t>S</m:t>
                    </m:r>
                  </m:e>
                  <m:sub>
                    <m:r>
                      <m:rPr>
                        <m:sty m:val="b"/>
                      </m:rPr>
                      <w:rPr>
                        <w:rFonts w:ascii="Cambria Math" w:eastAsia="Calibri" w:hAnsi="Cambria Math" w:cs="Arial"/>
                        <w:sz w:val="20"/>
                        <w:szCs w:val="20"/>
                        <w:lang w:val="en-US" w:eastAsia="it-IT"/>
                      </w:rPr>
                      <m:t>t</m:t>
                    </m:r>
                  </m:sub>
                </m:sSub>
              </m:oMath>
            </m:oMathPara>
          </w:p>
        </w:tc>
        <w:tc>
          <w:tcPr>
            <w:tcW w:w="7998" w:type="dxa"/>
          </w:tcPr>
          <w:p w14:paraId="5A9420B2" w14:textId="77777777" w:rsidR="00E5588C" w:rsidRPr="000D7A90" w:rsidRDefault="00E5588C" w:rsidP="00983D8D">
            <w:pPr>
              <w:pStyle w:val="PlainText"/>
              <w:spacing w:line="283" w:lineRule="auto"/>
              <w:jc w:val="both"/>
              <w:rPr>
                <w:rFonts w:ascii="Arial" w:hAnsi="Arial" w:cs="Arial"/>
                <w:b/>
                <w:bCs/>
                <w:kern w:val="20"/>
              </w:rPr>
            </w:pPr>
            <w:r w:rsidRPr="000D7A90">
              <w:rPr>
                <w:rFonts w:ascii="Arial" w:hAnsi="Arial" w:cs="Arial"/>
              </w:rPr>
              <w:t xml:space="preserve">means, in respect of each Observation Date(t), the Closing Price of the </w:t>
            </w:r>
            <w:r w:rsidR="00221C96" w:rsidRPr="000D7A90">
              <w:rPr>
                <w:rFonts w:ascii="Arial" w:hAnsi="Arial" w:cs="Arial"/>
              </w:rPr>
              <w:t>Underlying Stock</w:t>
            </w:r>
            <w:r w:rsidRPr="000D7A90">
              <w:rPr>
                <w:rFonts w:ascii="Arial" w:hAnsi="Arial" w:cs="Arial"/>
              </w:rPr>
              <w:t xml:space="preserve"> as of such Observation Date(t), subject to the adjustments and provisions of the Conditions</w:t>
            </w:r>
            <w:r w:rsidR="00506E35" w:rsidRPr="000D7A90">
              <w:rPr>
                <w:rFonts w:ascii="Arial" w:hAnsi="Arial" w:cs="Arial"/>
              </w:rPr>
              <w:t>.</w:t>
            </w:r>
            <w:r w:rsidRPr="000D7A90">
              <w:rPr>
                <w:rFonts w:ascii="Arial" w:hAnsi="Arial" w:cs="Arial"/>
              </w:rPr>
              <w:t xml:space="preserve"> </w:t>
            </w:r>
          </w:p>
          <w:p w14:paraId="7FB72FCA" w14:textId="77777777" w:rsidR="00E5588C" w:rsidRPr="000D7A90" w:rsidRDefault="00E5588C" w:rsidP="00983D8D">
            <w:pPr>
              <w:pStyle w:val="PlainText"/>
              <w:spacing w:line="283" w:lineRule="auto"/>
              <w:jc w:val="both"/>
              <w:rPr>
                <w:rFonts w:ascii="Arial" w:hAnsi="Arial" w:cs="Arial"/>
              </w:rPr>
            </w:pPr>
          </w:p>
        </w:tc>
      </w:tr>
      <w:tr w:rsidR="00E5588C" w:rsidRPr="000D7A90" w14:paraId="506DCAB3" w14:textId="77777777" w:rsidTr="00124C72">
        <w:tc>
          <w:tcPr>
            <w:tcW w:w="3072" w:type="dxa"/>
          </w:tcPr>
          <w:p w14:paraId="7D694FBF" w14:textId="77777777" w:rsidR="00E5588C" w:rsidRPr="000D7A90" w:rsidRDefault="00C17CDA" w:rsidP="00022CEA">
            <w:pPr>
              <w:spacing w:after="120" w:line="260" w:lineRule="exact"/>
              <w:jc w:val="center"/>
              <w:rPr>
                <w:rFonts w:cs="Arial"/>
                <w:b/>
                <w:color w:val="000000"/>
                <w:sz w:val="20"/>
                <w:szCs w:val="20"/>
                <w:lang w:val="en-US"/>
              </w:rPr>
            </w:pPr>
            <m:oMathPara>
              <m:oMath>
                <m:sSub>
                  <m:sSubPr>
                    <m:ctrlPr>
                      <w:rPr>
                        <w:rFonts w:ascii="Cambria Math" w:eastAsia="Calibri" w:hAnsi="Cambria Math" w:cs="Arial"/>
                        <w:b/>
                        <w:bCs/>
                        <w:sz w:val="20"/>
                        <w:szCs w:val="20"/>
                        <w:lang w:val="en-US" w:eastAsia="it-IT"/>
                      </w:rPr>
                    </m:ctrlPr>
                  </m:sSubPr>
                  <m:e>
                    <m:r>
                      <m:rPr>
                        <m:sty m:val="b"/>
                      </m:rPr>
                      <w:rPr>
                        <w:rFonts w:ascii="Cambria Math" w:eastAsia="Calibri" w:hAnsi="Cambria Math" w:cs="Arial"/>
                        <w:sz w:val="20"/>
                        <w:szCs w:val="20"/>
                        <w:lang w:val="en-US" w:eastAsia="it-IT"/>
                      </w:rPr>
                      <m:t>Rate</m:t>
                    </m:r>
                  </m:e>
                  <m:sub>
                    <m:r>
                      <m:rPr>
                        <m:sty m:val="b"/>
                      </m:rPr>
                      <w:rPr>
                        <w:rFonts w:ascii="Cambria Math" w:eastAsia="Calibri" w:hAnsi="Cambria Math" w:cs="Arial"/>
                        <w:sz w:val="20"/>
                        <w:szCs w:val="20"/>
                        <w:lang w:val="en-US" w:eastAsia="it-IT"/>
                      </w:rPr>
                      <m:t>t</m:t>
                    </m:r>
                  </m:sub>
                </m:sSub>
              </m:oMath>
            </m:oMathPara>
          </w:p>
        </w:tc>
        <w:tc>
          <w:tcPr>
            <w:tcW w:w="7998" w:type="dxa"/>
          </w:tcPr>
          <w:p w14:paraId="4C255D01" w14:textId="77777777" w:rsidR="00F11963" w:rsidRPr="003D49A1" w:rsidRDefault="00124C72" w:rsidP="00F11963">
            <w:pPr>
              <w:pStyle w:val="ListParagraph"/>
              <w:spacing w:after="120" w:line="260" w:lineRule="exact"/>
              <w:ind w:left="48" w:hanging="4"/>
            </w:pPr>
            <w:r w:rsidRPr="00734768">
              <w:rPr>
                <w:color w:val="000000"/>
                <w:lang w:val="en-US"/>
              </w:rPr>
              <w:t xml:space="preserve">means, </w:t>
            </w:r>
            <w:r>
              <w:rPr>
                <w:color w:val="000000"/>
                <w:lang w:val="en-US"/>
              </w:rPr>
              <w:t xml:space="preserve">in </w:t>
            </w:r>
            <w:r w:rsidRPr="00734768">
              <w:rPr>
                <w:color w:val="000000"/>
                <w:lang w:val="en-US"/>
              </w:rPr>
              <w:t>r</w:t>
            </w:r>
            <w:r>
              <w:rPr>
                <w:color w:val="000000"/>
                <w:lang w:val="en-US"/>
              </w:rPr>
              <w:t>espect of</w:t>
            </w:r>
            <w:r w:rsidRPr="00734768">
              <w:rPr>
                <w:color w:val="000000"/>
                <w:lang w:val="en-US"/>
              </w:rPr>
              <w:t xml:space="preserve"> each </w:t>
            </w:r>
            <w:r w:rsidRPr="00C17CDA">
              <w:rPr>
                <w:color w:val="000000"/>
                <w:lang w:val="en-US"/>
              </w:rPr>
              <w:t>Observation Date(t), the Overnight HKD Hong Kong Interbank Offered Rate (HIBOR) Fixing, as published on Reuters RIC HIHKDOND= or any successor page</w:t>
            </w:r>
            <w:r w:rsidRPr="00C17CDA">
              <w:rPr>
                <w:color w:val="000000"/>
              </w:rPr>
              <w:t xml:space="preserve">, being the rate as of day (t), provided that if any of such rate is not available, then that rate shall be determined by reference to the latest available rate that was published on the relevant Reuters page. Upon the occurrence or likely occurrence, as determined by the Calculation Agent, of modification, the permanent or indefinite cancellation or cessation in the provision of </w:t>
            </w:r>
            <w:r w:rsidRPr="00C17CDA">
              <w:rPr>
                <w:color w:val="000000"/>
                <w:lang w:val="en-US"/>
              </w:rPr>
              <w:t>HIBOR</w:t>
            </w:r>
            <w:r w:rsidRPr="00C17CDA">
              <w:rPr>
                <w:color w:val="000000"/>
              </w:rPr>
              <w:t xml:space="preserve">, or a regulator or other official sector entity prohibits the use of </w:t>
            </w:r>
            <w:r w:rsidRPr="00C17CDA">
              <w:rPr>
                <w:color w:val="000000"/>
                <w:lang w:val="en-US"/>
              </w:rPr>
              <w:t>HIBOR</w:t>
            </w:r>
            <w:r w:rsidRPr="00C17CDA">
              <w:rPr>
                <w:color w:val="000000"/>
              </w:rPr>
              <w:t>, the Calculation Agent may make adjustments as it may determine appropriate to account for the relevant event or circumstance, including but not limited to using any alternative rates from such date, with or without retroactive</w:t>
            </w:r>
            <w:r w:rsidRPr="003D237F">
              <w:rPr>
                <w:color w:val="000000"/>
              </w:rPr>
              <w:t xml:space="preserve"> effect as the Calculation Agent may in its sole and absolute discretion determine.</w:t>
            </w:r>
          </w:p>
        </w:tc>
      </w:tr>
      <w:tr w:rsidR="00792F7A" w:rsidRPr="000D7A90" w14:paraId="4FA8F16A" w14:textId="77777777" w:rsidTr="00124C72">
        <w:tc>
          <w:tcPr>
            <w:tcW w:w="3072" w:type="dxa"/>
          </w:tcPr>
          <w:p w14:paraId="1F061EFA" w14:textId="77777777" w:rsidR="00792F7A" w:rsidRPr="000D7A90" w:rsidRDefault="00C17CDA" w:rsidP="00792F7A">
            <w:pPr>
              <w:spacing w:after="120" w:line="260" w:lineRule="exact"/>
              <w:jc w:val="center"/>
              <w:rPr>
                <w:b/>
                <w:bCs/>
                <w:sz w:val="20"/>
                <w:szCs w:val="20"/>
                <w:lang w:val="en-US" w:eastAsia="it-IT"/>
              </w:rPr>
            </w:pPr>
            <m:oMathPara>
              <m:oMath>
                <m:sSub>
                  <m:sSubPr>
                    <m:ctrlPr>
                      <w:rPr>
                        <w:rFonts w:ascii="Cambria Math" w:eastAsia="Calibri" w:hAnsi="Cambria Math" w:cs="Arial"/>
                        <w:b/>
                        <w:bCs/>
                        <w:sz w:val="20"/>
                        <w:szCs w:val="20"/>
                        <w:lang w:val="en-US" w:eastAsia="it-IT"/>
                      </w:rPr>
                    </m:ctrlPr>
                  </m:sSubPr>
                  <m:e>
                    <m:r>
                      <m:rPr>
                        <m:sty m:val="b"/>
                      </m:rPr>
                      <w:rPr>
                        <w:rFonts w:ascii="Cambria Math" w:eastAsia="Calibri" w:hAnsi="Cambria Math" w:cs="Arial"/>
                        <w:sz w:val="20"/>
                        <w:szCs w:val="20"/>
                        <w:lang w:val="en-US" w:eastAsia="it-IT"/>
                      </w:rPr>
                      <m:t>Rfactor</m:t>
                    </m:r>
                  </m:e>
                  <m:sub>
                    <m:r>
                      <m:rPr>
                        <m:sty m:val="b"/>
                      </m:rPr>
                      <w:rPr>
                        <w:rFonts w:ascii="Cambria Math" w:eastAsia="Calibri" w:hAnsi="Cambria Math" w:cs="Arial"/>
                        <w:sz w:val="20"/>
                        <w:szCs w:val="20"/>
                        <w:lang w:val="en-US" w:eastAsia="it-IT"/>
                      </w:rPr>
                      <m:t>t</m:t>
                    </m:r>
                  </m:sub>
                </m:sSub>
              </m:oMath>
            </m:oMathPara>
          </w:p>
        </w:tc>
        <w:tc>
          <w:tcPr>
            <w:tcW w:w="7998" w:type="dxa"/>
          </w:tcPr>
          <w:p w14:paraId="48DF3084" w14:textId="77777777" w:rsidR="00792F7A" w:rsidRPr="000D7A90" w:rsidRDefault="00181FB6" w:rsidP="00792F7A">
            <w:pPr>
              <w:pStyle w:val="ListParagraph"/>
              <w:spacing w:after="120" w:line="260" w:lineRule="exact"/>
              <w:ind w:left="48" w:hanging="4"/>
              <w:rPr>
                <w:bCs/>
                <w:lang w:val="en-US" w:eastAsia="it-IT"/>
              </w:rPr>
            </w:pPr>
            <w:r w:rsidRPr="000D7A90">
              <w:rPr>
                <w:color w:val="000000"/>
                <w:lang w:val="en-US"/>
              </w:rPr>
              <w:t>m</w:t>
            </w:r>
            <w:r w:rsidR="00792F7A" w:rsidRPr="000D7A90">
              <w:rPr>
                <w:color w:val="000000"/>
                <w:lang w:val="en-US"/>
              </w:rPr>
              <w:t>eans, in the event Observation Date (t) is an ex-dividend date of the Underlying Stock,</w:t>
            </w:r>
            <w:r w:rsidR="005B06CF">
              <w:rPr>
                <w:color w:val="000000"/>
                <w:lang w:val="en-US"/>
              </w:rPr>
              <w:t xml:space="preserve"> </w:t>
            </w:r>
            <w:r w:rsidR="00792F7A" w:rsidRPr="000D7A90">
              <w:rPr>
                <w:color w:val="000000"/>
                <w:lang w:val="en-US"/>
              </w:rPr>
              <w:t xml:space="preserve">an amount determined by the Calculation Agent, </w:t>
            </w:r>
            <w:r w:rsidR="00792F7A" w:rsidRPr="000D7A90" w:rsidDel="007C1EAE">
              <w:rPr>
                <w:color w:val="000000"/>
                <w:lang w:val="en-US"/>
              </w:rPr>
              <w:t>subject to the adjustments and provisions of the Conditions</w:t>
            </w:r>
            <w:r w:rsidR="00792F7A" w:rsidRPr="000D7A90">
              <w:rPr>
                <w:color w:val="000000"/>
                <w:lang w:val="en-US"/>
              </w:rPr>
              <w:t>, according to the following formula:</w:t>
            </w:r>
          </w:p>
          <w:p w14:paraId="35550DAC" w14:textId="77777777" w:rsidR="00792F7A" w:rsidRPr="000D7A90" w:rsidRDefault="00C17CDA" w:rsidP="00792F7A">
            <w:pPr>
              <w:pStyle w:val="ListParagraph"/>
              <w:spacing w:after="120"/>
              <w:ind w:left="43"/>
              <w:rPr>
                <w:bCs/>
                <w:lang w:val="en-US" w:eastAsia="it-IT"/>
              </w:rPr>
            </w:pPr>
            <m:oMathPara>
              <m:oMath>
                <m:sSub>
                  <m:sSubPr>
                    <m:ctrlPr>
                      <w:rPr>
                        <w:rFonts w:ascii="Cambria Math" w:hAnsi="Cambria Math"/>
                        <w:bCs/>
                        <w:i/>
                        <w:lang w:val="en-US" w:eastAsia="it-IT"/>
                      </w:rPr>
                    </m:ctrlPr>
                  </m:sSubPr>
                  <m:e>
                    <m:r>
                      <w:rPr>
                        <w:rFonts w:ascii="Cambria Math" w:hAnsi="Cambria Math"/>
                        <w:lang w:val="en-US" w:eastAsia="it-IT"/>
                      </w:rPr>
                      <m:t>Rfactor</m:t>
                    </m:r>
                  </m:e>
                  <m:sub>
                    <m:r>
                      <w:rPr>
                        <w:rFonts w:ascii="Cambria Math" w:hAnsi="Cambria Math"/>
                        <w:lang w:val="en-US" w:eastAsia="it-IT"/>
                      </w:rPr>
                      <m:t>t</m:t>
                    </m:r>
                  </m:sub>
                </m:sSub>
                <m:r>
                  <w:rPr>
                    <w:rFonts w:ascii="Cambria Math" w:hAnsi="Cambria Math"/>
                    <w:lang w:val="en-US" w:eastAsia="it-IT"/>
                  </w:rPr>
                  <m:t>= 1-</m:t>
                </m:r>
                <m:f>
                  <m:fPr>
                    <m:ctrlPr>
                      <w:rPr>
                        <w:rFonts w:ascii="Cambria Math" w:hAnsi="Cambria Math"/>
                        <w:bCs/>
                        <w:i/>
                        <w:lang w:val="en-US" w:eastAsia="it-IT"/>
                      </w:rPr>
                    </m:ctrlPr>
                  </m:fPr>
                  <m:num>
                    <m:sSub>
                      <m:sSubPr>
                        <m:ctrlPr>
                          <w:rPr>
                            <w:rFonts w:ascii="Cambria Math" w:hAnsi="Cambria Math"/>
                            <w:bCs/>
                            <w:i/>
                            <w:lang w:val="en-US" w:eastAsia="it-IT"/>
                          </w:rPr>
                        </m:ctrlPr>
                      </m:sSubPr>
                      <m:e>
                        <m:r>
                          <w:rPr>
                            <w:rFonts w:ascii="Cambria Math" w:hAnsi="Cambria Math"/>
                            <w:lang w:val="en-US" w:eastAsia="it-IT"/>
                          </w:rPr>
                          <m:t>Div</m:t>
                        </m:r>
                      </m:e>
                      <m:sub>
                        <m:r>
                          <w:rPr>
                            <w:rFonts w:ascii="Cambria Math" w:hAnsi="Cambria Math"/>
                            <w:lang w:val="en-US" w:eastAsia="it-IT"/>
                          </w:rPr>
                          <m:t>t</m:t>
                        </m:r>
                      </m:sub>
                    </m:sSub>
                  </m:num>
                  <m:den>
                    <m:sSub>
                      <m:sSubPr>
                        <m:ctrlPr>
                          <w:rPr>
                            <w:rFonts w:ascii="Cambria Math" w:eastAsia="Calibri" w:hAnsi="Cambria Math"/>
                            <w:b/>
                            <w:bCs/>
                            <w:lang w:val="en-US" w:eastAsia="it-IT"/>
                          </w:rPr>
                        </m:ctrlPr>
                      </m:sSubPr>
                      <m:e>
                        <m:r>
                          <m:rPr>
                            <m:sty m:val="b"/>
                          </m:rPr>
                          <w:rPr>
                            <w:rFonts w:ascii="Cambria Math" w:eastAsia="Calibri" w:hAnsi="Cambria Math"/>
                            <w:lang w:val="en-US" w:eastAsia="it-IT"/>
                          </w:rPr>
                          <m:t>S</m:t>
                        </m:r>
                      </m:e>
                      <m:sub>
                        <m:r>
                          <m:rPr>
                            <m:sty m:val="b"/>
                          </m:rPr>
                          <w:rPr>
                            <w:rFonts w:ascii="Cambria Math" w:eastAsia="Calibri" w:hAnsi="Cambria Math"/>
                            <w:lang w:val="en-US" w:eastAsia="it-IT"/>
                          </w:rPr>
                          <m:t>t-1</m:t>
                        </m:r>
                      </m:sub>
                    </m:sSub>
                  </m:den>
                </m:f>
              </m:oMath>
            </m:oMathPara>
          </w:p>
          <w:p w14:paraId="1AFA5189" w14:textId="77777777" w:rsidR="00792F7A" w:rsidRPr="000D7A90" w:rsidRDefault="00792F7A" w:rsidP="00792F7A">
            <w:pPr>
              <w:pStyle w:val="ListParagraph"/>
              <w:spacing w:after="120" w:line="260" w:lineRule="exact"/>
              <w:ind w:left="48" w:hanging="4"/>
              <w:rPr>
                <w:bCs/>
                <w:lang w:eastAsia="it-IT"/>
              </w:rPr>
            </w:pPr>
            <w:r w:rsidRPr="000D7A90">
              <w:rPr>
                <w:color w:val="000000"/>
                <w:lang w:val="en-US"/>
              </w:rPr>
              <w:t xml:space="preserve"> </w:t>
            </w:r>
            <w:proofErr w:type="gramStart"/>
            <w:r w:rsidRPr="000D7A90">
              <w:rPr>
                <w:bCs/>
                <w:lang w:eastAsia="it-IT"/>
              </w:rPr>
              <w:t>where</w:t>
            </w:r>
            <w:proofErr w:type="gramEnd"/>
            <w:r w:rsidRPr="000D7A90">
              <w:rPr>
                <w:bCs/>
                <w:lang w:eastAsia="it-IT"/>
              </w:rPr>
              <w:t xml:space="preserve"> </w:t>
            </w:r>
          </w:p>
          <w:p w14:paraId="1016A447" w14:textId="77777777" w:rsidR="00792F7A" w:rsidRPr="000D7A90" w:rsidRDefault="00C17CDA" w:rsidP="00792F7A">
            <w:pPr>
              <w:pStyle w:val="ListParagraph"/>
              <w:spacing w:after="120" w:line="260" w:lineRule="exact"/>
              <w:ind w:left="48" w:hanging="4"/>
              <w:rPr>
                <w:bCs/>
                <w:lang w:eastAsia="it-IT"/>
              </w:rPr>
            </w:pPr>
            <m:oMath>
              <m:sSub>
                <m:sSubPr>
                  <m:ctrlPr>
                    <w:rPr>
                      <w:rFonts w:ascii="Cambria Math" w:hAnsi="Cambria Math"/>
                      <w:bCs/>
                      <w:i/>
                      <w:lang w:eastAsia="it-IT"/>
                    </w:rPr>
                  </m:ctrlPr>
                </m:sSubPr>
                <m:e>
                  <m:r>
                    <w:rPr>
                      <w:rFonts w:ascii="Cambria Math" w:hAnsi="Cambria Math"/>
                      <w:lang w:eastAsia="it-IT"/>
                    </w:rPr>
                    <m:t>Div</m:t>
                  </m:r>
                </m:e>
                <m:sub>
                  <m:r>
                    <w:rPr>
                      <w:rFonts w:ascii="Cambria Math" w:hAnsi="Cambria Math"/>
                      <w:lang w:eastAsia="it-IT"/>
                    </w:rPr>
                    <m:t>t</m:t>
                  </m:r>
                </m:sub>
              </m:sSub>
            </m:oMath>
            <w:r w:rsidR="00792F7A" w:rsidRPr="000D7A90">
              <w:rPr>
                <w:color w:val="000000"/>
              </w:rPr>
              <w:t xml:space="preserve"> is the dividend to be paid out in respect of the Underlying Stock and the relevant ex-dividend date which shall be considered</w:t>
            </w:r>
            <w:r w:rsidR="00A92CE4" w:rsidRPr="000D7A90">
              <w:rPr>
                <w:color w:val="000000"/>
              </w:rPr>
              <w:t xml:space="preserve"> </w:t>
            </w:r>
            <w:r w:rsidR="00A92CE4" w:rsidRPr="000D7A90">
              <w:rPr>
                <w:lang w:val="en-US" w:eastAsia="it-IT"/>
              </w:rPr>
              <w:t>gross</w:t>
            </w:r>
            <w:r w:rsidR="00B8310E" w:rsidRPr="000D7A90">
              <w:rPr>
                <w:b/>
                <w:lang w:val="en-US" w:eastAsia="it-IT"/>
              </w:rPr>
              <w:t xml:space="preserve"> </w:t>
            </w:r>
            <w:r w:rsidR="00792F7A" w:rsidRPr="000D7A90">
              <w:rPr>
                <w:color w:val="000000"/>
              </w:rPr>
              <w:t>of any applicable withholding taxes.</w:t>
            </w:r>
          </w:p>
        </w:tc>
      </w:tr>
      <w:tr w:rsidR="00124C72" w:rsidRPr="000D7A90" w14:paraId="428A214A" w14:textId="77777777" w:rsidTr="00124C72">
        <w:tc>
          <w:tcPr>
            <w:tcW w:w="3072" w:type="dxa"/>
          </w:tcPr>
          <w:p w14:paraId="1F423D23" w14:textId="77777777" w:rsidR="00124C72" w:rsidRPr="000D7A90" w:rsidRDefault="00124C72" w:rsidP="00124C72">
            <w:pPr>
              <w:spacing w:after="120" w:line="260" w:lineRule="exact"/>
              <w:jc w:val="center"/>
              <w:rPr>
                <w:rFonts w:eastAsia="Calibri" w:cs="Arial"/>
                <w:b/>
                <w:bCs/>
                <w:sz w:val="20"/>
                <w:szCs w:val="20"/>
                <w:lang w:val="en-US" w:eastAsia="it-IT"/>
              </w:rPr>
            </w:pPr>
            <w:r w:rsidRPr="000D7A90">
              <w:rPr>
                <w:rFonts w:eastAsia="Calibri" w:cs="Arial"/>
                <w:b/>
                <w:sz w:val="20"/>
                <w:szCs w:val="20"/>
                <w:lang w:val="en-US" w:eastAsia="it-IT"/>
              </w:rPr>
              <w:t>ACT(t-</w:t>
            </w:r>
            <w:proofErr w:type="gramStart"/>
            <w:r w:rsidRPr="000D7A90">
              <w:rPr>
                <w:rFonts w:eastAsia="Calibri" w:cs="Arial"/>
                <w:b/>
                <w:sz w:val="20"/>
                <w:szCs w:val="20"/>
                <w:lang w:val="en-US" w:eastAsia="it-IT"/>
              </w:rPr>
              <w:t>1,t</w:t>
            </w:r>
            <w:proofErr w:type="gramEnd"/>
            <w:r w:rsidRPr="000D7A90">
              <w:rPr>
                <w:rFonts w:eastAsia="Calibri" w:cs="Arial"/>
                <w:b/>
                <w:sz w:val="20"/>
                <w:szCs w:val="20"/>
                <w:lang w:val="en-US" w:eastAsia="it-IT"/>
              </w:rPr>
              <w:t>)</w:t>
            </w:r>
          </w:p>
        </w:tc>
        <w:tc>
          <w:tcPr>
            <w:tcW w:w="7998" w:type="dxa"/>
          </w:tcPr>
          <w:p w14:paraId="4B302215" w14:textId="77777777" w:rsidR="00124C72" w:rsidRPr="000D7A90" w:rsidRDefault="00124C72" w:rsidP="00124C72">
            <w:pPr>
              <w:pStyle w:val="PlainText"/>
              <w:keepNext/>
              <w:widowControl w:val="0"/>
              <w:autoSpaceDE w:val="0"/>
              <w:autoSpaceDN w:val="0"/>
              <w:adjustRightInd w:val="0"/>
              <w:spacing w:line="283" w:lineRule="auto"/>
              <w:jc w:val="both"/>
              <w:outlineLvl w:val="3"/>
              <w:rPr>
                <w:rFonts w:ascii="Arial" w:hAnsi="Arial" w:cs="Arial"/>
              </w:rPr>
            </w:pPr>
            <w:r w:rsidRPr="000D7A90">
              <w:rPr>
                <w:rFonts w:ascii="Arial" w:hAnsi="Arial" w:cs="Arial"/>
              </w:rPr>
              <w:t>ACT (t-</w:t>
            </w:r>
            <w:proofErr w:type="gramStart"/>
            <w:r w:rsidRPr="000D7A90">
              <w:rPr>
                <w:rFonts w:ascii="Arial" w:hAnsi="Arial" w:cs="Arial"/>
              </w:rPr>
              <w:t>1;t</w:t>
            </w:r>
            <w:proofErr w:type="gramEnd"/>
            <w:r w:rsidRPr="000D7A90">
              <w:rPr>
                <w:rFonts w:ascii="Arial" w:hAnsi="Arial" w:cs="Arial"/>
              </w:rPr>
              <w:t>) means the number of calendar days between the Underlying Stock</w:t>
            </w:r>
            <w:r w:rsidR="005868FB">
              <w:rPr>
                <w:rFonts w:ascii="Arial" w:hAnsi="Arial" w:cs="Arial"/>
              </w:rPr>
              <w:t xml:space="preserve"> </w:t>
            </w:r>
            <w:r w:rsidRPr="000D7A90">
              <w:rPr>
                <w:rFonts w:ascii="Arial" w:hAnsi="Arial" w:cs="Arial"/>
              </w:rPr>
              <w:t>Business Day immediately preceding the Observation Date (which is “t-1”) (included) and the Observation Date (which is “t”) (excluded).</w:t>
            </w:r>
          </w:p>
          <w:p w14:paraId="10986C94" w14:textId="77777777" w:rsidR="00124C72" w:rsidRPr="000D7A90" w:rsidRDefault="00124C72" w:rsidP="00124C72">
            <w:pPr>
              <w:pStyle w:val="PlainText"/>
              <w:keepNext/>
              <w:widowControl w:val="0"/>
              <w:autoSpaceDE w:val="0"/>
              <w:autoSpaceDN w:val="0"/>
              <w:adjustRightInd w:val="0"/>
              <w:spacing w:line="283" w:lineRule="auto"/>
              <w:jc w:val="both"/>
              <w:outlineLvl w:val="3"/>
              <w:rPr>
                <w:rFonts w:ascii="Arial" w:hAnsi="Arial" w:cs="Arial"/>
                <w:color w:val="000000"/>
              </w:rPr>
            </w:pPr>
          </w:p>
        </w:tc>
      </w:tr>
      <w:tr w:rsidR="00124C72" w:rsidRPr="000D7A90" w14:paraId="3DEB28C3" w14:textId="77777777" w:rsidTr="00124C72">
        <w:tc>
          <w:tcPr>
            <w:tcW w:w="3072" w:type="dxa"/>
          </w:tcPr>
          <w:p w14:paraId="482BDE36" w14:textId="77777777" w:rsidR="00124C72" w:rsidRPr="000D7A90" w:rsidRDefault="00124C72" w:rsidP="00124C72">
            <w:pPr>
              <w:spacing w:after="120" w:line="260" w:lineRule="exact"/>
              <w:jc w:val="center"/>
              <w:rPr>
                <w:rFonts w:cs="Arial"/>
                <w:b/>
                <w:color w:val="000000"/>
                <w:sz w:val="20"/>
                <w:szCs w:val="20"/>
                <w:lang w:val="en-US"/>
              </w:rPr>
            </w:pPr>
            <w:proofErr w:type="spellStart"/>
            <w:r w:rsidRPr="000D7A90">
              <w:rPr>
                <w:rFonts w:eastAsia="Calibri" w:cs="Arial"/>
                <w:b/>
                <w:sz w:val="20"/>
                <w:szCs w:val="20"/>
                <w:lang w:val="en-US" w:eastAsia="it-IT"/>
              </w:rPr>
              <w:t>DayCountBasisRate</w:t>
            </w:r>
            <w:proofErr w:type="spellEnd"/>
          </w:p>
        </w:tc>
        <w:tc>
          <w:tcPr>
            <w:tcW w:w="7998" w:type="dxa"/>
          </w:tcPr>
          <w:p w14:paraId="55F89EA6" w14:textId="77777777" w:rsidR="00124C72" w:rsidRPr="000D7A90" w:rsidRDefault="00124C72" w:rsidP="00124C72">
            <w:pPr>
              <w:spacing w:after="120" w:line="260" w:lineRule="exact"/>
              <w:jc w:val="both"/>
              <w:rPr>
                <w:rFonts w:cs="Arial"/>
                <w:color w:val="000000"/>
                <w:sz w:val="20"/>
                <w:szCs w:val="20"/>
                <w:lang w:val="en-US"/>
              </w:rPr>
            </w:pPr>
            <w:r w:rsidRPr="000D7A90">
              <w:rPr>
                <w:rFonts w:cs="Arial"/>
                <w:color w:val="000000"/>
                <w:sz w:val="20"/>
                <w:szCs w:val="20"/>
                <w:lang w:val="en-US"/>
              </w:rPr>
              <w:t>365</w:t>
            </w:r>
          </w:p>
        </w:tc>
      </w:tr>
      <w:tr w:rsidR="00F11963" w:rsidRPr="000D7A90" w14:paraId="72A8CBA4" w14:textId="77777777" w:rsidTr="00124C72">
        <w:tc>
          <w:tcPr>
            <w:tcW w:w="3072" w:type="dxa"/>
          </w:tcPr>
          <w:p w14:paraId="01878E3F" w14:textId="77777777" w:rsidR="00F11963" w:rsidRPr="000D7A90" w:rsidRDefault="00F11963" w:rsidP="00F11963">
            <w:pPr>
              <w:spacing w:after="120" w:line="260" w:lineRule="exact"/>
              <w:jc w:val="center"/>
              <w:rPr>
                <w:rFonts w:eastAsia="Calibri" w:cs="Arial"/>
                <w:b/>
                <w:sz w:val="20"/>
                <w:szCs w:val="20"/>
                <w:lang w:val="en-US" w:eastAsia="it-IT"/>
              </w:rPr>
            </w:pPr>
            <w:r w:rsidRPr="001C3DB1">
              <w:rPr>
                <w:b/>
                <w:sz w:val="20"/>
                <w:lang w:val="en-US"/>
              </w:rPr>
              <w:t>Benchmark Fallback</w:t>
            </w:r>
          </w:p>
        </w:tc>
        <w:tc>
          <w:tcPr>
            <w:tcW w:w="7998" w:type="dxa"/>
          </w:tcPr>
          <w:p w14:paraId="4868AC5A" w14:textId="77777777" w:rsidR="00F11963" w:rsidRPr="000D7A90" w:rsidRDefault="00F11963" w:rsidP="00F11963">
            <w:pPr>
              <w:spacing w:after="120" w:line="260" w:lineRule="exact"/>
              <w:jc w:val="both"/>
              <w:rPr>
                <w:rFonts w:cs="Arial"/>
                <w:color w:val="000000"/>
                <w:sz w:val="20"/>
                <w:szCs w:val="20"/>
                <w:lang w:val="en-US"/>
              </w:rPr>
            </w:pPr>
            <w:r w:rsidRPr="001C3DB1">
              <w:rPr>
                <w:color w:val="000000"/>
                <w:sz w:val="20"/>
                <w:lang w:val="en-US"/>
              </w:rPr>
              <w:t xml:space="preserve">upon the occurrence or likely occurrence, as determined by the Calculation Agent, of a Reference Rate Event, the Calculation Agent may </w:t>
            </w:r>
            <w:proofErr w:type="gramStart"/>
            <w:r w:rsidRPr="001C3DB1">
              <w:rPr>
                <w:color w:val="000000"/>
                <w:sz w:val="20"/>
                <w:lang w:val="en-US"/>
              </w:rPr>
              <w:t>make adjustments</w:t>
            </w:r>
            <w:proofErr w:type="gramEnd"/>
            <w:r w:rsidRPr="001C3DB1">
              <w:rPr>
                <w:color w:val="000000"/>
                <w:sz w:val="20"/>
                <w:lang w:val="en-US"/>
              </w:rPr>
              <w:t xml:space="preserve"> as it may determine appropriate to account for the relevant event or circumstance, including but not limited to using any alternative rates from such date, with or without retroactive effect as the Calculation Agent may in its sole and absolute discretion determine.</w:t>
            </w:r>
          </w:p>
        </w:tc>
      </w:tr>
      <w:tr w:rsidR="00F11963" w:rsidRPr="000D7A90" w14:paraId="26D5AD79" w14:textId="77777777" w:rsidTr="00124C72">
        <w:tc>
          <w:tcPr>
            <w:tcW w:w="3072" w:type="dxa"/>
          </w:tcPr>
          <w:p w14:paraId="50993ACD" w14:textId="77777777" w:rsidR="00F11963" w:rsidRPr="001C3DB1" w:rsidRDefault="00F11963" w:rsidP="00F11963">
            <w:pPr>
              <w:spacing w:after="120" w:line="260" w:lineRule="exact"/>
              <w:jc w:val="center"/>
              <w:rPr>
                <w:b/>
                <w:sz w:val="20"/>
                <w:lang w:val="en-US"/>
              </w:rPr>
            </w:pPr>
            <w:r w:rsidRPr="001C3DB1">
              <w:rPr>
                <w:b/>
                <w:sz w:val="20"/>
                <w:lang w:val="en-US"/>
              </w:rPr>
              <w:t>Reference Rate Event</w:t>
            </w:r>
          </w:p>
        </w:tc>
        <w:tc>
          <w:tcPr>
            <w:tcW w:w="7998" w:type="dxa"/>
          </w:tcPr>
          <w:p w14:paraId="2171BDCA"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means, in respect of the Reference Rate any of the following has occurred or will occur:</w:t>
            </w:r>
          </w:p>
          <w:p w14:paraId="238AB6C4"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w:t>
            </w:r>
            <w:proofErr w:type="spellStart"/>
            <w:r w:rsidRPr="001C3DB1">
              <w:rPr>
                <w:color w:val="000000"/>
                <w:sz w:val="20"/>
                <w:lang w:val="en-US"/>
              </w:rPr>
              <w:t>i</w:t>
            </w:r>
            <w:proofErr w:type="spellEnd"/>
            <w:r w:rsidRPr="001C3DB1">
              <w:rPr>
                <w:color w:val="000000"/>
                <w:sz w:val="20"/>
                <w:lang w:val="en-US"/>
              </w:rPr>
              <w:t xml:space="preserve">) a Reference Rate </w:t>
            </w:r>
            <w:proofErr w:type="gramStart"/>
            <w:r w:rsidRPr="001C3DB1">
              <w:rPr>
                <w:color w:val="000000"/>
                <w:sz w:val="20"/>
                <w:lang w:val="en-US"/>
              </w:rPr>
              <w:t>Cessation;</w:t>
            </w:r>
            <w:proofErr w:type="gramEnd"/>
          </w:p>
          <w:p w14:paraId="1B924284"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(ii) an Administrator/Benchmark Event; or</w:t>
            </w:r>
          </w:p>
          <w:p w14:paraId="550E761A"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(iii) a Reference Rate is, with respect to over-the-counter derivatives transactions which reference such Reference Rate, the subject of any market-wide development formally agreed upon by the International Swaps and Derivative Association (ISDA) or the Asia Securities Industry &amp; Financial Markets Association (ASIFMA),  pursuant to which such Reference Rate is, on a specified date, replaced with a risk-free rate (or near risk-free rate) established in order to comply with the recommendations in the Financial Stability Board’s paper titled “Reforming Major Interest Rate Benchmarks” dated 22 July 2014.</w:t>
            </w:r>
          </w:p>
        </w:tc>
      </w:tr>
      <w:tr w:rsidR="00F11963" w:rsidRPr="000D7A90" w14:paraId="463625F1" w14:textId="77777777" w:rsidTr="00124C72">
        <w:tc>
          <w:tcPr>
            <w:tcW w:w="3072" w:type="dxa"/>
          </w:tcPr>
          <w:p w14:paraId="6E6CAF41" w14:textId="77777777" w:rsidR="00F11963" w:rsidRPr="001C3DB1" w:rsidRDefault="00F11963" w:rsidP="00F11963">
            <w:pPr>
              <w:spacing w:after="120" w:line="260" w:lineRule="exact"/>
              <w:jc w:val="center"/>
              <w:rPr>
                <w:b/>
                <w:sz w:val="20"/>
                <w:lang w:val="en-US"/>
              </w:rPr>
            </w:pPr>
            <w:r w:rsidRPr="001C3DB1">
              <w:rPr>
                <w:b/>
                <w:sz w:val="20"/>
                <w:lang w:val="en-US"/>
              </w:rPr>
              <w:t>Reference Rate Cessation</w:t>
            </w:r>
          </w:p>
        </w:tc>
        <w:tc>
          <w:tcPr>
            <w:tcW w:w="7998" w:type="dxa"/>
          </w:tcPr>
          <w:p w14:paraId="5A8C4892"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means, for a Reference Rate, the occurrence of one or more of the following events:</w:t>
            </w:r>
          </w:p>
          <w:p w14:paraId="52C901E6"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w:t>
            </w:r>
            <w:proofErr w:type="spellStart"/>
            <w:r w:rsidRPr="001C3DB1">
              <w:rPr>
                <w:color w:val="000000"/>
                <w:sz w:val="20"/>
                <w:lang w:val="en-US"/>
              </w:rPr>
              <w:t>i</w:t>
            </w:r>
            <w:proofErr w:type="spellEnd"/>
            <w:r w:rsidRPr="001C3DB1">
              <w:rPr>
                <w:color w:val="000000"/>
                <w:sz w:val="20"/>
                <w:lang w:val="en-US"/>
              </w:rPr>
              <w:t xml:space="preserve">) a public statement or publication of information by or on behalf of the administrator of the Reference Rate announcing that it has ceased or will cease to provide the Reference </w:t>
            </w:r>
            <w:r w:rsidRPr="001C3DB1">
              <w:rPr>
                <w:color w:val="000000"/>
                <w:sz w:val="20"/>
                <w:lang w:val="en-US"/>
              </w:rPr>
              <w:lastRenderedPageBreak/>
              <w:t xml:space="preserve">Rate permanently or indefinitely, provided that, at the time of the statement or publication, there is no successor administrator that will continue to provide the Reference </w:t>
            </w:r>
            <w:proofErr w:type="gramStart"/>
            <w:r w:rsidRPr="001C3DB1">
              <w:rPr>
                <w:color w:val="000000"/>
                <w:sz w:val="20"/>
                <w:lang w:val="en-US"/>
              </w:rPr>
              <w:t>Rate;</w:t>
            </w:r>
            <w:proofErr w:type="gramEnd"/>
          </w:p>
          <w:p w14:paraId="045AADE0"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(ii) a public statement or publication of information by the regulatory supervisor for the administrator of the Reference Rate, the central bank for the currency of the Reference Rate, an insolvency official with jurisdiction over the administrator for the Reference Rate, a resolution authority with jurisdiction over the administrator for the Reference Rate or a court or an entity with similar insolvency or resolution authority over the administrator for the Reference Rate, which states that the administrator of the Reference Rate has ceased or will cease to provide the Reference Rate permanently or indefinitely, provided that, at the time of the statement or publication, there is no successor administrator that will continue to provide the Reference Rate; or</w:t>
            </w:r>
          </w:p>
          <w:p w14:paraId="25CD0B45"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(iii) in respect of a Reference Rate, a public statement or publication of information by the regulatory supervisor for the administrator of such Reference Rate announcing that (a) the regulatory supervisor has determined that such Reference Rate is no longer, or as of a specified future date will no longer be, representative of the underlying market and economic reality that such Reference Rate is intended to measure and that representativeness will not be restored and (b) it is being made in the awareness that the statement or publication will engage certain contractual triggers for fallbacks activated by pre-cessation announcements by such supervisor (howsoever described) in contracts;</w:t>
            </w:r>
          </w:p>
        </w:tc>
      </w:tr>
      <w:tr w:rsidR="00F11963" w:rsidRPr="000D7A90" w14:paraId="303BC02A" w14:textId="77777777" w:rsidTr="00124C72">
        <w:tc>
          <w:tcPr>
            <w:tcW w:w="3072" w:type="dxa"/>
          </w:tcPr>
          <w:p w14:paraId="265A5A28" w14:textId="77777777" w:rsidR="00F11963" w:rsidRPr="001C3DB1" w:rsidRDefault="00F11963" w:rsidP="00F11963">
            <w:pPr>
              <w:spacing w:after="120" w:line="260" w:lineRule="exact"/>
              <w:jc w:val="center"/>
              <w:rPr>
                <w:b/>
                <w:sz w:val="20"/>
                <w:lang w:val="en-US"/>
              </w:rPr>
            </w:pPr>
            <w:r w:rsidRPr="001C3DB1">
              <w:rPr>
                <w:b/>
                <w:sz w:val="20"/>
                <w:lang w:val="en-US"/>
              </w:rPr>
              <w:lastRenderedPageBreak/>
              <w:t>Administrator/Benchmark Event</w:t>
            </w:r>
          </w:p>
        </w:tc>
        <w:tc>
          <w:tcPr>
            <w:tcW w:w="7998" w:type="dxa"/>
          </w:tcPr>
          <w:p w14:paraId="73416E92"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 xml:space="preserve">means, for a Reference Rate, any </w:t>
            </w:r>
            <w:proofErr w:type="spellStart"/>
            <w:r w:rsidRPr="001C3DB1">
              <w:rPr>
                <w:color w:val="000000"/>
                <w:sz w:val="20"/>
                <w:lang w:val="en-US"/>
              </w:rPr>
              <w:t>authorisation</w:t>
            </w:r>
            <w:proofErr w:type="spellEnd"/>
            <w:r w:rsidRPr="001C3DB1">
              <w:rPr>
                <w:color w:val="000000"/>
                <w:sz w:val="20"/>
                <w:lang w:val="en-US"/>
              </w:rPr>
              <w:t>, registration, recognition, endorsement, equivalence decision, approval or inclusion in any official register in respect of the Reference Rate or the administrator or sponsor of the Benchmark has not been, or will not be, obtained or has been, or will be, rejected, refused, suspended or withdrawn by the relevant competent authority or other relevant official body, in each case with the effect that either the Issuer, the Calculation Agent or any other entity is not, or will not be, permitted under any applicable law or regulation to use the Reference Rate to perform its or their respective obligations under the Certificates.</w:t>
            </w:r>
          </w:p>
        </w:tc>
      </w:tr>
      <w:tr w:rsidR="00F11963" w:rsidRPr="000D7A90" w14:paraId="4E10CB66" w14:textId="77777777" w:rsidTr="00124C72">
        <w:tc>
          <w:tcPr>
            <w:tcW w:w="3072" w:type="dxa"/>
          </w:tcPr>
          <w:p w14:paraId="7F47DF19" w14:textId="77777777" w:rsidR="00F11963" w:rsidRPr="001C3DB1" w:rsidRDefault="00F11963" w:rsidP="00F11963">
            <w:pPr>
              <w:spacing w:after="120" w:line="260" w:lineRule="exact"/>
              <w:jc w:val="center"/>
              <w:rPr>
                <w:b/>
                <w:sz w:val="20"/>
                <w:lang w:val="en-US"/>
              </w:rPr>
            </w:pPr>
            <w:r w:rsidRPr="001C3DB1">
              <w:rPr>
                <w:b/>
                <w:sz w:val="20"/>
                <w:lang w:val="en-US"/>
              </w:rPr>
              <w:t>Reference Rate(s)</w:t>
            </w:r>
          </w:p>
        </w:tc>
        <w:tc>
          <w:tcPr>
            <w:tcW w:w="7998" w:type="dxa"/>
          </w:tcPr>
          <w:p w14:paraId="0346CC1B" w14:textId="77777777" w:rsidR="00F11963" w:rsidRPr="001C3DB1" w:rsidRDefault="00F11963" w:rsidP="00F11963">
            <w:pPr>
              <w:spacing w:after="120" w:line="260" w:lineRule="exact"/>
              <w:jc w:val="both"/>
              <w:rPr>
                <w:color w:val="000000"/>
                <w:sz w:val="20"/>
                <w:lang w:val="en-US"/>
              </w:rPr>
            </w:pPr>
            <w:r w:rsidRPr="001C3DB1">
              <w:rPr>
                <w:color w:val="000000"/>
                <w:sz w:val="20"/>
                <w:lang w:val="en-US"/>
              </w:rPr>
              <w:t xml:space="preserve">means the rate(s) used in the </w:t>
            </w:r>
            <w:r w:rsidRPr="00A43D00">
              <w:rPr>
                <w:color w:val="000000"/>
                <w:sz w:val="20"/>
                <w:lang w:val="en-US"/>
              </w:rPr>
              <w:t xml:space="preserve">Leverage Inverse Strategy </w:t>
            </w:r>
            <w:r w:rsidRPr="001C3DB1">
              <w:rPr>
                <w:color w:val="000000"/>
                <w:sz w:val="20"/>
                <w:lang w:val="en-US"/>
              </w:rPr>
              <w:t xml:space="preserve">Formula, for example SORA, SOFR and US Federal Funds Effective Rate. </w:t>
            </w:r>
          </w:p>
        </w:tc>
      </w:tr>
    </w:tbl>
    <w:p w14:paraId="7557EC9C" w14:textId="77777777" w:rsidR="00C46F77" w:rsidRPr="000D7A90" w:rsidRDefault="00C46F77" w:rsidP="00C46F77">
      <w:pPr>
        <w:spacing w:after="0" w:line="240" w:lineRule="auto"/>
        <w:rPr>
          <w:rFonts w:ascii="Times New Roman" w:hAnsi="Times New Roman"/>
          <w:b/>
          <w:sz w:val="20"/>
          <w:szCs w:val="20"/>
        </w:rPr>
      </w:pPr>
    </w:p>
    <w:p w14:paraId="491D045F" w14:textId="77777777" w:rsidR="00C46F77" w:rsidRPr="000D7A90" w:rsidRDefault="00C46F77" w:rsidP="00C46F77">
      <w:pPr>
        <w:pStyle w:val="PlainText"/>
        <w:spacing w:after="140" w:line="290" w:lineRule="auto"/>
        <w:jc w:val="both"/>
        <w:rPr>
          <w:rFonts w:ascii="Arial" w:hAnsi="Arial" w:cs="Arial"/>
          <w:b/>
          <w:bCs/>
          <w:u w:val="single"/>
        </w:rPr>
      </w:pPr>
      <w:r w:rsidRPr="000D7A90">
        <w:rPr>
          <w:rFonts w:ascii="Arial" w:hAnsi="Arial" w:cs="Arial"/>
          <w:b/>
          <w:bCs/>
          <w:u w:val="single"/>
        </w:rPr>
        <w:t>Extraordinary strategy adjustment for performance reasons (“air bag mechanism”)</w:t>
      </w:r>
    </w:p>
    <w:p w14:paraId="793D9955" w14:textId="77777777" w:rsidR="00287A42" w:rsidRPr="000D7A90" w:rsidRDefault="00287A42" w:rsidP="00686720">
      <w:pPr>
        <w:pStyle w:val="PlainText"/>
      </w:pPr>
    </w:p>
    <w:tbl>
      <w:tblPr>
        <w:tblW w:w="0" w:type="auto"/>
        <w:tblInd w:w="108" w:type="dxa"/>
        <w:tblLayout w:type="fixed"/>
        <w:tblLook w:val="0000" w:firstRow="0" w:lastRow="0" w:firstColumn="0" w:lastColumn="0" w:noHBand="0" w:noVBand="0"/>
      </w:tblPr>
      <w:tblGrid>
        <w:gridCol w:w="3792"/>
        <w:gridCol w:w="7278"/>
      </w:tblGrid>
      <w:tr w:rsidR="00E5588C" w:rsidRPr="000D7A90" w:rsidDel="007C1EAE" w14:paraId="1881BEE7" w14:textId="77777777" w:rsidTr="00B56905">
        <w:tc>
          <w:tcPr>
            <w:tcW w:w="3792" w:type="dxa"/>
          </w:tcPr>
          <w:p w14:paraId="4B305680" w14:textId="77777777" w:rsidR="00E5588C" w:rsidRPr="000D7A90" w:rsidDel="007C1EAE" w:rsidRDefault="00E5588C" w:rsidP="00AC4CCE">
            <w:pPr>
              <w:spacing w:after="120" w:line="260" w:lineRule="exact"/>
              <w:rPr>
                <w:rFonts w:cs="Arial"/>
                <w:b/>
                <w:color w:val="000000"/>
                <w:sz w:val="20"/>
                <w:szCs w:val="20"/>
                <w:lang w:val="en-US"/>
              </w:rPr>
            </w:pPr>
            <w:r w:rsidRPr="000D7A90" w:rsidDel="007C1EAE">
              <w:rPr>
                <w:rFonts w:cs="Arial"/>
                <w:b/>
                <w:color w:val="000000"/>
                <w:sz w:val="20"/>
                <w:szCs w:val="20"/>
                <w:lang w:val="en-US"/>
              </w:rPr>
              <w:t>Extraordinary Strategy Adjustment for Performance Reasons</w:t>
            </w:r>
          </w:p>
        </w:tc>
        <w:tc>
          <w:tcPr>
            <w:tcW w:w="7278" w:type="dxa"/>
          </w:tcPr>
          <w:p w14:paraId="187359D3" w14:textId="77777777" w:rsidR="00E5588C" w:rsidRPr="000D7A90" w:rsidDel="007C1EAE" w:rsidRDefault="00E5588C" w:rsidP="00983D8D">
            <w:pPr>
              <w:autoSpaceDE w:val="0"/>
              <w:autoSpaceDN w:val="0"/>
              <w:adjustRightInd w:val="0"/>
              <w:spacing w:after="120" w:line="260" w:lineRule="exact"/>
              <w:jc w:val="both"/>
              <w:rPr>
                <w:rFonts w:eastAsia="Calibri" w:cs="Arial"/>
                <w:sz w:val="20"/>
                <w:szCs w:val="20"/>
                <w:lang w:val="en-US" w:eastAsia="it-IT"/>
              </w:rPr>
            </w:pPr>
            <w:r w:rsidRPr="000D7A90" w:rsidDel="007C1EAE">
              <w:rPr>
                <w:rFonts w:eastAsia="Calibri" w:cs="Arial"/>
                <w:sz w:val="20"/>
                <w:szCs w:val="20"/>
                <w:lang w:val="en-US" w:eastAsia="it-IT"/>
              </w:rPr>
              <w:t xml:space="preserve">If the Calculation Agent determines that an Intraday Restrike Event has occurred during an Observation Date(t) (the </w:t>
            </w:r>
            <w:r w:rsidRPr="000D7A90" w:rsidDel="007C1EAE">
              <w:rPr>
                <w:rFonts w:eastAsia="Calibri" w:cs="Arial"/>
                <w:b/>
                <w:sz w:val="20"/>
                <w:szCs w:val="20"/>
                <w:lang w:val="en-US" w:eastAsia="it-IT"/>
              </w:rPr>
              <w:t xml:space="preserve">Intraday Restrike Date, </w:t>
            </w:r>
            <w:r w:rsidRPr="000D7A90" w:rsidDel="007C1EAE">
              <w:rPr>
                <w:rFonts w:eastAsia="Calibri" w:cs="Arial"/>
                <w:sz w:val="20"/>
                <w:szCs w:val="20"/>
                <w:lang w:val="en-US" w:eastAsia="it-IT"/>
              </w:rPr>
              <w:t xml:space="preserve">noted hereafter </w:t>
            </w:r>
            <w:r w:rsidRPr="000D7A90" w:rsidDel="007C1EAE">
              <w:rPr>
                <w:rFonts w:eastAsia="Calibri" w:cs="Arial"/>
                <w:b/>
                <w:sz w:val="20"/>
                <w:szCs w:val="20"/>
                <w:lang w:val="en-US" w:eastAsia="it-IT"/>
              </w:rPr>
              <w:t>IRD</w:t>
            </w:r>
            <w:r w:rsidRPr="000D7A90" w:rsidDel="007C1EAE">
              <w:rPr>
                <w:rFonts w:eastAsia="Calibri" w:cs="Arial"/>
                <w:sz w:val="20"/>
                <w:szCs w:val="20"/>
                <w:lang w:val="en-US" w:eastAsia="it-IT"/>
              </w:rPr>
              <w:t xml:space="preserve">), an adjustment (an </w:t>
            </w:r>
            <w:r w:rsidRPr="000D7A90" w:rsidDel="007C1EAE">
              <w:rPr>
                <w:rFonts w:eastAsia="Calibri" w:cs="Arial"/>
                <w:b/>
                <w:bCs/>
                <w:sz w:val="20"/>
                <w:szCs w:val="20"/>
                <w:lang w:val="en-US" w:eastAsia="it-IT"/>
              </w:rPr>
              <w:t>Extraordinary Strategy Adjustment for Performance Reasons</w:t>
            </w:r>
            <w:r w:rsidRPr="000D7A90" w:rsidDel="007C1EAE">
              <w:rPr>
                <w:rFonts w:eastAsia="Calibri" w:cs="Arial"/>
                <w:sz w:val="20"/>
                <w:szCs w:val="20"/>
                <w:lang w:val="en-US" w:eastAsia="it-IT"/>
              </w:rPr>
              <w:t>) shall take place during such Observation Date(t) in accordance with the following provisions.</w:t>
            </w:r>
          </w:p>
          <w:p w14:paraId="1C49A7A8" w14:textId="77777777" w:rsidR="00E5588C" w:rsidRPr="000D7A90" w:rsidDel="007C1EAE" w:rsidRDefault="00E5588C" w:rsidP="00983D8D">
            <w:pPr>
              <w:autoSpaceDE w:val="0"/>
              <w:autoSpaceDN w:val="0"/>
              <w:adjustRightInd w:val="0"/>
              <w:spacing w:after="120" w:line="260" w:lineRule="exact"/>
              <w:jc w:val="both"/>
              <w:rPr>
                <w:rFonts w:eastAsia="Calibri" w:cs="Arial"/>
                <w:sz w:val="20"/>
                <w:szCs w:val="20"/>
                <w:lang w:val="en-US" w:eastAsia="it-IT"/>
              </w:rPr>
            </w:pPr>
            <w:r w:rsidRPr="000D7A90" w:rsidDel="007C1EAE">
              <w:rPr>
                <w:rFonts w:eastAsia="Calibri" w:cs="Arial"/>
                <w:sz w:val="20"/>
                <w:szCs w:val="20"/>
                <w:lang w:val="en-US" w:eastAsia="it-IT"/>
              </w:rPr>
              <w:t xml:space="preserve"> (1) Provided the last Intraday Restrike Observation Period as of such Intraday Restrike Date does not end on the </w:t>
            </w:r>
            <w:proofErr w:type="spellStart"/>
            <w:r w:rsidRPr="000D7A90" w:rsidDel="007C1EAE">
              <w:rPr>
                <w:rFonts w:eastAsia="Calibri" w:cs="Arial"/>
                <w:sz w:val="20"/>
                <w:szCs w:val="20"/>
                <w:lang w:val="en-US" w:eastAsia="it-IT"/>
              </w:rPr>
              <w:t>TimeReferenceClosing</w:t>
            </w:r>
            <w:proofErr w:type="spellEnd"/>
            <w:r w:rsidRPr="000D7A90" w:rsidDel="007C1EAE">
              <w:rPr>
                <w:rFonts w:eastAsia="Calibri" w:cs="Arial"/>
                <w:sz w:val="20"/>
                <w:szCs w:val="20"/>
                <w:lang w:val="en-US" w:eastAsia="it-IT"/>
              </w:rPr>
              <w:t>, the Leverage</w:t>
            </w:r>
            <w:r w:rsidR="00A0716A" w:rsidRPr="000D7A90">
              <w:rPr>
                <w:rFonts w:eastAsia="Calibri" w:cs="Arial"/>
                <w:sz w:val="20"/>
                <w:szCs w:val="20"/>
                <w:lang w:val="en-US" w:eastAsia="it-IT"/>
              </w:rPr>
              <w:t xml:space="preserve"> Inverse </w:t>
            </w:r>
            <w:r w:rsidRPr="000D7A90" w:rsidDel="007C1EAE">
              <w:rPr>
                <w:rFonts w:eastAsia="Calibri" w:cs="Arial"/>
                <w:sz w:val="20"/>
                <w:szCs w:val="20"/>
                <w:lang w:val="en-US" w:eastAsia="it-IT"/>
              </w:rPr>
              <w:t xml:space="preserve">Strategy Closing Level on the Intraday Restrike Date </w:t>
            </w:r>
            <m:oMath>
              <m:sSub>
                <m:sSubPr>
                  <m:ctrlPr>
                    <w:rPr>
                      <w:rFonts w:ascii="Cambria Math" w:eastAsia="Calibri" w:hAnsi="Cambria Math" w:cs="Arial"/>
                      <w:bCs/>
                      <w:sz w:val="20"/>
                      <w:szCs w:val="20"/>
                      <w:lang w:val="en-US" w:eastAsia="it-IT"/>
                    </w:rPr>
                  </m:ctrlPr>
                </m:sSubPr>
                <m:e>
                  <m:r>
                    <m:rPr>
                      <m:sty m:val="p"/>
                    </m:rPr>
                    <w:rPr>
                      <w:rFonts w:ascii="Cambria Math" w:eastAsia="Calibri" w:hAnsi="Cambria Math" w:cs="Arial"/>
                      <w:sz w:val="20"/>
                      <w:szCs w:val="20"/>
                      <w:lang w:val="en-US" w:eastAsia="it-IT"/>
                    </w:rPr>
                    <m:t>(LSL</m:t>
                  </m:r>
                </m:e>
                <m:sub>
                  <m:r>
                    <m:rPr>
                      <m:sty m:val="p"/>
                    </m:rPr>
                    <w:rPr>
                      <w:rFonts w:ascii="Cambria Math" w:eastAsia="Calibri" w:hAnsi="Cambria Math" w:cs="Arial"/>
                      <w:sz w:val="20"/>
                      <w:szCs w:val="20"/>
                      <w:lang w:val="en-US" w:eastAsia="it-IT"/>
                    </w:rPr>
                    <m:t>IRD</m:t>
                  </m:r>
                </m:sub>
              </m:sSub>
              <m:r>
                <m:rPr>
                  <m:sty m:val="p"/>
                </m:rPr>
                <w:rPr>
                  <w:rFonts w:ascii="Cambria Math" w:eastAsia="Calibri" w:hAnsi="Cambria Math" w:cs="Arial"/>
                  <w:sz w:val="20"/>
                  <w:szCs w:val="20"/>
                  <w:lang w:val="en-US" w:eastAsia="it-IT"/>
                </w:rPr>
                <m:t>)</m:t>
              </m:r>
            </m:oMath>
            <w:r w:rsidRPr="000D7A90" w:rsidDel="007C1EAE">
              <w:rPr>
                <w:rFonts w:eastAsia="Calibri" w:cs="Arial"/>
                <w:bCs/>
                <w:sz w:val="20"/>
                <w:szCs w:val="20"/>
                <w:lang w:val="en-US" w:eastAsia="it-IT"/>
              </w:rPr>
              <w:t xml:space="preserve"> </w:t>
            </w:r>
            <w:r w:rsidRPr="000D7A90" w:rsidDel="007C1EAE">
              <w:rPr>
                <w:rFonts w:eastAsia="Calibri" w:cs="Arial"/>
                <w:sz w:val="20"/>
                <w:szCs w:val="20"/>
                <w:lang w:val="en-US" w:eastAsia="it-IT"/>
              </w:rPr>
              <w:t>should be computed as follows:</w:t>
            </w:r>
          </w:p>
          <w:p w14:paraId="50B18DC1" w14:textId="77777777" w:rsidR="00E5588C" w:rsidRPr="000D7A90" w:rsidDel="007C1EAE" w:rsidRDefault="00C17CDA" w:rsidP="00983D8D">
            <w:pPr>
              <w:autoSpaceDE w:val="0"/>
              <w:autoSpaceDN w:val="0"/>
              <w:adjustRightInd w:val="0"/>
              <w:spacing w:after="120"/>
              <w:jc w:val="both"/>
              <w:rPr>
                <w:rFonts w:eastAsia="Calibri" w:cs="Arial"/>
                <w:bCs/>
                <w:sz w:val="20"/>
                <w:szCs w:val="20"/>
                <w:lang w:val="en-US" w:eastAsia="it-IT"/>
              </w:rPr>
            </w:pPr>
            <m:oMathPara>
              <m:oMathParaPr>
                <m:jc m:val="left"/>
              </m:oMathParaPr>
              <m:oMath>
                <m:sSub>
                  <m:sSubPr>
                    <m:ctrlPr>
                      <w:rPr>
                        <w:rFonts w:ascii="Cambria Math" w:eastAsia="Calibri" w:hAnsi="Cambria Math" w:cs="Arial"/>
                        <w:bCs/>
                        <w:sz w:val="20"/>
                        <w:szCs w:val="20"/>
                        <w:lang w:val="en-US" w:eastAsia="it-IT"/>
                      </w:rPr>
                    </m:ctrlPr>
                  </m:sSubPr>
                  <m:e>
                    <m:r>
                      <m:rPr>
                        <m:sty m:val="p"/>
                      </m:rPr>
                      <w:rPr>
                        <w:rFonts w:ascii="Cambria Math" w:eastAsia="Calibri" w:hAnsi="Cambria Math" w:cs="Arial"/>
                        <w:sz w:val="20"/>
                        <w:szCs w:val="20"/>
                        <w:lang w:val="en-US" w:eastAsia="it-IT"/>
                      </w:rPr>
                      <m:t>LSL</m:t>
                    </m:r>
                  </m:e>
                  <m:sub>
                    <m:r>
                      <m:rPr>
                        <m:sty m:val="p"/>
                      </m:rPr>
                      <w:rPr>
                        <w:rFonts w:ascii="Cambria Math" w:eastAsia="Calibri" w:hAnsi="Cambria Math" w:cs="Arial"/>
                        <w:sz w:val="20"/>
                        <w:szCs w:val="20"/>
                        <w:lang w:val="en-US" w:eastAsia="it-IT"/>
                      </w:rPr>
                      <m:t>IRD</m:t>
                    </m:r>
                  </m:sub>
                </m:sSub>
                <m:r>
                  <m:rPr>
                    <m:sty m:val="p"/>
                  </m:rPr>
                  <w:rPr>
                    <w:rFonts w:ascii="Cambria Math" w:eastAsia="Calibri" w:hAnsi="Cambria Math" w:cs="Arial"/>
                    <w:sz w:val="20"/>
                    <w:szCs w:val="20"/>
                    <w:lang w:val="en-US" w:eastAsia="it-IT"/>
                  </w:rPr>
                  <m:t>=Max</m:t>
                </m:r>
                <m:d>
                  <m:dPr>
                    <m:begChr m:val="["/>
                    <m:endChr m:val="]"/>
                    <m:ctrlPr>
                      <w:rPr>
                        <w:rFonts w:ascii="Cambria Math" w:eastAsia="Calibri" w:hAnsi="Cambria Math" w:cs="Arial"/>
                        <w:bCs/>
                        <w:sz w:val="20"/>
                        <w:szCs w:val="20"/>
                        <w:lang w:val="en-US" w:eastAsia="it-IT"/>
                      </w:rPr>
                    </m:ctrlPr>
                  </m:dPr>
                  <m:e>
                    <m:sSub>
                      <m:sSubPr>
                        <m:ctrlPr>
                          <w:rPr>
                            <w:rFonts w:ascii="Cambria Math" w:eastAsia="Calibri" w:hAnsi="Cambria Math" w:cs="Arial"/>
                            <w:bCs/>
                            <w:sz w:val="20"/>
                            <w:szCs w:val="20"/>
                            <w:lang w:val="en-US" w:eastAsia="it-IT"/>
                          </w:rPr>
                        </m:ctrlPr>
                      </m:sSubPr>
                      <m:e>
                        <m:r>
                          <m:rPr>
                            <m:sty m:val="p"/>
                          </m:rPr>
                          <w:rPr>
                            <w:rFonts w:ascii="Cambria Math" w:eastAsia="Calibri" w:hAnsi="Cambria Math" w:cs="Arial"/>
                            <w:sz w:val="20"/>
                            <w:szCs w:val="20"/>
                            <w:lang w:val="en-US" w:eastAsia="it-IT"/>
                          </w:rPr>
                          <m:t>ILSL</m:t>
                        </m:r>
                      </m:e>
                      <m:sub>
                        <m:r>
                          <m:rPr>
                            <m:sty m:val="p"/>
                          </m:rPr>
                          <w:rPr>
                            <w:rFonts w:ascii="Cambria Math" w:eastAsia="Calibri" w:hAnsi="Cambria Math" w:cs="Arial"/>
                            <w:sz w:val="20"/>
                            <w:szCs w:val="20"/>
                            <w:lang w:val="en-US" w:eastAsia="it-IT"/>
                          </w:rPr>
                          <m:t>IR(n)</m:t>
                        </m:r>
                      </m:sub>
                    </m:sSub>
                    <m:r>
                      <m:rPr>
                        <m:sty m:val="p"/>
                      </m:rPr>
                      <w:rPr>
                        <w:rFonts w:ascii="Cambria Math" w:eastAsia="Calibri" w:hAnsi="Cambria Math" w:cs="Arial"/>
                        <w:sz w:val="20"/>
                        <w:szCs w:val="20"/>
                        <w:lang w:val="en-US" w:eastAsia="it-IT"/>
                      </w:rPr>
                      <m:t>×</m:t>
                    </m:r>
                    <m:d>
                      <m:dPr>
                        <m:ctrlPr>
                          <w:rPr>
                            <w:rFonts w:ascii="Cambria Math" w:eastAsia="Calibri" w:hAnsi="Cambria Math" w:cs="Arial"/>
                            <w:bCs/>
                            <w:sz w:val="20"/>
                            <w:szCs w:val="20"/>
                            <w:lang w:val="en-US" w:eastAsia="it-IT"/>
                          </w:rPr>
                        </m:ctrlPr>
                      </m:dPr>
                      <m:e>
                        <m:r>
                          <m:rPr>
                            <m:sty m:val="p"/>
                          </m:rPr>
                          <w:rPr>
                            <w:rFonts w:ascii="Cambria Math" w:eastAsia="Calibri" w:hAnsi="Cambria Math" w:cs="Arial"/>
                            <w:sz w:val="20"/>
                            <w:szCs w:val="20"/>
                            <w:lang w:val="en-US" w:eastAsia="it-IT"/>
                          </w:rPr>
                          <m:t>1+</m:t>
                        </m:r>
                        <m:sSub>
                          <m:sSubPr>
                            <m:ctrlPr>
                              <w:rPr>
                                <w:rFonts w:ascii="Cambria Math" w:eastAsia="Calibri" w:hAnsi="Cambria Math" w:cs="Arial"/>
                                <w:sz w:val="20"/>
                                <w:szCs w:val="20"/>
                                <w:lang w:val="en-US" w:eastAsia="it-IT"/>
                              </w:rPr>
                            </m:ctrlPr>
                          </m:sSubPr>
                          <m:e>
                            <m:r>
                              <m:rPr>
                                <m:sty m:val="p"/>
                              </m:rPr>
                              <w:rPr>
                                <w:rFonts w:ascii="Cambria Math" w:eastAsia="Calibri" w:hAnsi="Cambria Math" w:cs="Arial"/>
                                <w:sz w:val="20"/>
                                <w:szCs w:val="20"/>
                                <w:lang w:val="en-US" w:eastAsia="it-IT"/>
                              </w:rPr>
                              <m:t>ILR</m:t>
                            </m:r>
                          </m:e>
                          <m:sub>
                            <m:r>
                              <m:rPr>
                                <m:sty m:val="p"/>
                              </m:rPr>
                              <w:rPr>
                                <w:rFonts w:ascii="Cambria Math" w:eastAsia="Calibri" w:hAnsi="Cambria Math" w:cs="Arial"/>
                                <w:sz w:val="20"/>
                                <w:szCs w:val="20"/>
                                <w:lang w:val="en-US" w:eastAsia="it-IT"/>
                              </w:rPr>
                              <m:t>IR(n),IR(C)</m:t>
                            </m:r>
                          </m:sub>
                        </m:sSub>
                        <m:r>
                          <m:rPr>
                            <m:sty m:val="p"/>
                          </m:rPr>
                          <w:rPr>
                            <w:rFonts w:ascii="Cambria Math" w:eastAsia="Calibri" w:hAnsi="Cambria Math" w:cs="Arial"/>
                            <w:sz w:val="20"/>
                            <w:szCs w:val="20"/>
                            <w:lang w:val="en-US" w:eastAsia="it-IT"/>
                          </w:rPr>
                          <m:t>-</m:t>
                        </m:r>
                        <m:sSub>
                          <m:sSubPr>
                            <m:ctrlPr>
                              <w:rPr>
                                <w:rFonts w:ascii="Cambria Math" w:eastAsia="Calibri" w:hAnsi="Cambria Math" w:cs="Arial"/>
                                <w:sz w:val="20"/>
                                <w:szCs w:val="20"/>
                                <w:lang w:val="en-US" w:eastAsia="it-IT"/>
                              </w:rPr>
                            </m:ctrlPr>
                          </m:sSubPr>
                          <m:e>
                            <m:r>
                              <m:rPr>
                                <m:sty m:val="p"/>
                              </m:rPr>
                              <w:rPr>
                                <w:rFonts w:ascii="Cambria Math" w:eastAsia="Calibri" w:hAnsi="Cambria Math" w:cs="Arial"/>
                                <w:sz w:val="20"/>
                                <w:szCs w:val="20"/>
                                <w:lang w:val="en-US" w:eastAsia="it-IT"/>
                              </w:rPr>
                              <m:t>IRC</m:t>
                            </m:r>
                          </m:e>
                          <m:sub>
                            <m:r>
                              <m:rPr>
                                <m:sty m:val="p"/>
                              </m:rPr>
                              <w:rPr>
                                <w:rFonts w:ascii="Cambria Math" w:eastAsia="Calibri" w:hAnsi="Cambria Math" w:cs="Arial"/>
                                <w:sz w:val="20"/>
                                <w:szCs w:val="20"/>
                                <w:lang w:val="en-US" w:eastAsia="it-IT"/>
                              </w:rPr>
                              <m:t>IR(n),IR(C)</m:t>
                            </m:r>
                          </m:sub>
                        </m:sSub>
                      </m:e>
                    </m:d>
                    <m:r>
                      <m:rPr>
                        <m:sty m:val="p"/>
                      </m:rPr>
                      <w:rPr>
                        <w:rFonts w:ascii="Cambria Math" w:eastAsia="Calibri" w:hAnsi="Cambria Math" w:cs="Arial"/>
                        <w:sz w:val="20"/>
                        <w:szCs w:val="20"/>
                        <w:lang w:val="en-US" w:eastAsia="it-IT"/>
                      </w:rPr>
                      <m:t>,0</m:t>
                    </m:r>
                  </m:e>
                </m:d>
              </m:oMath>
            </m:oMathPara>
          </w:p>
          <w:p w14:paraId="46980805" w14:textId="77777777" w:rsidR="00E5588C" w:rsidRPr="000D7A90" w:rsidDel="007C1EAE" w:rsidRDefault="00E5588C" w:rsidP="00983D8D">
            <w:pPr>
              <w:spacing w:after="120" w:line="260" w:lineRule="exact"/>
              <w:ind w:left="24" w:hanging="24"/>
              <w:jc w:val="both"/>
              <w:rPr>
                <w:rFonts w:eastAsia="Calibri" w:cs="Arial"/>
                <w:b/>
                <w:bCs/>
                <w:sz w:val="20"/>
                <w:szCs w:val="20"/>
                <w:lang w:val="en-US" w:eastAsia="it-IT"/>
              </w:rPr>
            </w:pPr>
            <w:r w:rsidRPr="000D7A90" w:rsidDel="007C1EAE">
              <w:rPr>
                <w:rFonts w:eastAsia="Calibri" w:cs="Arial"/>
                <w:sz w:val="20"/>
                <w:szCs w:val="20"/>
                <w:lang w:val="en-US" w:eastAsia="it-IT"/>
              </w:rPr>
              <w:t xml:space="preserve"> (2) If the last Intraday Restrike Event Observation Period on the relevant Intraday Restrike Date ends on the </w:t>
            </w:r>
            <w:proofErr w:type="spellStart"/>
            <w:r w:rsidRPr="000D7A90" w:rsidDel="007C1EAE">
              <w:rPr>
                <w:rFonts w:eastAsia="Calibri" w:cs="Arial"/>
                <w:sz w:val="20"/>
                <w:szCs w:val="20"/>
                <w:lang w:val="en-US" w:eastAsia="it-IT"/>
              </w:rPr>
              <w:t>TimeReferenceClosing</w:t>
            </w:r>
            <w:proofErr w:type="spellEnd"/>
            <w:r w:rsidRPr="000D7A90" w:rsidDel="007C1EAE">
              <w:rPr>
                <w:rFonts w:eastAsia="Calibri" w:cs="Arial"/>
                <w:sz w:val="20"/>
                <w:szCs w:val="20"/>
                <w:lang w:val="en-US" w:eastAsia="it-IT"/>
              </w:rPr>
              <w:t>:</w:t>
            </w:r>
          </w:p>
          <w:p w14:paraId="517878AA" w14:textId="77777777" w:rsidR="00E5588C" w:rsidRPr="000D7A90" w:rsidDel="007C1EAE" w:rsidRDefault="00C17CDA" w:rsidP="00983D8D">
            <w:pPr>
              <w:autoSpaceDE w:val="0"/>
              <w:autoSpaceDN w:val="0"/>
              <w:adjustRightInd w:val="0"/>
              <w:spacing w:after="120"/>
              <w:jc w:val="both"/>
              <w:rPr>
                <w:rFonts w:eastAsia="Calibri" w:cs="Arial"/>
                <w:bCs/>
                <w:sz w:val="20"/>
                <w:szCs w:val="20"/>
                <w:lang w:val="en-US" w:eastAsia="it-IT"/>
              </w:rPr>
            </w:pPr>
            <m:oMathPara>
              <m:oMathParaPr>
                <m:jc m:val="left"/>
              </m:oMathParaPr>
              <m:oMath>
                <m:sSub>
                  <m:sSubPr>
                    <m:ctrlPr>
                      <w:rPr>
                        <w:rFonts w:ascii="Cambria Math" w:eastAsia="Calibri" w:hAnsi="Cambria Math" w:cs="Arial"/>
                        <w:bCs/>
                        <w:sz w:val="20"/>
                        <w:szCs w:val="20"/>
                        <w:lang w:val="en-US" w:eastAsia="it-IT"/>
                      </w:rPr>
                    </m:ctrlPr>
                  </m:sSubPr>
                  <m:e>
                    <m:r>
                      <m:rPr>
                        <m:sty m:val="p"/>
                      </m:rPr>
                      <w:rPr>
                        <w:rFonts w:ascii="Cambria Math" w:eastAsia="Calibri" w:hAnsi="Cambria Math" w:cs="Arial"/>
                        <w:sz w:val="20"/>
                        <w:szCs w:val="20"/>
                        <w:lang w:val="en-US" w:eastAsia="it-IT"/>
                      </w:rPr>
                      <m:t>LSL</m:t>
                    </m:r>
                  </m:e>
                  <m:sub>
                    <m:r>
                      <m:rPr>
                        <m:sty m:val="p"/>
                      </m:rPr>
                      <w:rPr>
                        <w:rFonts w:ascii="Cambria Math" w:eastAsia="Calibri" w:hAnsi="Cambria Math" w:cs="Arial"/>
                        <w:sz w:val="20"/>
                        <w:szCs w:val="20"/>
                        <w:lang w:val="en-US" w:eastAsia="it-IT"/>
                      </w:rPr>
                      <m:t>IRD</m:t>
                    </m:r>
                  </m:sub>
                </m:sSub>
                <m:r>
                  <m:rPr>
                    <m:sty m:val="p"/>
                  </m:rPr>
                  <w:rPr>
                    <w:rFonts w:ascii="Cambria Math" w:eastAsia="Calibri" w:hAnsi="Cambria Math" w:cs="Arial"/>
                    <w:sz w:val="20"/>
                    <w:szCs w:val="20"/>
                    <w:lang w:val="en-US" w:eastAsia="it-IT"/>
                  </w:rPr>
                  <m:t>=Max</m:t>
                </m:r>
                <m:d>
                  <m:dPr>
                    <m:begChr m:val="["/>
                    <m:endChr m:val="]"/>
                    <m:ctrlPr>
                      <w:rPr>
                        <w:rFonts w:ascii="Cambria Math" w:eastAsia="Calibri" w:hAnsi="Cambria Math" w:cs="Arial"/>
                        <w:bCs/>
                        <w:sz w:val="20"/>
                        <w:szCs w:val="20"/>
                        <w:lang w:val="en-US" w:eastAsia="it-IT"/>
                      </w:rPr>
                    </m:ctrlPr>
                  </m:dPr>
                  <m:e>
                    <m:sSub>
                      <m:sSubPr>
                        <m:ctrlPr>
                          <w:rPr>
                            <w:rFonts w:ascii="Cambria Math" w:eastAsia="Calibri" w:hAnsi="Cambria Math" w:cs="Arial"/>
                            <w:bCs/>
                            <w:sz w:val="20"/>
                            <w:szCs w:val="20"/>
                            <w:lang w:val="en-US" w:eastAsia="it-IT"/>
                          </w:rPr>
                        </m:ctrlPr>
                      </m:sSubPr>
                      <m:e>
                        <m:r>
                          <m:rPr>
                            <m:sty m:val="p"/>
                          </m:rPr>
                          <w:rPr>
                            <w:rFonts w:ascii="Cambria Math" w:eastAsia="Calibri" w:hAnsi="Cambria Math" w:cs="Arial"/>
                            <w:sz w:val="20"/>
                            <w:szCs w:val="20"/>
                            <w:lang w:val="en-US" w:eastAsia="it-IT"/>
                          </w:rPr>
                          <m:t>ILSL</m:t>
                        </m:r>
                      </m:e>
                      <m:sub>
                        <m:r>
                          <m:rPr>
                            <m:sty m:val="p"/>
                          </m:rPr>
                          <w:rPr>
                            <w:rFonts w:ascii="Cambria Math" w:eastAsia="Calibri" w:hAnsi="Cambria Math" w:cs="Arial"/>
                            <w:sz w:val="20"/>
                            <w:szCs w:val="20"/>
                            <w:lang w:val="en-US" w:eastAsia="it-IT"/>
                          </w:rPr>
                          <m:t>IR(n)</m:t>
                        </m:r>
                      </m:sub>
                    </m:sSub>
                    <m:r>
                      <m:rPr>
                        <m:sty m:val="p"/>
                      </m:rPr>
                      <w:rPr>
                        <w:rFonts w:ascii="Cambria Math" w:eastAsia="Calibri" w:hAnsi="Cambria Math" w:cs="Arial"/>
                        <w:sz w:val="20"/>
                        <w:szCs w:val="20"/>
                        <w:lang w:val="en-US" w:eastAsia="it-IT"/>
                      </w:rPr>
                      <m:t>,0</m:t>
                    </m:r>
                  </m:e>
                </m:d>
              </m:oMath>
            </m:oMathPara>
          </w:p>
          <w:p w14:paraId="15B9EB3A" w14:textId="77777777" w:rsidR="00E5588C" w:rsidRPr="000D7A90" w:rsidDel="007C1EAE" w:rsidRDefault="00E5588C" w:rsidP="00983D8D">
            <w:pPr>
              <w:spacing w:after="120" w:line="260" w:lineRule="exact"/>
              <w:ind w:left="24" w:hanging="24"/>
              <w:jc w:val="both"/>
              <w:rPr>
                <w:rFonts w:cs="Arial"/>
                <w:color w:val="000000"/>
                <w:sz w:val="20"/>
                <w:szCs w:val="20"/>
                <w:lang w:val="en-US"/>
              </w:rPr>
            </w:pPr>
          </w:p>
        </w:tc>
      </w:tr>
      <w:tr w:rsidR="00E5588C" w:rsidRPr="000D7A90" w:rsidDel="007C1EAE" w14:paraId="5DD13801" w14:textId="77777777" w:rsidTr="00B56905">
        <w:tc>
          <w:tcPr>
            <w:tcW w:w="3792" w:type="dxa"/>
          </w:tcPr>
          <w:p w14:paraId="44856B8D" w14:textId="77777777" w:rsidR="00E5588C" w:rsidRPr="000D7A90" w:rsidDel="007C1EAE" w:rsidRDefault="00C17CDA" w:rsidP="00022CEA">
            <w:pPr>
              <w:spacing w:after="120" w:line="260" w:lineRule="exact"/>
              <w:jc w:val="center"/>
              <w:rPr>
                <w:rFonts w:cs="Arial"/>
                <w:b/>
                <w:color w:val="000000"/>
                <w:sz w:val="20"/>
                <w:szCs w:val="20"/>
                <w:lang w:val="en-US"/>
              </w:rPr>
            </w:pPr>
            <m:oMathPara>
              <m:oMath>
                <m:sSub>
                  <m:sSubPr>
                    <m:ctrlPr>
                      <w:rPr>
                        <w:rFonts w:ascii="Cambria Math" w:eastAsia="Calibri" w:hAnsi="Cambria Math" w:cs="Helvetica-Bold"/>
                        <w:b/>
                        <w:bCs/>
                        <w:sz w:val="20"/>
                        <w:szCs w:val="20"/>
                        <w:lang w:val="en-US" w:eastAsia="it-IT"/>
                      </w:rPr>
                    </m:ctrlPr>
                  </m:sSubPr>
                  <m:e>
                    <m:r>
                      <m:rPr>
                        <m:sty m:val="b"/>
                      </m:rPr>
                      <w:rPr>
                        <w:rFonts w:ascii="Cambria Math" w:eastAsia="Calibri" w:hAnsi="Cambria Math" w:cs="Helvetica-Bold"/>
                        <w:sz w:val="20"/>
                        <w:szCs w:val="20"/>
                        <w:lang w:val="en-US" w:eastAsia="it-IT"/>
                      </w:rPr>
                      <m:t>ILSL</m:t>
                    </m:r>
                  </m:e>
                  <m:sub>
                    <m:r>
                      <m:rPr>
                        <m:sty m:val="b"/>
                      </m:rPr>
                      <w:rPr>
                        <w:rFonts w:ascii="Cambria Math" w:eastAsia="Calibri" w:hAnsi="Cambria Math" w:cs="Helvetica-Bold"/>
                        <w:sz w:val="20"/>
                        <w:szCs w:val="20"/>
                        <w:lang w:val="en-US" w:eastAsia="it-IT"/>
                      </w:rPr>
                      <m:t>IR(k)</m:t>
                    </m:r>
                  </m:sub>
                </m:sSub>
              </m:oMath>
            </m:oMathPara>
          </w:p>
        </w:tc>
        <w:tc>
          <w:tcPr>
            <w:tcW w:w="7278" w:type="dxa"/>
          </w:tcPr>
          <w:p w14:paraId="4D7BCC93" w14:textId="77777777" w:rsidR="00E5588C" w:rsidRPr="000D7A90" w:rsidDel="007C1EAE" w:rsidRDefault="00993D62" w:rsidP="00983D8D">
            <w:pPr>
              <w:spacing w:after="120" w:line="260" w:lineRule="exact"/>
              <w:ind w:left="44"/>
              <w:jc w:val="both"/>
              <w:rPr>
                <w:rFonts w:cs="Arial"/>
                <w:color w:val="000000"/>
                <w:sz w:val="20"/>
                <w:szCs w:val="20"/>
                <w:lang w:val="en-US"/>
              </w:rPr>
            </w:pPr>
            <w:r w:rsidRPr="000D7A90" w:rsidDel="007C1EAE">
              <w:rPr>
                <w:rFonts w:cs="Arial"/>
                <w:color w:val="000000"/>
                <w:sz w:val="20"/>
                <w:szCs w:val="20"/>
                <w:lang w:val="en-US"/>
              </w:rPr>
              <w:t>m</w:t>
            </w:r>
            <w:r w:rsidR="00E5588C" w:rsidRPr="000D7A90" w:rsidDel="007C1EAE">
              <w:rPr>
                <w:rFonts w:cs="Arial"/>
                <w:color w:val="000000"/>
                <w:sz w:val="20"/>
                <w:szCs w:val="20"/>
                <w:lang w:val="en-US"/>
              </w:rPr>
              <w:t>eans, in respect of IR(k), the Intraday Leverage</w:t>
            </w:r>
            <w:r w:rsidR="00734768" w:rsidRPr="000D7A90">
              <w:rPr>
                <w:rFonts w:cs="Arial"/>
                <w:color w:val="000000"/>
                <w:sz w:val="20"/>
                <w:szCs w:val="20"/>
                <w:lang w:val="en-US"/>
              </w:rPr>
              <w:t xml:space="preserve"> Inverse</w:t>
            </w:r>
            <w:r w:rsidR="006C4DBC">
              <w:rPr>
                <w:rFonts w:cs="Arial"/>
                <w:color w:val="000000"/>
                <w:sz w:val="20"/>
                <w:szCs w:val="20"/>
                <w:lang w:val="en-US"/>
              </w:rPr>
              <w:t xml:space="preserve"> </w:t>
            </w:r>
            <w:r w:rsidR="00E5588C" w:rsidRPr="000D7A90" w:rsidDel="007C1EAE">
              <w:rPr>
                <w:rFonts w:cs="Arial"/>
                <w:color w:val="000000"/>
                <w:sz w:val="20"/>
                <w:szCs w:val="20"/>
                <w:lang w:val="en-US"/>
              </w:rPr>
              <w:t>Strategy Level in accordance with the following provisions :</w:t>
            </w:r>
          </w:p>
          <w:p w14:paraId="216400C4" w14:textId="77777777" w:rsidR="00E5588C" w:rsidRPr="000D7A90" w:rsidRDefault="00E5588C" w:rsidP="00983D8D">
            <w:pPr>
              <w:spacing w:after="120" w:line="260" w:lineRule="exact"/>
              <w:ind w:left="44"/>
              <w:jc w:val="both"/>
              <w:rPr>
                <w:rFonts w:cs="Arial"/>
                <w:color w:val="000000"/>
                <w:sz w:val="20"/>
                <w:szCs w:val="20"/>
                <w:lang w:val="en-US"/>
              </w:rPr>
            </w:pPr>
            <w:r w:rsidRPr="000D7A90" w:rsidDel="007C1EAE">
              <w:rPr>
                <w:rFonts w:cs="Arial"/>
                <w:color w:val="000000"/>
                <w:sz w:val="20"/>
                <w:szCs w:val="20"/>
                <w:lang w:val="en-US"/>
              </w:rPr>
              <w:t>(1) for k = 1:</w:t>
            </w:r>
          </w:p>
          <w:p w14:paraId="147E1F1F" w14:textId="77777777" w:rsidR="00734768" w:rsidRPr="000D7A90" w:rsidRDefault="00C17CDA" w:rsidP="00734768">
            <w:pPr>
              <w:spacing w:after="120" w:line="260" w:lineRule="exact"/>
              <w:ind w:left="44"/>
              <w:jc w:val="both"/>
              <w:rPr>
                <w:rFonts w:cs="Arial"/>
                <w:bCs/>
                <w:sz w:val="20"/>
                <w:szCs w:val="20"/>
                <w:lang w:val="en-US" w:eastAsia="it-IT"/>
              </w:rPr>
            </w:pPr>
            <m:oMathPara>
              <m:oMathParaPr>
                <m:jc m:val="left"/>
              </m:oMathParaPr>
              <m:oMath>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ILSL</m:t>
                    </m:r>
                  </m:e>
                  <m:sub>
                    <m:r>
                      <m:rPr>
                        <m:sty m:val="p"/>
                      </m:rPr>
                      <w:rPr>
                        <w:rFonts w:ascii="Cambria Math" w:eastAsia="Calibri" w:hAnsi="Cambria Math" w:cs="Helvetica-Bold"/>
                        <w:sz w:val="20"/>
                        <w:szCs w:val="20"/>
                        <w:lang w:val="en-US" w:eastAsia="it-IT"/>
                      </w:rPr>
                      <m:t>IR(1)</m:t>
                    </m:r>
                  </m:sub>
                </m:sSub>
                <m:r>
                  <m:rPr>
                    <m:sty m:val="b"/>
                  </m:rPr>
                  <w:rPr>
                    <w:rFonts w:ascii="Cambria Math" w:eastAsia="Calibri" w:hAnsi="Cambria Math" w:cs="Helvetica-Bold"/>
                    <w:sz w:val="20"/>
                    <w:szCs w:val="20"/>
                    <w:lang w:val="en-US" w:eastAsia="it-IT"/>
                  </w:rPr>
                  <m:t xml:space="preserve">= </m:t>
                </m:r>
                <m:r>
                  <m:rPr>
                    <m:sty m:val="p"/>
                  </m:rPr>
                  <w:rPr>
                    <w:rFonts w:ascii="Cambria Math" w:eastAsia="Calibri" w:hAnsi="Cambria Math" w:cs="Helvetica-Bold"/>
                    <w:sz w:val="20"/>
                    <w:szCs w:val="20"/>
                    <w:lang w:val="en-US" w:eastAsia="it-IT"/>
                  </w:rPr>
                  <m:t>Max</m:t>
                </m:r>
                <m:d>
                  <m:dPr>
                    <m:begChr m:val="["/>
                    <m:endChr m:val="]"/>
                    <m:ctrlPr>
                      <w:rPr>
                        <w:rFonts w:ascii="Cambria Math" w:eastAsia="Calibri" w:hAnsi="Cambria Math" w:cs="Helvetica-Bold"/>
                        <w:bCs/>
                        <w:sz w:val="20"/>
                        <w:szCs w:val="20"/>
                        <w:lang w:val="en-US" w:eastAsia="it-IT"/>
                      </w:rPr>
                    </m:ctrlPr>
                  </m:dPr>
                  <m:e>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LSL</m:t>
                        </m:r>
                      </m:e>
                      <m:sub>
                        <m:r>
                          <m:rPr>
                            <m:sty m:val="p"/>
                          </m:rPr>
                          <w:rPr>
                            <w:rFonts w:ascii="Cambria Math" w:eastAsia="Calibri" w:hAnsi="Cambria Math" w:cs="Helvetica-Bold"/>
                            <w:sz w:val="20"/>
                            <w:szCs w:val="20"/>
                            <w:lang w:val="en-US" w:eastAsia="it-IT"/>
                          </w:rPr>
                          <m:t>IRD-1</m:t>
                        </m:r>
                      </m:sub>
                    </m:sSub>
                    <m:r>
                      <m:rPr>
                        <m:sty m:val="p"/>
                      </m:rPr>
                      <w:rPr>
                        <w:rFonts w:ascii="Cambria Math" w:eastAsia="Calibri" w:hAnsi="Cambria Math" w:cs="Helvetica-Bold"/>
                        <w:sz w:val="20"/>
                        <w:szCs w:val="20"/>
                        <w:lang w:val="en-US" w:eastAsia="it-IT"/>
                      </w:rPr>
                      <m:t>×</m:t>
                    </m:r>
                    <m:d>
                      <m:dPr>
                        <m:ctrlPr>
                          <w:rPr>
                            <w:rFonts w:ascii="Cambria Math" w:eastAsia="Calibri" w:hAnsi="Cambria Math" w:cs="Helvetica-Bold"/>
                            <w:bCs/>
                            <w:sz w:val="20"/>
                            <w:szCs w:val="20"/>
                            <w:lang w:val="en-US" w:eastAsia="it-IT"/>
                          </w:rPr>
                        </m:ctrlPr>
                      </m:dPr>
                      <m:e>
                        <m:r>
                          <m:rPr>
                            <m:sty m:val="p"/>
                          </m:rPr>
                          <w:rPr>
                            <w:rFonts w:ascii="Cambria Math" w:eastAsia="Calibri" w:hAnsi="Cambria Math" w:cs="Helvetica-Bold"/>
                            <w:sz w:val="20"/>
                            <w:szCs w:val="20"/>
                            <w:lang w:val="en-US" w:eastAsia="it-IT"/>
                          </w:rPr>
                          <m:t>1+</m:t>
                        </m:r>
                        <m:sSub>
                          <m:sSubPr>
                            <m:ctrlPr>
                              <w:rPr>
                                <w:rFonts w:ascii="Cambria Math" w:eastAsia="Calibri" w:hAnsi="Cambria Math" w:cs="Helvetica-Bold"/>
                                <w:sz w:val="20"/>
                                <w:szCs w:val="20"/>
                                <w:lang w:val="en-US" w:eastAsia="it-IT"/>
                              </w:rPr>
                            </m:ctrlPr>
                          </m:sSubPr>
                          <m:e>
                            <m:r>
                              <m:rPr>
                                <m:sty m:val="p"/>
                              </m:rPr>
                              <w:rPr>
                                <w:rFonts w:ascii="Cambria Math" w:eastAsia="Calibri" w:hAnsi="Cambria Math" w:cs="Helvetica-Bold"/>
                                <w:sz w:val="20"/>
                                <w:szCs w:val="20"/>
                                <w:lang w:val="en-US" w:eastAsia="it-IT"/>
                              </w:rPr>
                              <m:t>ILR</m:t>
                            </m:r>
                          </m:e>
                          <m:sub>
                            <m:r>
                              <m:rPr>
                                <m:sty m:val="p"/>
                              </m:rPr>
                              <w:rPr>
                                <w:rFonts w:ascii="Cambria Math" w:eastAsia="Calibri" w:hAnsi="Cambria Math" w:cs="Helvetica-Bold"/>
                                <w:sz w:val="20"/>
                                <w:szCs w:val="20"/>
                                <w:lang w:val="en-US" w:eastAsia="it-IT"/>
                              </w:rPr>
                              <m:t>IR(0),IR(1)</m:t>
                            </m:r>
                          </m:sub>
                        </m:sSub>
                        <m:r>
                          <m:rPr>
                            <m:sty m:val="p"/>
                          </m:rPr>
                          <w:rPr>
                            <w:rFonts w:ascii="Cambria Math" w:eastAsia="Calibri" w:hAnsi="Cambria Math" w:cs="Helvetica-Bold"/>
                            <w:sz w:val="20"/>
                            <w:szCs w:val="20"/>
                            <w:lang w:val="en-US" w:eastAsia="it-IT"/>
                          </w:rPr>
                          <m:t xml:space="preserve">- </m:t>
                        </m:r>
                        <m:sSub>
                          <m:sSubPr>
                            <m:ctrlPr>
                              <w:rPr>
                                <w:rFonts w:ascii="Cambria Math" w:eastAsia="Calibri" w:hAnsi="Cambria Math" w:cs="Helvetica-Bold"/>
                                <w:sz w:val="20"/>
                                <w:szCs w:val="20"/>
                                <w:lang w:val="en-US" w:eastAsia="it-IT"/>
                              </w:rPr>
                            </m:ctrlPr>
                          </m:sSubPr>
                          <m:e>
                            <m:r>
                              <m:rPr>
                                <m:sty m:val="p"/>
                              </m:rPr>
                              <w:rPr>
                                <w:rFonts w:ascii="Cambria Math" w:eastAsia="Calibri" w:hAnsi="Cambria Math" w:cs="Helvetica-Bold"/>
                                <w:sz w:val="20"/>
                                <w:szCs w:val="20"/>
                                <w:lang w:val="en-US" w:eastAsia="it-IT"/>
                              </w:rPr>
                              <m:t>FC</m:t>
                            </m:r>
                          </m:e>
                          <m:sub>
                            <m:r>
                              <m:rPr>
                                <m:sty m:val="p"/>
                              </m:rPr>
                              <w:rPr>
                                <w:rFonts w:ascii="Cambria Math" w:eastAsia="Calibri" w:hAnsi="Cambria Math" w:cs="Helvetica-Bold"/>
                                <w:sz w:val="20"/>
                                <w:szCs w:val="20"/>
                                <w:lang w:val="en-US" w:eastAsia="it-IT"/>
                              </w:rPr>
                              <m:t>IRD-1,IRD</m:t>
                            </m:r>
                          </m:sub>
                        </m:sSub>
                        <m:r>
                          <m:rPr>
                            <m:sty m:val="p"/>
                          </m:rPr>
                          <w:rPr>
                            <w:rFonts w:ascii="Cambria Math" w:eastAsia="Calibri" w:hAnsi="Cambria Math" w:cs="Helvetica-Bold"/>
                            <w:sz w:val="20"/>
                            <w:szCs w:val="20"/>
                            <w:lang w:val="en-US" w:eastAsia="it-IT"/>
                          </w:rPr>
                          <m:t xml:space="preserve">- </m:t>
                        </m:r>
                        <m:sSub>
                          <m:sSubPr>
                            <m:ctrlPr>
                              <w:rPr>
                                <w:rFonts w:ascii="Cambria Math" w:eastAsia="Calibri" w:hAnsi="Cambria Math" w:cs="Helvetica-Bold"/>
                                <w:sz w:val="20"/>
                                <w:szCs w:val="20"/>
                                <w:lang w:val="en-US" w:eastAsia="it-IT"/>
                              </w:rPr>
                            </m:ctrlPr>
                          </m:sSubPr>
                          <m:e>
                            <m:r>
                              <m:rPr>
                                <m:sty m:val="p"/>
                              </m:rPr>
                              <w:rPr>
                                <w:rFonts w:ascii="Cambria Math" w:eastAsia="Calibri" w:hAnsi="Cambria Math" w:cs="Helvetica-Bold"/>
                                <w:sz w:val="20"/>
                                <w:szCs w:val="20"/>
                                <w:lang w:val="en-US" w:eastAsia="it-IT"/>
                              </w:rPr>
                              <m:t>SB</m:t>
                            </m:r>
                          </m:e>
                          <m:sub>
                            <m:r>
                              <m:rPr>
                                <m:sty m:val="p"/>
                              </m:rPr>
                              <w:rPr>
                                <w:rFonts w:ascii="Cambria Math" w:eastAsia="Calibri" w:hAnsi="Cambria Math" w:cs="Helvetica-Bold"/>
                                <w:sz w:val="20"/>
                                <w:szCs w:val="20"/>
                                <w:lang w:val="en-US" w:eastAsia="it-IT"/>
                              </w:rPr>
                              <m:t>IRD-1,IRD</m:t>
                            </m:r>
                          </m:sub>
                        </m:sSub>
                        <m:r>
                          <m:rPr>
                            <m:sty m:val="p"/>
                          </m:rPr>
                          <w:rPr>
                            <w:rFonts w:ascii="Cambria Math" w:eastAsia="Calibri" w:hAnsi="Cambria Math" w:cs="Helvetica-Bold"/>
                            <w:sz w:val="20"/>
                            <w:szCs w:val="20"/>
                            <w:lang w:val="en-US" w:eastAsia="it-IT"/>
                          </w:rPr>
                          <m:t>- I</m:t>
                        </m:r>
                        <m:sSub>
                          <m:sSubPr>
                            <m:ctrlPr>
                              <w:rPr>
                                <w:rFonts w:ascii="Cambria Math" w:eastAsia="Calibri" w:hAnsi="Cambria Math" w:cs="Helvetica-Bold"/>
                                <w:sz w:val="20"/>
                                <w:szCs w:val="20"/>
                                <w:lang w:val="en-US" w:eastAsia="it-IT"/>
                              </w:rPr>
                            </m:ctrlPr>
                          </m:sSubPr>
                          <m:e>
                            <m:r>
                              <m:rPr>
                                <m:sty m:val="p"/>
                              </m:rPr>
                              <w:rPr>
                                <w:rFonts w:ascii="Cambria Math" w:eastAsia="Calibri" w:hAnsi="Cambria Math" w:cs="Helvetica-Bold"/>
                                <w:sz w:val="20"/>
                                <w:szCs w:val="20"/>
                                <w:lang w:val="en-US" w:eastAsia="it-IT"/>
                              </w:rPr>
                              <m:t>RC</m:t>
                            </m:r>
                          </m:e>
                          <m:sub>
                            <m:r>
                              <m:rPr>
                                <m:sty m:val="p"/>
                              </m:rPr>
                              <w:rPr>
                                <w:rFonts w:ascii="Cambria Math" w:eastAsia="Calibri" w:hAnsi="Cambria Math" w:cs="Helvetica-Bold"/>
                                <w:sz w:val="20"/>
                                <w:szCs w:val="20"/>
                                <w:lang w:val="en-US" w:eastAsia="it-IT"/>
                              </w:rPr>
                              <m:t>IR(0),IR(1)</m:t>
                            </m:r>
                          </m:sub>
                        </m:sSub>
                      </m:e>
                    </m:d>
                    <m:r>
                      <m:rPr>
                        <m:sty m:val="p"/>
                      </m:rPr>
                      <w:rPr>
                        <w:rFonts w:ascii="Cambria Math" w:eastAsia="Calibri" w:hAnsi="Cambria Math" w:cs="Helvetica-Bold"/>
                        <w:sz w:val="20"/>
                        <w:szCs w:val="20"/>
                        <w:lang w:val="en-US" w:eastAsia="it-IT"/>
                      </w:rPr>
                      <m:t>,0</m:t>
                    </m:r>
                  </m:e>
                </m:d>
              </m:oMath>
            </m:oMathPara>
          </w:p>
          <w:p w14:paraId="457C996A" w14:textId="77777777" w:rsidR="00E5588C" w:rsidRPr="000D7A90" w:rsidDel="007C1EAE" w:rsidRDefault="00E5588C" w:rsidP="00983D8D">
            <w:pPr>
              <w:spacing w:after="120" w:line="260" w:lineRule="exact"/>
              <w:ind w:left="44"/>
              <w:jc w:val="both"/>
              <w:rPr>
                <w:rFonts w:cs="Arial"/>
                <w:b/>
                <w:bCs/>
                <w:color w:val="000000"/>
                <w:sz w:val="20"/>
                <w:szCs w:val="20"/>
                <w:lang w:val="en-US"/>
              </w:rPr>
            </w:pPr>
            <w:r w:rsidRPr="000D7A90" w:rsidDel="007C1EAE">
              <w:rPr>
                <w:rFonts w:cs="Arial"/>
                <w:bCs/>
                <w:sz w:val="20"/>
                <w:szCs w:val="20"/>
                <w:lang w:val="en-US" w:eastAsia="it-IT"/>
              </w:rPr>
              <w:lastRenderedPageBreak/>
              <w:t>(2)  for k &gt; 1:</w:t>
            </w:r>
          </w:p>
          <w:p w14:paraId="58165757" w14:textId="77777777" w:rsidR="00E5588C" w:rsidRPr="000D7A90" w:rsidDel="007C1EAE" w:rsidRDefault="00C17CDA" w:rsidP="00983D8D">
            <w:pPr>
              <w:autoSpaceDE w:val="0"/>
              <w:autoSpaceDN w:val="0"/>
              <w:adjustRightInd w:val="0"/>
              <w:spacing w:after="120"/>
              <w:jc w:val="both"/>
              <w:rPr>
                <w:rFonts w:ascii="Helvetica-Bold" w:eastAsia="Calibri" w:hAnsi="Helvetica-Bold" w:cs="Helvetica-Bold"/>
                <w:bCs/>
                <w:sz w:val="20"/>
                <w:szCs w:val="20"/>
                <w:lang w:val="en-US" w:eastAsia="it-IT"/>
              </w:rPr>
            </w:pPr>
            <m:oMathPara>
              <m:oMathParaPr>
                <m:jc m:val="left"/>
              </m:oMathParaPr>
              <m:oMath>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ILSL</m:t>
                    </m:r>
                  </m:e>
                  <m:sub>
                    <m:r>
                      <m:rPr>
                        <m:sty m:val="p"/>
                      </m:rPr>
                      <w:rPr>
                        <w:rFonts w:ascii="Cambria Math" w:eastAsia="Calibri" w:hAnsi="Cambria Math" w:cs="Helvetica-Bold"/>
                        <w:sz w:val="20"/>
                        <w:szCs w:val="20"/>
                        <w:lang w:val="en-US" w:eastAsia="it-IT"/>
                      </w:rPr>
                      <m:t>IR(k)</m:t>
                    </m:r>
                  </m:sub>
                </m:sSub>
                <m:r>
                  <m:rPr>
                    <m:sty m:val="p"/>
                  </m:rPr>
                  <w:rPr>
                    <w:rFonts w:ascii="Cambria Math" w:eastAsia="Calibri" w:hAnsi="Cambria Math" w:cs="Helvetica-Bold"/>
                    <w:sz w:val="20"/>
                    <w:szCs w:val="20"/>
                    <w:lang w:val="en-US" w:eastAsia="it-IT"/>
                  </w:rPr>
                  <m:t>=Max</m:t>
                </m:r>
                <m:d>
                  <m:dPr>
                    <m:begChr m:val="["/>
                    <m:endChr m:val="]"/>
                    <m:ctrlPr>
                      <w:rPr>
                        <w:rFonts w:ascii="Cambria Math" w:eastAsia="Calibri" w:hAnsi="Cambria Math" w:cs="Helvetica-Bold"/>
                        <w:bCs/>
                        <w:sz w:val="20"/>
                        <w:szCs w:val="20"/>
                        <w:lang w:val="en-US" w:eastAsia="it-IT"/>
                      </w:rPr>
                    </m:ctrlPr>
                  </m:dPr>
                  <m:e>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ILSL</m:t>
                        </m:r>
                      </m:e>
                      <m:sub>
                        <m:r>
                          <m:rPr>
                            <m:sty m:val="p"/>
                          </m:rPr>
                          <w:rPr>
                            <w:rFonts w:ascii="Cambria Math" w:eastAsia="Calibri" w:hAnsi="Cambria Math" w:cs="Helvetica-Bold"/>
                            <w:sz w:val="20"/>
                            <w:szCs w:val="20"/>
                            <w:lang w:val="en-US" w:eastAsia="it-IT"/>
                          </w:rPr>
                          <m:t>IR(k-1)</m:t>
                        </m:r>
                      </m:sub>
                    </m:sSub>
                    <m:r>
                      <m:rPr>
                        <m:sty m:val="p"/>
                      </m:rPr>
                      <w:rPr>
                        <w:rFonts w:ascii="Cambria Math" w:eastAsia="Calibri" w:hAnsi="Cambria Math" w:cs="Helvetica-Bold"/>
                        <w:sz w:val="20"/>
                        <w:szCs w:val="20"/>
                        <w:lang w:val="en-US" w:eastAsia="it-IT"/>
                      </w:rPr>
                      <m:t>×</m:t>
                    </m:r>
                    <m:d>
                      <m:dPr>
                        <m:ctrlPr>
                          <w:rPr>
                            <w:rFonts w:ascii="Cambria Math" w:eastAsia="Calibri" w:hAnsi="Cambria Math" w:cs="Helvetica-Bold"/>
                            <w:bCs/>
                            <w:sz w:val="20"/>
                            <w:szCs w:val="20"/>
                            <w:lang w:val="en-US" w:eastAsia="it-IT"/>
                          </w:rPr>
                        </m:ctrlPr>
                      </m:dPr>
                      <m:e>
                        <m:r>
                          <m:rPr>
                            <m:sty m:val="p"/>
                          </m:rPr>
                          <w:rPr>
                            <w:rFonts w:ascii="Cambria Math" w:eastAsia="Calibri" w:hAnsi="Cambria Math" w:cs="Helvetica-Bold"/>
                            <w:sz w:val="20"/>
                            <w:szCs w:val="20"/>
                            <w:lang w:val="en-US" w:eastAsia="it-IT"/>
                          </w:rPr>
                          <m:t>1+</m:t>
                        </m:r>
                        <m:sSub>
                          <m:sSubPr>
                            <m:ctrlPr>
                              <w:rPr>
                                <w:rFonts w:ascii="Cambria Math" w:eastAsia="Calibri" w:hAnsi="Cambria Math" w:cs="Helvetica-Bold"/>
                                <w:sz w:val="20"/>
                                <w:szCs w:val="20"/>
                                <w:lang w:val="en-US" w:eastAsia="it-IT"/>
                              </w:rPr>
                            </m:ctrlPr>
                          </m:sSubPr>
                          <m:e>
                            <m:r>
                              <m:rPr>
                                <m:sty m:val="p"/>
                              </m:rPr>
                              <w:rPr>
                                <w:rFonts w:ascii="Cambria Math" w:eastAsia="Calibri" w:hAnsi="Cambria Math" w:cs="Helvetica-Bold"/>
                                <w:sz w:val="20"/>
                                <w:szCs w:val="20"/>
                                <w:lang w:val="en-US" w:eastAsia="it-IT"/>
                              </w:rPr>
                              <m:t>ILR</m:t>
                            </m:r>
                          </m:e>
                          <m:sub>
                            <m:r>
                              <m:rPr>
                                <m:sty m:val="p"/>
                              </m:rPr>
                              <w:rPr>
                                <w:rFonts w:ascii="Cambria Math" w:eastAsia="Calibri" w:hAnsi="Cambria Math" w:cs="Helvetica-Bold"/>
                                <w:sz w:val="20"/>
                                <w:szCs w:val="20"/>
                                <w:lang w:val="en-US" w:eastAsia="it-IT"/>
                              </w:rPr>
                              <m:t>IR(k-1),IR(k)</m:t>
                            </m:r>
                          </m:sub>
                        </m:sSub>
                        <m:r>
                          <m:rPr>
                            <m:sty m:val="p"/>
                          </m:rPr>
                          <w:rPr>
                            <w:rFonts w:ascii="Cambria Math" w:eastAsia="Calibri" w:hAnsi="Cambria Math" w:cs="Helvetica-Bold"/>
                            <w:sz w:val="20"/>
                            <w:szCs w:val="20"/>
                            <w:lang w:val="en-US" w:eastAsia="it-IT"/>
                          </w:rPr>
                          <m:t xml:space="preserve">- </m:t>
                        </m:r>
                        <m:sSub>
                          <m:sSubPr>
                            <m:ctrlPr>
                              <w:rPr>
                                <w:rFonts w:ascii="Cambria Math" w:eastAsia="Calibri" w:hAnsi="Cambria Math" w:cs="Helvetica-Bold"/>
                                <w:sz w:val="20"/>
                                <w:szCs w:val="20"/>
                                <w:lang w:val="en-US" w:eastAsia="it-IT"/>
                              </w:rPr>
                            </m:ctrlPr>
                          </m:sSubPr>
                          <m:e>
                            <m:r>
                              <m:rPr>
                                <m:sty m:val="p"/>
                              </m:rPr>
                              <w:rPr>
                                <w:rFonts w:ascii="Cambria Math" w:eastAsia="Calibri" w:hAnsi="Cambria Math" w:cs="Helvetica-Bold"/>
                                <w:sz w:val="20"/>
                                <w:szCs w:val="20"/>
                                <w:lang w:val="en-US" w:eastAsia="it-IT"/>
                              </w:rPr>
                              <m:t>IRC</m:t>
                            </m:r>
                          </m:e>
                          <m:sub>
                            <m:r>
                              <m:rPr>
                                <m:sty m:val="p"/>
                              </m:rPr>
                              <w:rPr>
                                <w:rFonts w:ascii="Cambria Math" w:eastAsia="Calibri" w:hAnsi="Cambria Math" w:cs="Helvetica-Bold"/>
                                <w:sz w:val="20"/>
                                <w:szCs w:val="20"/>
                                <w:lang w:val="en-US" w:eastAsia="it-IT"/>
                              </w:rPr>
                              <m:t>IR(k-1),IR(k)</m:t>
                            </m:r>
                          </m:sub>
                        </m:sSub>
                      </m:e>
                    </m:d>
                    <m:r>
                      <m:rPr>
                        <m:sty m:val="p"/>
                      </m:rPr>
                      <w:rPr>
                        <w:rFonts w:ascii="Cambria Math" w:eastAsia="Calibri" w:hAnsi="Cambria Math" w:cs="Helvetica-Bold"/>
                        <w:sz w:val="20"/>
                        <w:szCs w:val="20"/>
                        <w:lang w:val="en-US" w:eastAsia="it-IT"/>
                      </w:rPr>
                      <m:t>,0</m:t>
                    </m:r>
                  </m:e>
                </m:d>
              </m:oMath>
            </m:oMathPara>
          </w:p>
          <w:p w14:paraId="6C218AA8" w14:textId="77777777" w:rsidR="00E5588C" w:rsidRPr="000D7A90" w:rsidDel="007C1EAE" w:rsidRDefault="00E5588C" w:rsidP="00983D8D">
            <w:pPr>
              <w:spacing w:after="120" w:line="260" w:lineRule="exact"/>
              <w:ind w:left="44"/>
              <w:jc w:val="both"/>
              <w:rPr>
                <w:rFonts w:cs="Arial"/>
                <w:color w:val="000000"/>
                <w:sz w:val="20"/>
                <w:szCs w:val="20"/>
                <w:lang w:val="en-US"/>
              </w:rPr>
            </w:pPr>
          </w:p>
        </w:tc>
      </w:tr>
      <w:tr w:rsidR="00E5588C" w:rsidRPr="000D7A90" w:rsidDel="007C1EAE" w14:paraId="5FE631EC" w14:textId="77777777" w:rsidTr="00B56905">
        <w:tc>
          <w:tcPr>
            <w:tcW w:w="3792" w:type="dxa"/>
          </w:tcPr>
          <w:p w14:paraId="3E5E6AA3" w14:textId="77777777" w:rsidR="00E5588C" w:rsidRPr="000D7A90" w:rsidDel="007C1EAE" w:rsidRDefault="00C17CDA" w:rsidP="00022CEA">
            <w:pPr>
              <w:spacing w:after="120" w:line="260" w:lineRule="exact"/>
              <w:jc w:val="center"/>
              <w:rPr>
                <w:rFonts w:cs="Arial"/>
                <w:b/>
                <w:color w:val="000000"/>
                <w:kern w:val="20"/>
                <w:sz w:val="20"/>
                <w:szCs w:val="20"/>
                <w:lang w:val="en-US"/>
              </w:rPr>
            </w:pPr>
            <m:oMathPara>
              <m:oMathParaPr>
                <m:jc m:val="center"/>
              </m:oMathParaPr>
              <m:oMath>
                <m:sSub>
                  <m:sSubPr>
                    <m:ctrlPr>
                      <w:rPr>
                        <w:rFonts w:ascii="Cambria Math" w:eastAsia="Calibri" w:hAnsi="Cambria Math" w:cs="Helvetica-Bold"/>
                        <w:b/>
                        <w:sz w:val="20"/>
                        <w:szCs w:val="20"/>
                        <w:lang w:val="en-US" w:eastAsia="it-IT"/>
                      </w:rPr>
                    </m:ctrlPr>
                  </m:sSubPr>
                  <m:e>
                    <m:r>
                      <m:rPr>
                        <m:sty m:val="b"/>
                      </m:rPr>
                      <w:rPr>
                        <w:rFonts w:ascii="Cambria Math" w:eastAsia="Calibri" w:hAnsi="Cambria Math" w:cs="Helvetica-Bold"/>
                        <w:sz w:val="20"/>
                        <w:szCs w:val="20"/>
                        <w:lang w:val="en-US" w:eastAsia="it-IT"/>
                      </w:rPr>
                      <m:t>ILR</m:t>
                    </m:r>
                  </m:e>
                  <m:sub>
                    <m:r>
                      <m:rPr>
                        <m:sty m:val="b"/>
                      </m:rPr>
                      <w:rPr>
                        <w:rFonts w:ascii="Cambria Math" w:eastAsia="Calibri" w:hAnsi="Cambria Math" w:cs="Helvetica-Bold"/>
                        <w:sz w:val="20"/>
                        <w:szCs w:val="20"/>
                        <w:lang w:val="en-US" w:eastAsia="it-IT"/>
                      </w:rPr>
                      <m:t>IR</m:t>
                    </m:r>
                    <m:d>
                      <m:dPr>
                        <m:ctrlPr>
                          <w:rPr>
                            <w:rFonts w:ascii="Cambria Math" w:eastAsia="Calibri" w:hAnsi="Cambria Math" w:cs="Helvetica-Bold"/>
                            <w:b/>
                            <w:sz w:val="20"/>
                            <w:szCs w:val="20"/>
                            <w:lang w:val="en-US" w:eastAsia="it-IT"/>
                          </w:rPr>
                        </m:ctrlPr>
                      </m:dPr>
                      <m:e>
                        <m:r>
                          <m:rPr>
                            <m:sty m:val="b"/>
                          </m:rPr>
                          <w:rPr>
                            <w:rFonts w:ascii="Cambria Math" w:eastAsia="Calibri" w:hAnsi="Cambria Math" w:cs="Helvetica-Bold"/>
                            <w:sz w:val="20"/>
                            <w:szCs w:val="20"/>
                            <w:lang w:val="en-US" w:eastAsia="it-IT"/>
                          </w:rPr>
                          <m:t>k-1</m:t>
                        </m:r>
                      </m:e>
                    </m:d>
                    <m:r>
                      <m:rPr>
                        <m:sty m:val="b"/>
                      </m:rPr>
                      <w:rPr>
                        <w:rFonts w:ascii="Cambria Math" w:eastAsia="Calibri" w:hAnsi="Cambria Math" w:cs="Helvetica-Bold"/>
                        <w:sz w:val="20"/>
                        <w:szCs w:val="20"/>
                        <w:lang w:val="en-US" w:eastAsia="it-IT"/>
                      </w:rPr>
                      <m:t>,IR(k)</m:t>
                    </m:r>
                  </m:sub>
                </m:sSub>
              </m:oMath>
            </m:oMathPara>
          </w:p>
        </w:tc>
        <w:tc>
          <w:tcPr>
            <w:tcW w:w="7278" w:type="dxa"/>
          </w:tcPr>
          <w:p w14:paraId="472DB4C0" w14:textId="77777777" w:rsidR="00E5588C" w:rsidRPr="000D7A90" w:rsidRDefault="00993D62" w:rsidP="00983D8D">
            <w:pPr>
              <w:keepNext/>
              <w:widowControl w:val="0"/>
              <w:autoSpaceDE w:val="0"/>
              <w:autoSpaceDN w:val="0"/>
              <w:adjustRightInd w:val="0"/>
              <w:spacing w:after="120" w:line="260" w:lineRule="exact"/>
              <w:jc w:val="both"/>
              <w:outlineLvl w:val="3"/>
              <w:rPr>
                <w:rFonts w:eastAsia="Calibri" w:cs="Arial"/>
                <w:sz w:val="20"/>
                <w:szCs w:val="20"/>
                <w:lang w:val="en-US" w:eastAsia="it-IT"/>
              </w:rPr>
            </w:pPr>
            <w:r w:rsidRPr="000D7A90" w:rsidDel="007C1EAE">
              <w:rPr>
                <w:rFonts w:eastAsia="Calibri" w:cs="Arial"/>
                <w:sz w:val="20"/>
                <w:szCs w:val="20"/>
                <w:lang w:val="en-US" w:eastAsia="it-IT"/>
              </w:rPr>
              <w:t>m</w:t>
            </w:r>
            <w:r w:rsidR="00E5588C" w:rsidRPr="000D7A90" w:rsidDel="007C1EAE">
              <w:rPr>
                <w:rFonts w:eastAsia="Calibri" w:cs="Arial"/>
                <w:sz w:val="20"/>
                <w:szCs w:val="20"/>
                <w:lang w:val="en-US" w:eastAsia="it-IT"/>
              </w:rPr>
              <w:t>eans the Intraday Leveraged Return between IR(k-1) and IR(k), calculated as follows:</w:t>
            </w:r>
          </w:p>
          <w:p w14:paraId="3F7BF2CE" w14:textId="77777777" w:rsidR="00E5588C" w:rsidRPr="000D7A90" w:rsidRDefault="0053286E" w:rsidP="00F14619">
            <w:pPr>
              <w:spacing w:before="100" w:beforeAutospacing="1" w:after="120" w:line="260" w:lineRule="exact"/>
              <w:jc w:val="both"/>
              <w:rPr>
                <w:rFonts w:cs="Arial"/>
                <w:bCs/>
                <w:sz w:val="20"/>
                <w:szCs w:val="20"/>
                <w:lang w:val="en-US" w:eastAsia="it-IT"/>
              </w:rPr>
            </w:pPr>
            <m:oMath>
              <m:r>
                <m:rPr>
                  <m:sty m:val="p"/>
                </m:rPr>
                <w:rPr>
                  <w:rFonts w:ascii="Cambria Math" w:eastAsia="Calibri" w:hAnsi="Cambria Math" w:cs="Helvetica-Bold"/>
                  <w:sz w:val="20"/>
                  <w:szCs w:val="20"/>
                  <w:lang w:val="en-US" w:eastAsia="it-IT"/>
                </w:rPr>
                <m:t>I</m:t>
              </m:r>
              <m:sSub>
                <m:sSubPr>
                  <m:ctrlPr>
                    <w:rPr>
                      <w:rFonts w:ascii="Cambria Math" w:eastAsia="Calibri" w:hAnsi="Cambria Math" w:cs="Helvetica-Bold"/>
                      <w:sz w:val="20"/>
                      <w:szCs w:val="20"/>
                      <w:lang w:val="en-US" w:eastAsia="it-IT"/>
                    </w:rPr>
                  </m:ctrlPr>
                </m:sSubPr>
                <m:e>
                  <m:r>
                    <m:rPr>
                      <m:sty m:val="p"/>
                    </m:rPr>
                    <w:rPr>
                      <w:rFonts w:ascii="Cambria Math" w:eastAsia="Calibri" w:hAnsi="Cambria Math" w:cs="Helvetica-Bold"/>
                      <w:sz w:val="20"/>
                      <w:szCs w:val="20"/>
                      <w:lang w:val="en-US" w:eastAsia="it-IT"/>
                    </w:rPr>
                    <m:t>LR</m:t>
                  </m:r>
                </m:e>
                <m:sub>
                  <m:r>
                    <m:rPr>
                      <m:sty m:val="p"/>
                    </m:rPr>
                    <w:rPr>
                      <w:rFonts w:ascii="Cambria Math" w:eastAsia="Calibri" w:hAnsi="Cambria Math" w:cs="Helvetica-Bold"/>
                      <w:sz w:val="20"/>
                      <w:szCs w:val="20"/>
                      <w:lang w:val="en-US" w:eastAsia="it-IT"/>
                    </w:rPr>
                    <m:t>IR(k-1),IR(k)</m:t>
                  </m:r>
                </m:sub>
              </m:sSub>
              <m:r>
                <m:rPr>
                  <m:sty m:val="p"/>
                </m:rPr>
                <w:rPr>
                  <w:rFonts w:ascii="Cambria Math" w:eastAsia="Calibri" w:hAnsi="Cambria Math" w:cs="Helvetica-Bold"/>
                  <w:sz w:val="20"/>
                  <w:szCs w:val="20"/>
                  <w:lang w:val="en-US" w:eastAsia="it-IT"/>
                </w:rPr>
                <m:t xml:space="preserve">=Leverage × </m:t>
              </m:r>
              <m:d>
                <m:dPr>
                  <m:ctrlPr>
                    <w:rPr>
                      <w:rFonts w:ascii="Cambria Math" w:eastAsia="Calibri" w:hAnsi="Cambria Math" w:cs="Helvetica-Bold"/>
                      <w:bCs/>
                      <w:sz w:val="20"/>
                      <w:szCs w:val="20"/>
                      <w:lang w:val="en-US" w:eastAsia="it-IT"/>
                    </w:rPr>
                  </m:ctrlPr>
                </m:dPr>
                <m:e>
                  <m:f>
                    <m:fPr>
                      <m:ctrlPr>
                        <w:rPr>
                          <w:rFonts w:ascii="Cambria Math" w:eastAsia="Calibri" w:hAnsi="Cambria Math" w:cs="Helvetica-Bold"/>
                          <w:bCs/>
                          <w:sz w:val="20"/>
                          <w:szCs w:val="20"/>
                          <w:lang w:val="en-US" w:eastAsia="it-IT"/>
                        </w:rPr>
                      </m:ctrlPr>
                    </m:fPr>
                    <m:num>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IS</m:t>
                          </m:r>
                        </m:e>
                        <m:sub>
                          <m:r>
                            <m:rPr>
                              <m:sty m:val="p"/>
                            </m:rPr>
                            <w:rPr>
                              <w:rFonts w:ascii="Cambria Math" w:eastAsia="Calibri" w:hAnsi="Cambria Math" w:cs="Helvetica-Bold"/>
                              <w:sz w:val="20"/>
                              <w:szCs w:val="20"/>
                              <w:lang w:val="en-US" w:eastAsia="it-IT"/>
                            </w:rPr>
                            <m:t>IR(k)</m:t>
                          </m:r>
                        </m:sub>
                      </m:sSub>
                    </m:num>
                    <m:den>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IS</m:t>
                          </m:r>
                        </m:e>
                        <m:sub>
                          <m:r>
                            <m:rPr>
                              <m:sty m:val="p"/>
                            </m:rPr>
                            <w:rPr>
                              <w:rFonts w:ascii="Cambria Math" w:eastAsia="Calibri" w:hAnsi="Cambria Math" w:cs="Helvetica-Bold"/>
                              <w:sz w:val="20"/>
                              <w:szCs w:val="20"/>
                              <w:lang w:val="en-US" w:eastAsia="it-IT"/>
                            </w:rPr>
                            <m:t>IR(k-1)</m:t>
                          </m:r>
                        </m:sub>
                      </m:sSub>
                    </m:den>
                  </m:f>
                  <m:r>
                    <m:rPr>
                      <m:sty m:val="p"/>
                    </m:rPr>
                    <w:rPr>
                      <w:rFonts w:ascii="Cambria Math" w:eastAsia="Calibri" w:hAnsi="Cambria Math" w:cs="Helvetica-Bold"/>
                      <w:sz w:val="20"/>
                      <w:szCs w:val="20"/>
                      <w:lang w:val="en-US" w:eastAsia="it-IT"/>
                    </w:rPr>
                    <m:t>-1</m:t>
                  </m:r>
                </m:e>
              </m:d>
            </m:oMath>
            <w:r w:rsidR="00E5588C" w:rsidRPr="000D7A90" w:rsidDel="007C1EAE">
              <w:rPr>
                <w:rFonts w:cs="Arial"/>
                <w:bCs/>
                <w:sz w:val="20"/>
                <w:szCs w:val="20"/>
                <w:lang w:val="en-US" w:eastAsia="it-IT"/>
              </w:rPr>
              <w:t xml:space="preserve">  </w:t>
            </w:r>
          </w:p>
          <w:p w14:paraId="111EA680" w14:textId="77777777" w:rsidR="00E5588C" w:rsidRPr="000D7A90" w:rsidDel="007C1EAE" w:rsidRDefault="00E5588C" w:rsidP="00044249">
            <w:pPr>
              <w:spacing w:after="120" w:line="260" w:lineRule="exact"/>
              <w:ind w:left="44"/>
              <w:jc w:val="both"/>
              <w:rPr>
                <w:rFonts w:cs="Arial"/>
                <w:color w:val="000000"/>
                <w:sz w:val="20"/>
                <w:szCs w:val="20"/>
                <w:lang w:val="en-US"/>
              </w:rPr>
            </w:pPr>
          </w:p>
        </w:tc>
      </w:tr>
      <w:tr w:rsidR="00E5588C" w:rsidRPr="000D7A90" w:rsidDel="007C1EAE" w14:paraId="210682C3" w14:textId="77777777" w:rsidTr="00B56905">
        <w:tc>
          <w:tcPr>
            <w:tcW w:w="3792" w:type="dxa"/>
          </w:tcPr>
          <w:p w14:paraId="1D161822" w14:textId="77777777" w:rsidR="00E5588C" w:rsidRPr="000D7A90" w:rsidDel="007C1EAE" w:rsidRDefault="00C17CDA" w:rsidP="00022CEA">
            <w:pPr>
              <w:spacing w:after="120" w:line="260" w:lineRule="exact"/>
              <w:jc w:val="center"/>
              <w:rPr>
                <w:rFonts w:cs="Arial"/>
                <w:b/>
                <w:color w:val="000000"/>
                <w:sz w:val="20"/>
                <w:szCs w:val="20"/>
                <w:lang w:val="en-US"/>
              </w:rPr>
            </w:pPr>
            <m:oMathPara>
              <m:oMath>
                <m:sSub>
                  <m:sSubPr>
                    <m:ctrlPr>
                      <w:rPr>
                        <w:rFonts w:ascii="Cambria Math" w:eastAsia="Calibri" w:hAnsi="Cambria Math" w:cs="Helvetica-Bold"/>
                        <w:b/>
                        <w:sz w:val="20"/>
                        <w:szCs w:val="20"/>
                        <w:lang w:val="en-US" w:eastAsia="it-IT"/>
                      </w:rPr>
                    </m:ctrlPr>
                  </m:sSubPr>
                  <m:e>
                    <m:r>
                      <m:rPr>
                        <m:sty m:val="b"/>
                      </m:rPr>
                      <w:rPr>
                        <w:rFonts w:ascii="Cambria Math" w:eastAsia="Calibri" w:hAnsi="Cambria Math" w:cs="Helvetica-Bold"/>
                        <w:sz w:val="20"/>
                        <w:szCs w:val="20"/>
                        <w:lang w:val="en-US" w:eastAsia="it-IT"/>
                      </w:rPr>
                      <m:t>IRC</m:t>
                    </m:r>
                  </m:e>
                  <m:sub>
                    <m:r>
                      <m:rPr>
                        <m:sty m:val="b"/>
                      </m:rPr>
                      <w:rPr>
                        <w:rFonts w:ascii="Cambria Math" w:eastAsia="Calibri" w:hAnsi="Cambria Math" w:cs="Helvetica-Bold"/>
                        <w:sz w:val="20"/>
                        <w:szCs w:val="20"/>
                        <w:lang w:val="en-US" w:eastAsia="it-IT"/>
                      </w:rPr>
                      <m:t>IR(k-1),IR(k)</m:t>
                    </m:r>
                  </m:sub>
                </m:sSub>
              </m:oMath>
            </m:oMathPara>
          </w:p>
        </w:tc>
        <w:tc>
          <w:tcPr>
            <w:tcW w:w="7278" w:type="dxa"/>
          </w:tcPr>
          <w:p w14:paraId="73A88B51" w14:textId="77777777" w:rsidR="00E5588C" w:rsidRPr="000D7A90" w:rsidRDefault="00993D62" w:rsidP="00044249">
            <w:pPr>
              <w:spacing w:before="120" w:after="120"/>
              <w:jc w:val="both"/>
              <w:rPr>
                <w:rFonts w:eastAsia="Calibri" w:cs="Arial"/>
                <w:sz w:val="20"/>
                <w:szCs w:val="20"/>
                <w:lang w:val="en-US" w:eastAsia="it-IT"/>
              </w:rPr>
            </w:pPr>
            <w:r w:rsidRPr="000D7A90" w:rsidDel="007C1EAE">
              <w:rPr>
                <w:rFonts w:eastAsia="Calibri" w:cs="Arial"/>
                <w:sz w:val="20"/>
                <w:szCs w:val="20"/>
                <w:lang w:val="en-US" w:eastAsia="it-IT"/>
              </w:rPr>
              <w:t>m</w:t>
            </w:r>
            <w:r w:rsidR="00E5588C" w:rsidRPr="000D7A90" w:rsidDel="007C1EAE">
              <w:rPr>
                <w:rFonts w:eastAsia="Calibri" w:cs="Arial"/>
                <w:sz w:val="20"/>
                <w:szCs w:val="20"/>
                <w:lang w:val="en-US" w:eastAsia="it-IT"/>
              </w:rPr>
              <w:t xml:space="preserve">eans the Intraday Rebalancing Cost of the </w:t>
            </w:r>
            <w:r w:rsidR="00A0716A" w:rsidRPr="000D7A90">
              <w:rPr>
                <w:rFonts w:eastAsia="Calibri" w:cs="Arial"/>
                <w:sz w:val="20"/>
                <w:szCs w:val="20"/>
                <w:lang w:val="en-US" w:eastAsia="it-IT"/>
              </w:rPr>
              <w:t>L</w:t>
            </w:r>
            <w:r w:rsidR="00E5588C" w:rsidRPr="000D7A90" w:rsidDel="007C1EAE">
              <w:rPr>
                <w:rFonts w:eastAsia="Calibri" w:cs="Arial"/>
                <w:sz w:val="20"/>
                <w:szCs w:val="20"/>
                <w:lang w:val="en-US" w:eastAsia="it-IT"/>
              </w:rPr>
              <w:t xml:space="preserve">everage </w:t>
            </w:r>
            <w:r w:rsidR="00A0716A" w:rsidRPr="000D7A90">
              <w:rPr>
                <w:rFonts w:cs="Arial"/>
                <w:color w:val="000000"/>
                <w:sz w:val="20"/>
                <w:szCs w:val="20"/>
                <w:lang w:val="en-US"/>
              </w:rPr>
              <w:t>Inverse</w:t>
            </w:r>
            <w:r w:rsidR="006C4DBC">
              <w:rPr>
                <w:rFonts w:cs="Arial"/>
                <w:color w:val="000000"/>
                <w:sz w:val="20"/>
                <w:szCs w:val="20"/>
                <w:lang w:val="en-US"/>
              </w:rPr>
              <w:t xml:space="preserve"> </w:t>
            </w:r>
            <w:r w:rsidR="00A0716A" w:rsidRPr="000D7A90">
              <w:rPr>
                <w:rFonts w:eastAsia="Calibri" w:cs="Arial"/>
                <w:sz w:val="20"/>
                <w:szCs w:val="20"/>
                <w:lang w:val="en-US" w:eastAsia="it-IT"/>
              </w:rPr>
              <w:t>S</w:t>
            </w:r>
            <w:r w:rsidR="00E5588C" w:rsidRPr="000D7A90" w:rsidDel="007C1EAE">
              <w:rPr>
                <w:rFonts w:eastAsia="Calibri" w:cs="Arial"/>
                <w:sz w:val="20"/>
                <w:szCs w:val="20"/>
                <w:lang w:val="en-US" w:eastAsia="it-IT"/>
              </w:rPr>
              <w:t>trategy in respect of IR(k) on a given Intraday Restrike Date, calculated as follows :</w:t>
            </w:r>
          </w:p>
          <w:p w14:paraId="23F5A0C2" w14:textId="77777777" w:rsidR="00E5588C" w:rsidRPr="000D7A90" w:rsidRDefault="00C17CDA" w:rsidP="00044249">
            <w:pPr>
              <w:spacing w:before="120" w:after="120"/>
              <w:jc w:val="both"/>
              <w:rPr>
                <w:rFonts w:ascii="Cambria Math" w:eastAsia="Calibri" w:hAnsi="Cambria Math" w:cs="Helvetica-Bold"/>
                <w:bCs/>
                <w:sz w:val="20"/>
                <w:szCs w:val="20"/>
                <w:lang w:val="en-US" w:eastAsia="it-IT"/>
              </w:rPr>
            </w:pPr>
            <m:oMathPara>
              <m:oMath>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IRC</m:t>
                    </m:r>
                  </m:e>
                  <m:sub>
                    <m:r>
                      <m:rPr>
                        <m:sty m:val="p"/>
                      </m:rPr>
                      <w:rPr>
                        <w:rFonts w:ascii="Cambria Math" w:eastAsia="Calibri" w:hAnsi="Cambria Math" w:cs="Helvetica-Bold"/>
                        <w:sz w:val="20"/>
                        <w:szCs w:val="20"/>
                        <w:lang w:val="en-US" w:eastAsia="it-IT"/>
                      </w:rPr>
                      <m:t>IR(k-1),IR(k)</m:t>
                    </m:r>
                  </m:sub>
                </m:sSub>
                <m:r>
                  <m:rPr>
                    <m:sty m:val="p"/>
                  </m:rPr>
                  <w:rPr>
                    <w:rFonts w:ascii="Cambria Math" w:eastAsia="Calibri" w:hAnsi="Cambria Math" w:cs="Helvetica-Bold"/>
                    <w:sz w:val="20"/>
                    <w:szCs w:val="20"/>
                    <w:lang w:val="en-US" w:eastAsia="it-IT"/>
                  </w:rPr>
                  <m:t>= Leverage ×</m:t>
                </m:r>
                <m:d>
                  <m:dPr>
                    <m:ctrlPr>
                      <w:rPr>
                        <w:rFonts w:ascii="Cambria Math" w:eastAsia="Calibri" w:hAnsi="Cambria Math" w:cs="Helvetica-Bold"/>
                        <w:bCs/>
                        <w:sz w:val="20"/>
                        <w:szCs w:val="20"/>
                        <w:lang w:val="en-US" w:eastAsia="it-IT"/>
                      </w:rPr>
                    </m:ctrlPr>
                  </m:dPr>
                  <m:e>
                    <m:r>
                      <m:rPr>
                        <m:sty m:val="p"/>
                      </m:rPr>
                      <w:rPr>
                        <w:rFonts w:ascii="Cambria Math" w:eastAsia="Calibri" w:hAnsi="Cambria Math" w:cs="Helvetica-Bold"/>
                        <w:sz w:val="20"/>
                        <w:szCs w:val="20"/>
                        <w:lang w:val="en-US" w:eastAsia="it-IT"/>
                      </w:rPr>
                      <m:t>Leverage-1</m:t>
                    </m:r>
                  </m:e>
                </m:d>
                <m:r>
                  <m:rPr>
                    <m:sty m:val="p"/>
                  </m:rPr>
                  <w:rPr>
                    <w:rFonts w:ascii="Cambria Math" w:eastAsia="Calibri" w:hAnsi="Cambria Math" w:cs="Helvetica-Bold"/>
                    <w:sz w:val="20"/>
                    <w:szCs w:val="20"/>
                    <w:lang w:val="en-US" w:eastAsia="it-IT"/>
                  </w:rPr>
                  <m:t>×</m:t>
                </m:r>
                <m:d>
                  <m:dPr>
                    <m:ctrlPr>
                      <w:rPr>
                        <w:rFonts w:ascii="Cambria Math" w:eastAsia="Calibri" w:hAnsi="Cambria Math" w:cs="Helvetica-Bold"/>
                        <w:bCs/>
                        <w:sz w:val="20"/>
                        <w:szCs w:val="20"/>
                        <w:lang w:val="en-US" w:eastAsia="it-IT"/>
                      </w:rPr>
                    </m:ctrlPr>
                  </m:dPr>
                  <m:e>
                    <m:d>
                      <m:dPr>
                        <m:begChr m:val="|"/>
                        <m:endChr m:val="|"/>
                        <m:ctrlPr>
                          <w:rPr>
                            <w:rFonts w:ascii="Cambria Math" w:eastAsia="Calibri" w:hAnsi="Cambria Math" w:cs="Helvetica-Bold"/>
                            <w:bCs/>
                            <w:sz w:val="20"/>
                            <w:szCs w:val="20"/>
                            <w:lang w:val="en-US" w:eastAsia="it-IT"/>
                          </w:rPr>
                        </m:ctrlPr>
                      </m:dPr>
                      <m:e>
                        <m:f>
                          <m:fPr>
                            <m:ctrlPr>
                              <w:rPr>
                                <w:rFonts w:ascii="Cambria Math" w:eastAsia="Calibri" w:hAnsi="Cambria Math" w:cs="Helvetica-Bold"/>
                                <w:bCs/>
                                <w:sz w:val="20"/>
                                <w:szCs w:val="20"/>
                                <w:lang w:val="en-US" w:eastAsia="it-IT"/>
                              </w:rPr>
                            </m:ctrlPr>
                          </m:fPr>
                          <m:num>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IS</m:t>
                                </m:r>
                              </m:e>
                              <m:sub>
                                <m:r>
                                  <m:rPr>
                                    <m:sty m:val="p"/>
                                  </m:rPr>
                                  <w:rPr>
                                    <w:rFonts w:ascii="Cambria Math" w:eastAsia="Calibri" w:hAnsi="Cambria Math" w:cs="Helvetica-Bold"/>
                                    <w:sz w:val="20"/>
                                    <w:szCs w:val="20"/>
                                    <w:lang w:val="en-US" w:eastAsia="it-IT"/>
                                  </w:rPr>
                                  <m:t>IR(k)</m:t>
                                </m:r>
                              </m:sub>
                            </m:sSub>
                          </m:num>
                          <m:den>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IS</m:t>
                                </m:r>
                              </m:e>
                              <m:sub>
                                <m:r>
                                  <m:rPr>
                                    <m:sty m:val="p"/>
                                  </m:rPr>
                                  <w:rPr>
                                    <w:rFonts w:ascii="Cambria Math" w:eastAsia="Calibri" w:hAnsi="Cambria Math" w:cs="Helvetica-Bold"/>
                                    <w:sz w:val="20"/>
                                    <w:szCs w:val="20"/>
                                    <w:lang w:val="en-US" w:eastAsia="it-IT"/>
                                  </w:rPr>
                                  <m:t>IR(k-1)</m:t>
                                </m:r>
                              </m:sub>
                            </m:sSub>
                          </m:den>
                        </m:f>
                        <m:r>
                          <m:rPr>
                            <m:sty m:val="p"/>
                          </m:rPr>
                          <w:rPr>
                            <w:rFonts w:ascii="Cambria Math" w:eastAsia="Calibri" w:hAnsi="Cambria Math" w:cs="Helvetica-Bold"/>
                            <w:sz w:val="20"/>
                            <w:szCs w:val="20"/>
                            <w:lang w:val="en-US" w:eastAsia="it-IT"/>
                          </w:rPr>
                          <m:t>-1</m:t>
                        </m:r>
                      </m:e>
                    </m:d>
                  </m:e>
                </m:d>
                <m:r>
                  <m:rPr>
                    <m:sty m:val="p"/>
                  </m:rPr>
                  <w:rPr>
                    <w:rFonts w:ascii="Cambria Math" w:eastAsia="Calibri" w:hAnsi="Cambria Math" w:cs="Helvetica-Bold"/>
                    <w:sz w:val="20"/>
                    <w:szCs w:val="20"/>
                    <w:lang w:val="en-US" w:eastAsia="it-IT"/>
                  </w:rPr>
                  <m:t>×TC</m:t>
                </m:r>
              </m:oMath>
            </m:oMathPara>
          </w:p>
          <w:p w14:paraId="2124EF8C" w14:textId="77777777" w:rsidR="00044249" w:rsidRPr="000D7A90" w:rsidDel="007C1EAE" w:rsidRDefault="00044249" w:rsidP="00044249">
            <w:pPr>
              <w:spacing w:before="120" w:after="120"/>
              <w:ind w:left="44"/>
              <w:jc w:val="both"/>
              <w:rPr>
                <w:rFonts w:ascii="Cambria Math" w:eastAsia="Calibri" w:hAnsi="Cambria Math" w:cs="Helvetica-Bold"/>
                <w:bCs/>
                <w:sz w:val="20"/>
                <w:szCs w:val="20"/>
                <w:lang w:val="en-US" w:eastAsia="it-IT"/>
              </w:rPr>
            </w:pPr>
          </w:p>
        </w:tc>
      </w:tr>
      <w:tr w:rsidR="00E5588C" w:rsidRPr="000D7A90" w:rsidDel="007C1EAE" w14:paraId="2268FB02" w14:textId="77777777" w:rsidTr="00B56905">
        <w:tc>
          <w:tcPr>
            <w:tcW w:w="3792" w:type="dxa"/>
          </w:tcPr>
          <w:p w14:paraId="11D32F76" w14:textId="77777777" w:rsidR="00E5588C" w:rsidRPr="00D320B8" w:rsidDel="007C1EAE" w:rsidRDefault="00C17CDA" w:rsidP="00FA3CC8">
            <w:pPr>
              <w:spacing w:after="120" w:line="260" w:lineRule="exact"/>
              <w:jc w:val="center"/>
              <w:rPr>
                <w:rFonts w:cs="Arial"/>
                <w:b/>
                <w:bCs/>
                <w:sz w:val="20"/>
                <w:szCs w:val="20"/>
                <w:lang w:val="en-US" w:eastAsia="it-IT"/>
              </w:rPr>
            </w:pPr>
            <m:oMathPara>
              <m:oMath>
                <m:sSub>
                  <m:sSubPr>
                    <m:ctrlPr>
                      <w:rPr>
                        <w:rFonts w:ascii="Cambria Math" w:eastAsia="Calibri" w:hAnsi="Cambria Math" w:cs="Helvetica-Bold"/>
                        <w:b/>
                        <w:bCs/>
                        <w:sz w:val="20"/>
                        <w:szCs w:val="20"/>
                        <w:lang w:val="en-US" w:eastAsia="it-IT"/>
                      </w:rPr>
                    </m:ctrlPr>
                  </m:sSubPr>
                  <m:e>
                    <m:r>
                      <m:rPr>
                        <m:sty m:val="b"/>
                      </m:rPr>
                      <w:rPr>
                        <w:rFonts w:ascii="Cambria Math" w:eastAsia="Calibri" w:hAnsi="Cambria Math" w:cs="Helvetica-Bold"/>
                        <w:sz w:val="20"/>
                        <w:szCs w:val="20"/>
                        <w:lang w:val="en-US" w:eastAsia="it-IT"/>
                      </w:rPr>
                      <m:t>IS</m:t>
                    </m:r>
                  </m:e>
                  <m:sub>
                    <m:r>
                      <m:rPr>
                        <m:sty m:val="b"/>
                      </m:rPr>
                      <w:rPr>
                        <w:rFonts w:ascii="Cambria Math" w:eastAsia="Calibri" w:hAnsi="Cambria Math" w:cs="Helvetica-Bold"/>
                        <w:sz w:val="20"/>
                        <w:szCs w:val="20"/>
                        <w:lang w:val="en-US" w:eastAsia="it-IT"/>
                      </w:rPr>
                      <m:t>IR(k)</m:t>
                    </m:r>
                  </m:sub>
                </m:sSub>
              </m:oMath>
            </m:oMathPara>
          </w:p>
        </w:tc>
        <w:tc>
          <w:tcPr>
            <w:tcW w:w="7278" w:type="dxa"/>
          </w:tcPr>
          <w:p w14:paraId="6DD07351" w14:textId="77777777" w:rsidR="00E5588C" w:rsidRPr="000D7A90" w:rsidDel="007C1EAE" w:rsidRDefault="00993D62" w:rsidP="00983D8D">
            <w:pPr>
              <w:spacing w:after="120" w:line="260" w:lineRule="exact"/>
              <w:ind w:left="44"/>
              <w:jc w:val="both"/>
              <w:rPr>
                <w:rFonts w:cs="Arial"/>
                <w:b/>
                <w:bCs/>
                <w:color w:val="000000"/>
                <w:sz w:val="20"/>
                <w:szCs w:val="20"/>
                <w:lang w:val="en-US"/>
              </w:rPr>
            </w:pPr>
            <w:r w:rsidRPr="000D7A90" w:rsidDel="007C1EAE">
              <w:rPr>
                <w:rFonts w:cs="Arial"/>
                <w:color w:val="000000"/>
                <w:sz w:val="20"/>
                <w:szCs w:val="20"/>
                <w:lang w:val="en-US"/>
              </w:rPr>
              <w:t>m</w:t>
            </w:r>
            <w:r w:rsidR="001A1B77" w:rsidRPr="000D7A90">
              <w:rPr>
                <w:rFonts w:cs="Arial"/>
                <w:color w:val="000000"/>
                <w:sz w:val="20"/>
                <w:szCs w:val="20"/>
                <w:lang w:val="en-US"/>
              </w:rPr>
              <w:t>eans the Underlying Stock</w:t>
            </w:r>
            <w:r w:rsidR="00E5588C" w:rsidRPr="000D7A90" w:rsidDel="007C1EAE">
              <w:rPr>
                <w:rFonts w:cs="Arial"/>
                <w:color w:val="000000"/>
                <w:sz w:val="20"/>
                <w:szCs w:val="20"/>
                <w:lang w:val="en-US"/>
              </w:rPr>
              <w:t xml:space="preserve"> Price in respect of IR(k) computed as follows:</w:t>
            </w:r>
          </w:p>
          <w:p w14:paraId="70E4E621" w14:textId="77777777" w:rsidR="00E5588C" w:rsidRPr="000D7A90" w:rsidDel="007C1EAE" w:rsidRDefault="00E5588C" w:rsidP="00983D8D">
            <w:pPr>
              <w:spacing w:after="120" w:line="260" w:lineRule="exact"/>
              <w:ind w:left="44"/>
              <w:jc w:val="both"/>
              <w:rPr>
                <w:rFonts w:cs="Arial"/>
                <w:b/>
                <w:bCs/>
                <w:color w:val="000000"/>
                <w:sz w:val="20"/>
                <w:szCs w:val="20"/>
                <w:lang w:val="en-US"/>
              </w:rPr>
            </w:pPr>
            <w:r w:rsidRPr="000D7A90" w:rsidDel="007C1EAE">
              <w:rPr>
                <w:rFonts w:cs="Arial"/>
                <w:color w:val="000000"/>
                <w:sz w:val="20"/>
                <w:szCs w:val="20"/>
                <w:lang w:val="en-US"/>
              </w:rPr>
              <w:t>(1) for k=0</w:t>
            </w:r>
          </w:p>
          <w:p w14:paraId="185D7BFF" w14:textId="77777777" w:rsidR="001A1B77" w:rsidRPr="000D7A90" w:rsidDel="007C1EAE" w:rsidRDefault="00C17CDA" w:rsidP="001A1B77">
            <w:pPr>
              <w:spacing w:after="120" w:line="260" w:lineRule="exact"/>
              <w:ind w:left="44"/>
              <w:jc w:val="both"/>
              <w:rPr>
                <w:rFonts w:cs="Arial"/>
                <w:color w:val="000000"/>
                <w:sz w:val="20"/>
                <w:szCs w:val="20"/>
                <w:lang w:val="en-US"/>
              </w:rPr>
            </w:pPr>
            <m:oMathPara>
              <m:oMathParaPr>
                <m:jc m:val="left"/>
              </m:oMathParaPr>
              <m:oMath>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IS</m:t>
                    </m:r>
                  </m:e>
                  <m:sub>
                    <m:r>
                      <m:rPr>
                        <m:sty m:val="p"/>
                      </m:rPr>
                      <w:rPr>
                        <w:rFonts w:ascii="Cambria Math" w:eastAsia="Calibri" w:hAnsi="Cambria Math" w:cs="Helvetica-Bold"/>
                        <w:sz w:val="20"/>
                        <w:szCs w:val="20"/>
                        <w:lang w:val="en-US" w:eastAsia="it-IT"/>
                      </w:rPr>
                      <m:t>IR</m:t>
                    </m:r>
                    <m:d>
                      <m:dPr>
                        <m:ctrlPr>
                          <w:rPr>
                            <w:rFonts w:ascii="Cambria Math" w:eastAsia="Calibri" w:hAnsi="Cambria Math" w:cs="Helvetica-Bold"/>
                            <w:sz w:val="20"/>
                            <w:szCs w:val="20"/>
                            <w:lang w:val="en-US" w:eastAsia="it-IT"/>
                          </w:rPr>
                        </m:ctrlPr>
                      </m:dPr>
                      <m:e>
                        <m:r>
                          <m:rPr>
                            <m:sty m:val="p"/>
                          </m:rPr>
                          <w:rPr>
                            <w:rFonts w:ascii="Cambria Math" w:eastAsia="Calibri" w:hAnsi="Cambria Math" w:cs="Helvetica-Bold"/>
                            <w:sz w:val="20"/>
                            <w:szCs w:val="20"/>
                            <w:lang w:val="en-US" w:eastAsia="it-IT"/>
                          </w:rPr>
                          <m:t>0</m:t>
                        </m:r>
                      </m:e>
                    </m:d>
                  </m:sub>
                </m:sSub>
                <m:r>
                  <m:rPr>
                    <m:sty m:val="p"/>
                  </m:rPr>
                  <w:rPr>
                    <w:rFonts w:ascii="Cambria Math" w:eastAsia="Calibri" w:hAnsi="Cambria Math" w:cs="Helvetica-Bold"/>
                    <w:sz w:val="20"/>
                    <w:szCs w:val="20"/>
                    <w:lang w:val="en-US" w:eastAsia="it-IT"/>
                  </w:rPr>
                  <m:t>=</m:t>
                </m:r>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S</m:t>
                    </m:r>
                  </m:e>
                  <m:sub>
                    <m:r>
                      <m:rPr>
                        <m:sty m:val="p"/>
                      </m:rPr>
                      <w:rPr>
                        <w:rFonts w:ascii="Cambria Math" w:eastAsia="Calibri" w:hAnsi="Cambria Math" w:cs="Helvetica-Bold"/>
                        <w:sz w:val="20"/>
                        <w:szCs w:val="20"/>
                        <w:lang w:val="en-US" w:eastAsia="it-IT"/>
                      </w:rPr>
                      <m:t>IRD-1</m:t>
                    </m:r>
                  </m:sub>
                </m:sSub>
                <m:r>
                  <m:rPr>
                    <m:sty m:val="p"/>
                  </m:rPr>
                  <w:rPr>
                    <w:rFonts w:ascii="Cambria Math" w:eastAsia="Calibri" w:hAnsi="Cambria Math" w:cs="Helvetica-Bold"/>
                    <w:sz w:val="20"/>
                    <w:szCs w:val="20"/>
                    <w:lang w:val="en-US" w:eastAsia="it-IT"/>
                  </w:rPr>
                  <m:t>×</m:t>
                </m:r>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Rfactor</m:t>
                    </m:r>
                  </m:e>
                  <m:sub>
                    <m:r>
                      <m:rPr>
                        <m:sty m:val="p"/>
                      </m:rPr>
                      <w:rPr>
                        <w:rFonts w:ascii="Cambria Math" w:eastAsia="Calibri" w:hAnsi="Cambria Math" w:cs="Helvetica-Bold"/>
                        <w:sz w:val="20"/>
                        <w:szCs w:val="20"/>
                        <w:lang w:val="en-US" w:eastAsia="it-IT"/>
                      </w:rPr>
                      <m:t>IRD</m:t>
                    </m:r>
                  </m:sub>
                </m:sSub>
              </m:oMath>
            </m:oMathPara>
          </w:p>
          <w:p w14:paraId="556AB0CA" w14:textId="77777777" w:rsidR="00E5588C" w:rsidRPr="000D7A90" w:rsidDel="007C1EAE" w:rsidRDefault="00E5588C" w:rsidP="00983D8D">
            <w:pPr>
              <w:spacing w:after="120" w:line="260" w:lineRule="exact"/>
              <w:ind w:left="44"/>
              <w:jc w:val="both"/>
              <w:rPr>
                <w:rFonts w:cs="Arial"/>
                <w:b/>
                <w:bCs/>
                <w:color w:val="000000"/>
                <w:sz w:val="20"/>
                <w:szCs w:val="20"/>
                <w:lang w:val="en-US"/>
              </w:rPr>
            </w:pPr>
            <w:r w:rsidRPr="000D7A90" w:rsidDel="007C1EAE">
              <w:rPr>
                <w:rFonts w:cs="Arial"/>
                <w:color w:val="000000"/>
                <w:sz w:val="20"/>
                <w:szCs w:val="20"/>
                <w:lang w:val="en-US"/>
              </w:rPr>
              <w:t>(2) for k=1 to n</w:t>
            </w:r>
          </w:p>
          <w:p w14:paraId="790D1656" w14:textId="77777777" w:rsidR="001A1B77" w:rsidRPr="000D7A90" w:rsidRDefault="001A1B77" w:rsidP="00983D8D">
            <w:pPr>
              <w:spacing w:after="120" w:line="260" w:lineRule="exact"/>
              <w:ind w:left="44"/>
              <w:jc w:val="both"/>
              <w:rPr>
                <w:rFonts w:cs="Arial"/>
                <w:sz w:val="20"/>
                <w:szCs w:val="20"/>
              </w:rPr>
            </w:pPr>
            <w:r w:rsidRPr="000D7A90">
              <w:rPr>
                <w:rFonts w:cs="Arial"/>
                <w:sz w:val="20"/>
                <w:szCs w:val="20"/>
              </w:rPr>
              <w:t xml:space="preserve">means </w:t>
            </w:r>
            <w:r w:rsidR="008B64F2">
              <w:rPr>
                <w:rFonts w:cs="Arial"/>
                <w:sz w:val="20"/>
                <w:szCs w:val="20"/>
              </w:rPr>
              <w:t>in respect of IR(k), the</w:t>
            </w:r>
            <w:r w:rsidR="00D320B8">
              <w:rPr>
                <w:rFonts w:cs="Arial"/>
                <w:sz w:val="20"/>
                <w:szCs w:val="20"/>
              </w:rPr>
              <w:t xml:space="preserve"> </w:t>
            </w:r>
            <w:r w:rsidR="008B64F2" w:rsidRPr="008B64F2">
              <w:rPr>
                <w:rFonts w:cs="Arial"/>
                <w:sz w:val="20"/>
                <w:szCs w:val="20"/>
              </w:rPr>
              <w:t xml:space="preserve">highest </w:t>
            </w:r>
            <w:r w:rsidRPr="008B64F2" w:rsidDel="007C1EAE">
              <w:rPr>
                <w:rFonts w:cs="Arial"/>
                <w:sz w:val="20"/>
                <w:szCs w:val="20"/>
              </w:rPr>
              <w:t xml:space="preserve">price </w:t>
            </w:r>
            <w:r w:rsidRPr="000D7A90" w:rsidDel="007C1EAE">
              <w:rPr>
                <w:rFonts w:cs="Arial"/>
                <w:sz w:val="20"/>
                <w:szCs w:val="20"/>
              </w:rPr>
              <w:t xml:space="preserve">of the </w:t>
            </w:r>
            <w:r w:rsidRPr="000D7A90">
              <w:rPr>
                <w:rFonts w:cs="Arial"/>
                <w:sz w:val="20"/>
                <w:szCs w:val="20"/>
              </w:rPr>
              <w:t>Underlying Stock</w:t>
            </w:r>
            <w:r w:rsidRPr="000D7A90" w:rsidDel="007C1EAE">
              <w:rPr>
                <w:rFonts w:cs="Arial"/>
                <w:sz w:val="20"/>
                <w:szCs w:val="20"/>
              </w:rPr>
              <w:t xml:space="preserve"> during the respective Intraday Restrike Observation Period</w:t>
            </w:r>
          </w:p>
          <w:p w14:paraId="061EE319" w14:textId="77777777" w:rsidR="00E5588C" w:rsidRPr="000D7A90" w:rsidDel="007C1EAE" w:rsidRDefault="00E5588C" w:rsidP="00983D8D">
            <w:pPr>
              <w:spacing w:after="120" w:line="260" w:lineRule="exact"/>
              <w:ind w:left="44"/>
              <w:jc w:val="both"/>
              <w:rPr>
                <w:rFonts w:cs="Arial"/>
                <w:b/>
                <w:bCs/>
                <w:color w:val="000000"/>
                <w:sz w:val="20"/>
                <w:szCs w:val="20"/>
                <w:lang w:val="en-US"/>
              </w:rPr>
            </w:pPr>
            <w:r w:rsidRPr="000D7A90" w:rsidDel="007C1EAE">
              <w:rPr>
                <w:rFonts w:cs="Arial"/>
                <w:color w:val="000000"/>
                <w:sz w:val="20"/>
                <w:szCs w:val="20"/>
                <w:lang w:val="en-US"/>
              </w:rPr>
              <w:t>(3) with respect to IR(C)</w:t>
            </w:r>
          </w:p>
          <w:p w14:paraId="69FAE150" w14:textId="77777777" w:rsidR="001A1B77" w:rsidRPr="000D7A90" w:rsidRDefault="00D320B8" w:rsidP="001A1B77">
            <w:pPr>
              <w:spacing w:after="120" w:line="260" w:lineRule="exact"/>
              <w:ind w:left="44"/>
              <w:jc w:val="both"/>
              <w:rPr>
                <w:rFonts w:cs="Arial"/>
                <w:bCs/>
                <w:sz w:val="20"/>
                <w:szCs w:val="20"/>
                <w:lang w:val="en-US" w:eastAsia="it-IT"/>
              </w:rPr>
            </w:pPr>
            <m:oMathPara>
              <m:oMathParaPr>
                <m:jc m:val="left"/>
              </m:oMathParaPr>
              <m:oMath>
                <m:r>
                  <m:rPr>
                    <m:sty m:val="p"/>
                  </m:rPr>
                  <w:rPr>
                    <w:rFonts w:ascii="Cambria Math" w:eastAsia="Calibri" w:hAnsi="Cambria Math" w:cs="Helvetica-Bold"/>
                    <w:sz w:val="20"/>
                    <w:szCs w:val="20"/>
                    <w:lang w:val="en-US" w:eastAsia="it-IT"/>
                  </w:rPr>
                  <m:t>I</m:t>
                </m:r>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S</m:t>
                    </m:r>
                  </m:e>
                  <m:sub>
                    <m:r>
                      <m:rPr>
                        <m:sty m:val="p"/>
                      </m:rPr>
                      <w:rPr>
                        <w:rFonts w:ascii="Cambria Math" w:eastAsia="Calibri" w:hAnsi="Cambria Math" w:cs="Helvetica-Bold"/>
                        <w:sz w:val="20"/>
                        <w:szCs w:val="20"/>
                        <w:lang w:val="en-US" w:eastAsia="it-IT"/>
                      </w:rPr>
                      <m:t>IR</m:t>
                    </m:r>
                    <m:d>
                      <m:dPr>
                        <m:ctrlPr>
                          <w:rPr>
                            <w:rFonts w:ascii="Cambria Math" w:eastAsia="Calibri" w:hAnsi="Cambria Math" w:cs="Helvetica-Bold"/>
                            <w:sz w:val="20"/>
                            <w:szCs w:val="20"/>
                            <w:lang w:val="en-US" w:eastAsia="it-IT"/>
                          </w:rPr>
                        </m:ctrlPr>
                      </m:dPr>
                      <m:e>
                        <m:r>
                          <m:rPr>
                            <m:sty m:val="p"/>
                          </m:rPr>
                          <w:rPr>
                            <w:rFonts w:ascii="Cambria Math" w:eastAsia="Calibri" w:hAnsi="Cambria Math" w:cs="Helvetica-Bold"/>
                            <w:sz w:val="20"/>
                            <w:szCs w:val="20"/>
                            <w:lang w:val="en-US" w:eastAsia="it-IT"/>
                          </w:rPr>
                          <m:t>C</m:t>
                        </m:r>
                      </m:e>
                    </m:d>
                  </m:sub>
                </m:sSub>
                <m:r>
                  <m:rPr>
                    <m:sty m:val="p"/>
                  </m:rPr>
                  <w:rPr>
                    <w:rFonts w:ascii="Cambria Math" w:eastAsia="Calibri" w:hAnsi="Cambria Math" w:cs="Helvetica-Bold"/>
                    <w:sz w:val="20"/>
                    <w:szCs w:val="20"/>
                    <w:lang w:val="en-US" w:eastAsia="it-IT"/>
                  </w:rPr>
                  <m:t>=</m:t>
                </m:r>
                <m:sSub>
                  <m:sSubPr>
                    <m:ctrlPr>
                      <w:rPr>
                        <w:rFonts w:ascii="Cambria Math" w:eastAsia="Calibri" w:hAnsi="Cambria Math" w:cs="Helvetica-Bold"/>
                        <w:bCs/>
                        <w:sz w:val="20"/>
                        <w:szCs w:val="20"/>
                        <w:lang w:val="en-US" w:eastAsia="it-IT"/>
                      </w:rPr>
                    </m:ctrlPr>
                  </m:sSubPr>
                  <m:e>
                    <m:r>
                      <m:rPr>
                        <m:sty m:val="p"/>
                      </m:rPr>
                      <w:rPr>
                        <w:rFonts w:ascii="Cambria Math" w:eastAsia="Calibri" w:hAnsi="Cambria Math" w:cs="Helvetica-Bold"/>
                        <w:sz w:val="20"/>
                        <w:szCs w:val="20"/>
                        <w:lang w:val="en-US" w:eastAsia="it-IT"/>
                      </w:rPr>
                      <m:t>S</m:t>
                    </m:r>
                  </m:e>
                  <m:sub>
                    <m:r>
                      <m:rPr>
                        <m:sty m:val="p"/>
                      </m:rPr>
                      <w:rPr>
                        <w:rFonts w:ascii="Cambria Math" w:eastAsia="Calibri" w:hAnsi="Cambria Math" w:cs="Helvetica-Bold"/>
                        <w:sz w:val="20"/>
                        <w:szCs w:val="20"/>
                        <w:lang w:val="en-US" w:eastAsia="it-IT"/>
                      </w:rPr>
                      <m:t>IRD</m:t>
                    </m:r>
                  </m:sub>
                </m:sSub>
              </m:oMath>
            </m:oMathPara>
          </w:p>
          <w:p w14:paraId="58A2B2D9" w14:textId="77777777" w:rsidR="001A1B77" w:rsidRPr="000D7A90" w:rsidRDefault="001A1B77" w:rsidP="001A1B77">
            <w:pPr>
              <w:spacing w:after="120" w:line="260" w:lineRule="exact"/>
              <w:ind w:left="44"/>
              <w:jc w:val="both"/>
              <w:rPr>
                <w:rFonts w:cs="Arial"/>
                <w:sz w:val="20"/>
                <w:szCs w:val="20"/>
              </w:rPr>
            </w:pPr>
          </w:p>
          <w:p w14:paraId="74B4012D" w14:textId="77777777" w:rsidR="00E5588C" w:rsidRPr="000D7A90" w:rsidRDefault="001A1B77" w:rsidP="00FA3CC8">
            <w:pPr>
              <w:spacing w:after="120" w:line="260" w:lineRule="exact"/>
              <w:ind w:left="44"/>
              <w:jc w:val="both"/>
              <w:rPr>
                <w:rFonts w:cs="Arial"/>
                <w:color w:val="000000"/>
                <w:sz w:val="20"/>
                <w:szCs w:val="20"/>
                <w:lang w:val="en-US"/>
              </w:rPr>
            </w:pPr>
            <w:r w:rsidRPr="000D7A90">
              <w:rPr>
                <w:rFonts w:cs="Arial"/>
                <w:sz w:val="20"/>
                <w:szCs w:val="20"/>
              </w:rPr>
              <w:t xml:space="preserve">In each case, </w:t>
            </w:r>
            <w:r w:rsidRPr="000D7A90" w:rsidDel="007C1EAE">
              <w:rPr>
                <w:rFonts w:cs="Arial"/>
                <w:sz w:val="20"/>
                <w:szCs w:val="20"/>
              </w:rPr>
              <w:t>subject to the adjustments and provisions of the Conditions</w:t>
            </w:r>
            <w:r w:rsidRPr="000D7A90">
              <w:rPr>
                <w:rFonts w:cs="Arial"/>
                <w:sz w:val="20"/>
                <w:szCs w:val="20"/>
              </w:rPr>
              <w:t>.</w:t>
            </w:r>
          </w:p>
          <w:p w14:paraId="389E0D17" w14:textId="77777777" w:rsidR="00FA3CC8" w:rsidRPr="000D7A90" w:rsidDel="007C1EAE" w:rsidRDefault="00FA3CC8" w:rsidP="00FA3CC8">
            <w:pPr>
              <w:spacing w:after="120" w:line="260" w:lineRule="exact"/>
              <w:ind w:left="44"/>
              <w:jc w:val="both"/>
              <w:rPr>
                <w:rFonts w:cs="Arial"/>
                <w:color w:val="000000"/>
                <w:sz w:val="20"/>
                <w:szCs w:val="20"/>
                <w:lang w:val="en-US"/>
              </w:rPr>
            </w:pPr>
          </w:p>
        </w:tc>
      </w:tr>
      <w:tr w:rsidR="001A1B77" w:rsidRPr="000D7A90" w:rsidDel="007C1EAE" w14:paraId="62F64055" w14:textId="77777777" w:rsidTr="00B56905">
        <w:tc>
          <w:tcPr>
            <w:tcW w:w="3792" w:type="dxa"/>
          </w:tcPr>
          <w:p w14:paraId="3072326D" w14:textId="77777777" w:rsidR="001A1B77" w:rsidRPr="000D7A90" w:rsidDel="007C1EAE" w:rsidRDefault="001A1B77" w:rsidP="00022CEA">
            <w:pPr>
              <w:spacing w:after="120" w:line="260" w:lineRule="exact"/>
              <w:jc w:val="center"/>
              <w:rPr>
                <w:rFonts w:cs="Arial"/>
                <w:b/>
                <w:color w:val="000000"/>
                <w:sz w:val="20"/>
                <w:szCs w:val="20"/>
                <w:lang w:val="en-US"/>
              </w:rPr>
            </w:pPr>
            <w:r w:rsidRPr="000D7A90" w:rsidDel="007C1EAE">
              <w:rPr>
                <w:rFonts w:cs="Arial"/>
                <w:b/>
                <w:color w:val="000000"/>
                <w:sz w:val="20"/>
                <w:szCs w:val="20"/>
                <w:lang w:val="en-US"/>
              </w:rPr>
              <w:t>IR(k)</w:t>
            </w:r>
          </w:p>
        </w:tc>
        <w:tc>
          <w:tcPr>
            <w:tcW w:w="7278" w:type="dxa"/>
          </w:tcPr>
          <w:p w14:paraId="28054A01" w14:textId="77777777" w:rsidR="001A1B77" w:rsidRPr="000D7A90" w:rsidDel="007C1EAE" w:rsidRDefault="001A1B77" w:rsidP="001A1B77">
            <w:pPr>
              <w:spacing w:after="120" w:line="260" w:lineRule="exact"/>
              <w:ind w:left="44"/>
              <w:jc w:val="both"/>
              <w:rPr>
                <w:rFonts w:cs="Arial"/>
                <w:b/>
                <w:bCs/>
                <w:color w:val="000000"/>
                <w:sz w:val="20"/>
                <w:szCs w:val="20"/>
                <w:lang w:val="en-US"/>
              </w:rPr>
            </w:pPr>
            <w:r w:rsidRPr="000D7A90" w:rsidDel="007C1EAE">
              <w:rPr>
                <w:rFonts w:cs="Arial"/>
                <w:color w:val="000000"/>
                <w:sz w:val="20"/>
                <w:szCs w:val="20"/>
                <w:lang w:val="en-US"/>
              </w:rPr>
              <w:t xml:space="preserve">For k=0, means the scheduled close for the Relevant Stock Exchange for the </w:t>
            </w:r>
            <w:r w:rsidRPr="000D7A90">
              <w:rPr>
                <w:rFonts w:cs="Arial"/>
                <w:color w:val="000000"/>
                <w:sz w:val="20"/>
                <w:szCs w:val="20"/>
                <w:lang w:val="en-US"/>
              </w:rPr>
              <w:t>Underlying Stock</w:t>
            </w:r>
            <w:r w:rsidRPr="000D7A90" w:rsidDel="007C1EAE">
              <w:rPr>
                <w:rFonts w:cs="Arial"/>
                <w:color w:val="000000"/>
                <w:sz w:val="20"/>
                <w:szCs w:val="20"/>
                <w:lang w:val="en-US"/>
              </w:rPr>
              <w:t xml:space="preserve"> (or any successor</w:t>
            </w:r>
            <w:r w:rsidRPr="000D7A90">
              <w:rPr>
                <w:rFonts w:cs="Arial"/>
                <w:color w:val="000000"/>
                <w:sz w:val="20"/>
                <w:szCs w:val="20"/>
                <w:lang w:val="en-US"/>
              </w:rPr>
              <w:t xml:space="preserve"> thereto) on the Observation Date</w:t>
            </w:r>
            <w:r w:rsidRPr="000D7A90" w:rsidDel="007C1EAE">
              <w:rPr>
                <w:rFonts w:cs="Arial"/>
                <w:color w:val="000000"/>
                <w:sz w:val="20"/>
                <w:szCs w:val="20"/>
                <w:lang w:val="en-US"/>
              </w:rPr>
              <w:t xml:space="preserve"> immediately preceding the relevant Intraday Restrike </w:t>
            </w:r>
            <w:proofErr w:type="gramStart"/>
            <w:r w:rsidRPr="000D7A90" w:rsidDel="007C1EAE">
              <w:rPr>
                <w:rFonts w:cs="Arial"/>
                <w:color w:val="000000"/>
                <w:sz w:val="20"/>
                <w:szCs w:val="20"/>
                <w:lang w:val="en-US"/>
              </w:rPr>
              <w:t>Date;</w:t>
            </w:r>
            <w:proofErr w:type="gramEnd"/>
          </w:p>
          <w:p w14:paraId="6DF4C9FF" w14:textId="77777777" w:rsidR="001A1B77" w:rsidRPr="000D7A90" w:rsidDel="007C1EAE" w:rsidRDefault="001A1B77" w:rsidP="001A1B77">
            <w:pPr>
              <w:spacing w:after="120" w:line="260" w:lineRule="exact"/>
              <w:ind w:left="44"/>
              <w:jc w:val="both"/>
              <w:rPr>
                <w:rFonts w:cs="Arial"/>
                <w:b/>
                <w:color w:val="000000"/>
                <w:sz w:val="20"/>
                <w:szCs w:val="20"/>
              </w:rPr>
            </w:pPr>
            <w:r w:rsidRPr="000D7A90" w:rsidDel="007C1EAE">
              <w:rPr>
                <w:rFonts w:cs="Arial"/>
                <w:color w:val="000000"/>
                <w:sz w:val="20"/>
                <w:szCs w:val="20"/>
                <w:lang w:val="en-US"/>
              </w:rPr>
              <w:t xml:space="preserve">For k=1 </w:t>
            </w:r>
            <w:proofErr w:type="spellStart"/>
            <w:r w:rsidRPr="000D7A90" w:rsidDel="007C1EAE">
              <w:rPr>
                <w:rFonts w:cs="Arial"/>
                <w:color w:val="000000"/>
                <w:sz w:val="20"/>
                <w:szCs w:val="20"/>
                <w:lang w:val="en-US"/>
              </w:rPr>
              <w:t>to n</w:t>
            </w:r>
            <w:proofErr w:type="spellEnd"/>
            <w:r w:rsidRPr="000D7A90" w:rsidDel="007C1EAE">
              <w:rPr>
                <w:rFonts w:cs="Arial"/>
                <w:color w:val="000000"/>
                <w:sz w:val="20"/>
                <w:szCs w:val="20"/>
                <w:lang w:val="en-US"/>
              </w:rPr>
              <w:t>, means the k</w:t>
            </w:r>
            <w:r w:rsidRPr="000D7A90" w:rsidDel="007C1EAE">
              <w:rPr>
                <w:rFonts w:cs="Arial"/>
                <w:color w:val="000000"/>
                <w:sz w:val="20"/>
                <w:szCs w:val="20"/>
                <w:vertAlign w:val="superscript"/>
                <w:lang w:val="en-US"/>
              </w:rPr>
              <w:t>th</w:t>
            </w:r>
            <w:r w:rsidRPr="000D7A90" w:rsidDel="007C1EAE">
              <w:rPr>
                <w:rFonts w:cs="Arial"/>
                <w:color w:val="000000"/>
                <w:sz w:val="20"/>
                <w:szCs w:val="20"/>
                <w:lang w:val="en-US"/>
              </w:rPr>
              <w:t xml:space="preserve"> Intraday Restrike Event on the relevant Intraday Restrike Date.</w:t>
            </w:r>
          </w:p>
        </w:tc>
      </w:tr>
      <w:tr w:rsidR="001A1B77" w:rsidRPr="000D7A90" w:rsidDel="007C1EAE" w14:paraId="3E1A94DB" w14:textId="77777777" w:rsidTr="00B56905">
        <w:tc>
          <w:tcPr>
            <w:tcW w:w="3792" w:type="dxa"/>
          </w:tcPr>
          <w:p w14:paraId="1C0EF118" w14:textId="77777777" w:rsidR="001A1B77" w:rsidRPr="000D7A90" w:rsidDel="007C1EAE" w:rsidRDefault="001A1B77" w:rsidP="001A1B77">
            <w:pPr>
              <w:spacing w:after="120" w:line="260" w:lineRule="exact"/>
              <w:jc w:val="center"/>
              <w:rPr>
                <w:rFonts w:cs="Arial"/>
                <w:b/>
                <w:color w:val="000000"/>
                <w:sz w:val="20"/>
                <w:szCs w:val="20"/>
                <w:lang w:val="en-US"/>
              </w:rPr>
            </w:pPr>
            <w:r w:rsidRPr="000D7A90" w:rsidDel="007C1EAE">
              <w:rPr>
                <w:rFonts w:cs="Arial"/>
                <w:b/>
                <w:color w:val="000000"/>
                <w:sz w:val="20"/>
                <w:szCs w:val="20"/>
                <w:lang w:val="en-US"/>
              </w:rPr>
              <w:t>IR(C)</w:t>
            </w:r>
          </w:p>
        </w:tc>
        <w:tc>
          <w:tcPr>
            <w:tcW w:w="7278" w:type="dxa"/>
          </w:tcPr>
          <w:p w14:paraId="0443F4FF" w14:textId="77777777" w:rsidR="001A1B77" w:rsidRPr="000D7A90" w:rsidDel="007C1EAE" w:rsidRDefault="001A1B77" w:rsidP="001A1B77">
            <w:pPr>
              <w:spacing w:after="120" w:line="260" w:lineRule="exact"/>
              <w:ind w:left="44"/>
              <w:jc w:val="both"/>
              <w:rPr>
                <w:rFonts w:cs="Arial"/>
                <w:color w:val="000000"/>
                <w:sz w:val="20"/>
                <w:szCs w:val="20"/>
                <w:lang w:val="en-US"/>
              </w:rPr>
            </w:pPr>
            <w:r w:rsidRPr="000D7A90" w:rsidDel="007C1EAE">
              <w:rPr>
                <w:rFonts w:cs="Arial"/>
                <w:color w:val="000000"/>
                <w:sz w:val="20"/>
                <w:szCs w:val="20"/>
                <w:lang w:val="en-US"/>
              </w:rPr>
              <w:t xml:space="preserve">means the scheduled close for the Relevant Stock Exchange for the </w:t>
            </w:r>
            <w:r w:rsidRPr="000D7A90">
              <w:rPr>
                <w:rFonts w:cs="Arial"/>
                <w:color w:val="000000"/>
                <w:sz w:val="20"/>
                <w:szCs w:val="20"/>
                <w:lang w:val="en-US"/>
              </w:rPr>
              <w:t>Underlying Stock</w:t>
            </w:r>
            <w:r w:rsidRPr="000D7A90" w:rsidDel="007C1EAE">
              <w:rPr>
                <w:rFonts w:cs="Arial"/>
                <w:color w:val="000000"/>
                <w:sz w:val="20"/>
                <w:szCs w:val="20"/>
                <w:lang w:val="en-US"/>
              </w:rPr>
              <w:t xml:space="preserve"> (or any successor thereto) on the relevant Intraday Restrike Date.</w:t>
            </w:r>
          </w:p>
        </w:tc>
      </w:tr>
      <w:tr w:rsidR="001A1B77" w:rsidRPr="000D7A90" w:rsidDel="007C1EAE" w14:paraId="7273DC6A" w14:textId="77777777" w:rsidTr="00B56905">
        <w:tc>
          <w:tcPr>
            <w:tcW w:w="3792" w:type="dxa"/>
          </w:tcPr>
          <w:p w14:paraId="1CCD7492" w14:textId="77777777" w:rsidR="001A1B77" w:rsidRPr="000D7A90" w:rsidDel="007C1EAE" w:rsidRDefault="001A1B77" w:rsidP="001A1B77">
            <w:pPr>
              <w:spacing w:after="120" w:line="260" w:lineRule="exact"/>
              <w:jc w:val="center"/>
              <w:rPr>
                <w:rFonts w:cs="Arial"/>
                <w:b/>
                <w:bCs/>
                <w:color w:val="000000"/>
                <w:sz w:val="20"/>
                <w:szCs w:val="20"/>
                <w:lang w:val="en-US"/>
              </w:rPr>
            </w:pPr>
            <w:r w:rsidRPr="000D7A90" w:rsidDel="007C1EAE">
              <w:rPr>
                <w:rFonts w:cs="Arial"/>
                <w:b/>
                <w:color w:val="000000"/>
                <w:sz w:val="20"/>
                <w:szCs w:val="20"/>
                <w:lang w:val="en-US"/>
              </w:rPr>
              <w:t>n</w:t>
            </w:r>
          </w:p>
        </w:tc>
        <w:tc>
          <w:tcPr>
            <w:tcW w:w="7278" w:type="dxa"/>
          </w:tcPr>
          <w:p w14:paraId="10FDC4CE" w14:textId="77777777" w:rsidR="001A1B77" w:rsidRPr="000D7A90" w:rsidDel="007C1EAE" w:rsidRDefault="001A1B77" w:rsidP="001A1B77">
            <w:pPr>
              <w:spacing w:after="120" w:line="260" w:lineRule="exact"/>
              <w:ind w:left="44"/>
              <w:jc w:val="both"/>
              <w:rPr>
                <w:rFonts w:cs="Arial"/>
                <w:b/>
                <w:bCs/>
                <w:color w:val="000000"/>
                <w:sz w:val="20"/>
                <w:szCs w:val="20"/>
                <w:lang w:val="en-US"/>
              </w:rPr>
            </w:pPr>
            <w:r w:rsidRPr="000D7A90" w:rsidDel="007C1EAE">
              <w:rPr>
                <w:rFonts w:cs="Arial"/>
                <w:color w:val="000000"/>
                <w:sz w:val="20"/>
                <w:szCs w:val="20"/>
                <w:lang w:val="en-US"/>
              </w:rPr>
              <w:t>means the number of Intraday Restrike Events that occurred on the relevant Intraday Restrike Date.</w:t>
            </w:r>
          </w:p>
        </w:tc>
      </w:tr>
      <w:tr w:rsidR="001A1B77" w:rsidRPr="000D7A90" w:rsidDel="007C1EAE" w14:paraId="63B0B6AB" w14:textId="77777777" w:rsidTr="00B56905">
        <w:tc>
          <w:tcPr>
            <w:tcW w:w="3792" w:type="dxa"/>
          </w:tcPr>
          <w:p w14:paraId="61DBB695" w14:textId="77777777" w:rsidR="001A1B77" w:rsidRPr="000D7A90" w:rsidDel="007C1EAE" w:rsidRDefault="001A1B77" w:rsidP="001A1B77">
            <w:pPr>
              <w:spacing w:after="120" w:line="260" w:lineRule="exact"/>
              <w:ind w:left="44"/>
              <w:jc w:val="center"/>
              <w:rPr>
                <w:rFonts w:cs="Arial"/>
                <w:b/>
                <w:bCs/>
                <w:color w:val="000000"/>
                <w:sz w:val="20"/>
                <w:szCs w:val="20"/>
                <w:lang w:val="en-US"/>
              </w:rPr>
            </w:pPr>
            <w:r w:rsidRPr="000D7A90" w:rsidDel="007C1EAE">
              <w:rPr>
                <w:rFonts w:cs="Arial"/>
                <w:b/>
                <w:color w:val="000000"/>
                <w:sz w:val="20"/>
                <w:szCs w:val="20"/>
                <w:lang w:val="en-US"/>
              </w:rPr>
              <w:t>Intraday Restrike Event</w:t>
            </w:r>
          </w:p>
        </w:tc>
        <w:tc>
          <w:tcPr>
            <w:tcW w:w="7278" w:type="dxa"/>
          </w:tcPr>
          <w:p w14:paraId="44F85782" w14:textId="77777777" w:rsidR="00B56905" w:rsidRPr="000D7A90" w:rsidRDefault="00B56905" w:rsidP="00B56905">
            <w:pPr>
              <w:spacing w:after="120" w:line="260" w:lineRule="exact"/>
              <w:ind w:left="44"/>
              <w:jc w:val="both"/>
              <w:rPr>
                <w:rFonts w:cs="Arial"/>
                <w:color w:val="000000"/>
                <w:sz w:val="20"/>
                <w:szCs w:val="20"/>
                <w:lang w:val="en-US"/>
              </w:rPr>
            </w:pPr>
            <w:r w:rsidRPr="000D7A90" w:rsidDel="007C1EAE">
              <w:rPr>
                <w:rFonts w:cs="Arial"/>
                <w:color w:val="000000"/>
                <w:sz w:val="20"/>
                <w:szCs w:val="20"/>
                <w:lang w:val="en-US"/>
              </w:rPr>
              <w:t>means in respect of an Observation Date(t)</w:t>
            </w:r>
            <w:r w:rsidRPr="000D7A90">
              <w:rPr>
                <w:rFonts w:cs="Arial"/>
                <w:color w:val="000000"/>
                <w:sz w:val="20"/>
                <w:szCs w:val="20"/>
                <w:lang w:val="en-US"/>
              </w:rPr>
              <w:t>:</w:t>
            </w:r>
          </w:p>
          <w:p w14:paraId="0641E6DA" w14:textId="77777777" w:rsidR="00B56905" w:rsidRPr="000D7A90" w:rsidRDefault="00B56905" w:rsidP="00B56905">
            <w:pPr>
              <w:spacing w:after="120" w:line="260" w:lineRule="exact"/>
              <w:ind w:left="44"/>
              <w:jc w:val="both"/>
              <w:rPr>
                <w:rFonts w:cs="Arial"/>
                <w:color w:val="000000"/>
                <w:sz w:val="20"/>
                <w:szCs w:val="20"/>
                <w:lang w:val="en-US"/>
              </w:rPr>
            </w:pPr>
            <w:r w:rsidRPr="000D7A90">
              <w:rPr>
                <w:rFonts w:cs="Arial"/>
                <w:color w:val="000000"/>
                <w:sz w:val="20"/>
                <w:szCs w:val="20"/>
                <w:lang w:val="en-US"/>
              </w:rPr>
              <w:t>(1) provided no Intraday Restrike Event has previously occurred on such Observation Date (t)</w:t>
            </w:r>
            <w:r w:rsidR="00B8310E" w:rsidRPr="000D7A90">
              <w:rPr>
                <w:rFonts w:cs="Arial"/>
                <w:color w:val="000000"/>
                <w:sz w:val="20"/>
                <w:szCs w:val="20"/>
                <w:lang w:val="en-US"/>
              </w:rPr>
              <w:t xml:space="preserve">, </w:t>
            </w:r>
            <w:r w:rsidRPr="000D7A90" w:rsidDel="007C1EAE">
              <w:rPr>
                <w:rFonts w:cs="Arial"/>
                <w:color w:val="000000"/>
                <w:sz w:val="20"/>
                <w:szCs w:val="20"/>
                <w:lang w:val="en-US"/>
              </w:rPr>
              <w:t xml:space="preserve">the </w:t>
            </w:r>
            <w:r w:rsidRPr="000D7A90">
              <w:rPr>
                <w:rFonts w:cs="Arial"/>
                <w:sz w:val="20"/>
                <w:szCs w:val="20"/>
                <w:lang w:val="en-US" w:eastAsia="it-IT"/>
              </w:rPr>
              <w:t>increase</w:t>
            </w:r>
            <w:r w:rsidRPr="000D7A90" w:rsidDel="007C1EAE">
              <w:rPr>
                <w:rFonts w:cs="Arial"/>
                <w:color w:val="000000"/>
                <w:sz w:val="20"/>
                <w:szCs w:val="20"/>
                <w:lang w:val="en-US"/>
              </w:rPr>
              <w:t xml:space="preserve"> at any Calculation Time of the</w:t>
            </w:r>
            <w:r w:rsidRPr="000D7A90">
              <w:rPr>
                <w:rFonts w:cs="Arial"/>
                <w:color w:val="000000"/>
                <w:sz w:val="20"/>
                <w:szCs w:val="20"/>
                <w:lang w:val="en-US"/>
              </w:rPr>
              <w:t xml:space="preserve"> Underlying Stock</w:t>
            </w:r>
            <w:r w:rsidRPr="000D7A90" w:rsidDel="007C1EAE">
              <w:rPr>
                <w:rFonts w:cs="Arial"/>
                <w:color w:val="000000"/>
                <w:sz w:val="20"/>
                <w:szCs w:val="20"/>
                <w:lang w:val="en-US"/>
              </w:rPr>
              <w:t xml:space="preserve"> </w:t>
            </w:r>
            <w:r w:rsidRPr="000D7A90">
              <w:rPr>
                <w:rFonts w:cs="Arial"/>
                <w:color w:val="000000"/>
                <w:sz w:val="20"/>
                <w:szCs w:val="20"/>
                <w:lang w:val="en-US"/>
              </w:rPr>
              <w:t>price</w:t>
            </w:r>
            <w:r w:rsidRPr="000D7A90" w:rsidDel="007C1EAE">
              <w:rPr>
                <w:rFonts w:cs="Arial"/>
                <w:color w:val="000000"/>
                <w:sz w:val="20"/>
                <w:szCs w:val="20"/>
                <w:lang w:val="en-US"/>
              </w:rPr>
              <w:t xml:space="preserve"> by </w:t>
            </w:r>
            <w:r w:rsidRPr="000D7A90">
              <w:rPr>
                <w:rFonts w:cs="Arial"/>
                <w:color w:val="000000"/>
                <w:sz w:val="20"/>
                <w:szCs w:val="20"/>
                <w:lang w:val="en-US"/>
              </w:rPr>
              <w:t>15%</w:t>
            </w:r>
            <w:r w:rsidRPr="000D7A90" w:rsidDel="007C1EAE">
              <w:rPr>
                <w:rFonts w:cs="Arial"/>
                <w:color w:val="000000"/>
                <w:sz w:val="20"/>
                <w:szCs w:val="20"/>
                <w:lang w:val="en-US"/>
              </w:rPr>
              <w:t xml:space="preserve"> or more compared with the relevant </w:t>
            </w:r>
            <w:r w:rsidRPr="000D7A90">
              <w:rPr>
                <w:rFonts w:cs="Arial"/>
                <w:color w:val="000000"/>
                <w:sz w:val="20"/>
                <w:szCs w:val="20"/>
                <w:lang w:val="en-US"/>
              </w:rPr>
              <w:t>Underlying Stock Price</w:t>
            </w:r>
            <w:r w:rsidRPr="000D7A90" w:rsidDel="007C1EAE">
              <w:rPr>
                <w:rFonts w:cs="Arial"/>
                <w:color w:val="000000"/>
                <w:sz w:val="20"/>
                <w:szCs w:val="20"/>
                <w:lang w:val="en-US"/>
              </w:rPr>
              <w:t xml:space="preserve"> </w:t>
            </w:r>
            <m:oMath>
              <m:sSub>
                <m:sSubPr>
                  <m:ctrlPr>
                    <w:rPr>
                      <w:rFonts w:ascii="Cambria Math" w:hAnsi="Cambria Math" w:cs="Arial"/>
                      <w:color w:val="000000"/>
                      <w:sz w:val="20"/>
                      <w:szCs w:val="20"/>
                      <w:lang w:val="en-US"/>
                    </w:rPr>
                  </m:ctrlPr>
                </m:sSubPr>
                <m:e>
                  <m:r>
                    <m:rPr>
                      <m:sty m:val="b"/>
                    </m:rPr>
                    <w:rPr>
                      <w:rFonts w:ascii="Cambria Math" w:hAnsi="Cambria Math" w:cs="Arial"/>
                      <w:color w:val="000000"/>
                      <w:sz w:val="20"/>
                      <w:szCs w:val="20"/>
                      <w:lang w:val="en-US"/>
                    </w:rPr>
                    <m:t>IS</m:t>
                  </m:r>
                </m:e>
                <m:sub>
                  <m:r>
                    <m:rPr>
                      <m:sty m:val="b"/>
                    </m:rPr>
                    <w:rPr>
                      <w:rFonts w:ascii="Cambria Math" w:hAnsi="Cambria Math" w:cs="Arial"/>
                      <w:color w:val="000000"/>
                      <w:sz w:val="20"/>
                      <w:szCs w:val="20"/>
                      <w:lang w:val="en-US"/>
                    </w:rPr>
                    <m:t>IR</m:t>
                  </m:r>
                  <m:r>
                    <m:rPr>
                      <m:sty m:val="p"/>
                    </m:rPr>
                    <w:rPr>
                      <w:rFonts w:ascii="Cambria Math" w:hAnsi="Cambria Math" w:cs="Arial"/>
                      <w:color w:val="000000"/>
                      <w:sz w:val="20"/>
                      <w:szCs w:val="20"/>
                      <w:lang w:val="en-US"/>
                    </w:rPr>
                    <m:t>(</m:t>
                  </m:r>
                  <m:r>
                    <m:rPr>
                      <m:sty m:val="b"/>
                    </m:rPr>
                    <w:rPr>
                      <w:rFonts w:ascii="Cambria Math" w:hAnsi="Cambria Math" w:cs="Arial"/>
                      <w:color w:val="000000"/>
                      <w:sz w:val="20"/>
                      <w:szCs w:val="20"/>
                      <w:lang w:val="en-US"/>
                    </w:rPr>
                    <m:t>0</m:t>
                  </m:r>
                  <m:r>
                    <m:rPr>
                      <m:sty m:val="p"/>
                    </m:rPr>
                    <w:rPr>
                      <w:rFonts w:ascii="Cambria Math" w:hAnsi="Cambria Math" w:cs="Arial"/>
                      <w:color w:val="000000"/>
                      <w:sz w:val="20"/>
                      <w:szCs w:val="20"/>
                      <w:lang w:val="en-US"/>
                    </w:rPr>
                    <m:t>)</m:t>
                  </m:r>
                </m:sub>
              </m:sSub>
            </m:oMath>
            <w:r w:rsidRPr="000D7A90">
              <w:rPr>
                <w:rFonts w:cs="Arial"/>
                <w:color w:val="000000"/>
                <w:sz w:val="20"/>
                <w:szCs w:val="20"/>
                <w:lang w:val="en-US"/>
              </w:rPr>
              <w:t xml:space="preserve"> </w:t>
            </w:r>
            <w:r w:rsidRPr="000D7A90" w:rsidDel="007C1EAE">
              <w:rPr>
                <w:rFonts w:cs="Arial"/>
                <w:color w:val="000000"/>
                <w:sz w:val="20"/>
                <w:szCs w:val="20"/>
                <w:lang w:val="en-US"/>
              </w:rPr>
              <w:t>as of such Calculation Time.</w:t>
            </w:r>
          </w:p>
          <w:p w14:paraId="2941FDC2" w14:textId="77777777" w:rsidR="001A1B77" w:rsidRPr="000D7A90" w:rsidDel="007C1EAE" w:rsidRDefault="00B56905" w:rsidP="00B56905">
            <w:pPr>
              <w:spacing w:after="120" w:line="260" w:lineRule="exact"/>
              <w:ind w:left="44"/>
              <w:jc w:val="both"/>
              <w:rPr>
                <w:rFonts w:cs="Arial"/>
                <w:color w:val="000000"/>
                <w:sz w:val="20"/>
                <w:szCs w:val="20"/>
                <w:lang w:val="en-US"/>
              </w:rPr>
            </w:pPr>
            <w:r w:rsidRPr="000D7A90">
              <w:rPr>
                <w:rFonts w:cs="Arial"/>
                <w:color w:val="000000"/>
                <w:sz w:val="20"/>
                <w:szCs w:val="20"/>
                <w:lang w:val="en-US"/>
              </w:rPr>
              <w:t>(2) if k Intraday Restrike Events have occurred on the relevant In</w:t>
            </w:r>
            <w:r w:rsidR="00181FB6" w:rsidRPr="000D7A90">
              <w:rPr>
                <w:rFonts w:cs="Arial"/>
                <w:color w:val="000000"/>
                <w:sz w:val="20"/>
                <w:szCs w:val="20"/>
                <w:lang w:val="en-US"/>
              </w:rPr>
              <w:t>t</w:t>
            </w:r>
            <w:r w:rsidRPr="000D7A90">
              <w:rPr>
                <w:rFonts w:cs="Arial"/>
                <w:color w:val="000000"/>
                <w:sz w:val="20"/>
                <w:szCs w:val="20"/>
                <w:lang w:val="en-US"/>
              </w:rPr>
              <w:t xml:space="preserve">raday Restrike Date, </w:t>
            </w:r>
            <w:r w:rsidRPr="000D7A90" w:rsidDel="007C1EAE">
              <w:rPr>
                <w:rFonts w:cs="Arial"/>
                <w:color w:val="000000"/>
                <w:sz w:val="20"/>
                <w:szCs w:val="20"/>
                <w:lang w:val="en-US"/>
              </w:rPr>
              <w:t>the</w:t>
            </w:r>
            <w:r w:rsidR="00B8310E" w:rsidRPr="000D7A90">
              <w:rPr>
                <w:rFonts w:cs="Arial"/>
                <w:color w:val="000000"/>
                <w:sz w:val="20"/>
                <w:szCs w:val="20"/>
                <w:lang w:val="en-US"/>
              </w:rPr>
              <w:t xml:space="preserve"> </w:t>
            </w:r>
            <w:r w:rsidRPr="000D7A90">
              <w:rPr>
                <w:rFonts w:cs="Arial"/>
                <w:sz w:val="20"/>
                <w:szCs w:val="20"/>
                <w:lang w:val="en-US" w:eastAsia="it-IT"/>
              </w:rPr>
              <w:t>increase</w:t>
            </w:r>
            <w:r w:rsidRPr="000D7A90" w:rsidDel="007C1EAE">
              <w:rPr>
                <w:rFonts w:cs="Arial"/>
                <w:color w:val="000000"/>
                <w:sz w:val="20"/>
                <w:szCs w:val="20"/>
                <w:lang w:val="en-US"/>
              </w:rPr>
              <w:t xml:space="preserve"> at any Calculation Time of the</w:t>
            </w:r>
            <w:r w:rsidRPr="000D7A90">
              <w:rPr>
                <w:rFonts w:cs="Arial"/>
                <w:color w:val="000000"/>
                <w:sz w:val="20"/>
                <w:szCs w:val="20"/>
                <w:lang w:val="en-US"/>
              </w:rPr>
              <w:t xml:space="preserve"> Underlying Stock</w:t>
            </w:r>
            <w:r w:rsidRPr="000D7A90" w:rsidDel="007C1EAE">
              <w:rPr>
                <w:rFonts w:cs="Arial"/>
                <w:color w:val="000000"/>
                <w:sz w:val="20"/>
                <w:szCs w:val="20"/>
                <w:lang w:val="en-US"/>
              </w:rPr>
              <w:t xml:space="preserve"> </w:t>
            </w:r>
            <w:r w:rsidRPr="000D7A90">
              <w:rPr>
                <w:rFonts w:cs="Arial"/>
                <w:color w:val="000000"/>
                <w:sz w:val="20"/>
                <w:szCs w:val="20"/>
                <w:lang w:val="en-US"/>
              </w:rPr>
              <w:t>price</w:t>
            </w:r>
            <w:r w:rsidRPr="000D7A90" w:rsidDel="007C1EAE">
              <w:rPr>
                <w:rFonts w:cs="Arial"/>
                <w:color w:val="000000"/>
                <w:sz w:val="20"/>
                <w:szCs w:val="20"/>
                <w:lang w:val="en-US"/>
              </w:rPr>
              <w:t xml:space="preserve"> by </w:t>
            </w:r>
            <w:r w:rsidRPr="000D7A90">
              <w:rPr>
                <w:rFonts w:cs="Arial"/>
                <w:color w:val="000000"/>
                <w:sz w:val="20"/>
                <w:szCs w:val="20"/>
                <w:lang w:val="en-US"/>
              </w:rPr>
              <w:t>15%</w:t>
            </w:r>
            <w:r w:rsidRPr="000D7A90" w:rsidDel="007C1EAE">
              <w:rPr>
                <w:rFonts w:cs="Arial"/>
                <w:color w:val="000000"/>
                <w:sz w:val="20"/>
                <w:szCs w:val="20"/>
                <w:lang w:val="en-US"/>
              </w:rPr>
              <w:t xml:space="preserve"> or more compared with the relevant </w:t>
            </w:r>
            <w:r w:rsidR="00B8310E" w:rsidRPr="000D7A90">
              <w:rPr>
                <w:rFonts w:cs="Arial"/>
                <w:color w:val="000000"/>
                <w:sz w:val="20"/>
                <w:szCs w:val="20"/>
                <w:lang w:val="en-US"/>
              </w:rPr>
              <w:t xml:space="preserve">Underlying Stock </w:t>
            </w:r>
            <w:r w:rsidRPr="000D7A90">
              <w:rPr>
                <w:rFonts w:cs="Arial"/>
                <w:color w:val="000000"/>
                <w:sz w:val="20"/>
                <w:szCs w:val="20"/>
                <w:lang w:val="en-US"/>
              </w:rPr>
              <w:t>Price</w:t>
            </w:r>
            <w:r w:rsidRPr="000D7A90" w:rsidDel="007C1EAE">
              <w:rPr>
                <w:rFonts w:cs="Arial"/>
                <w:color w:val="000000"/>
                <w:sz w:val="20"/>
                <w:szCs w:val="20"/>
                <w:lang w:val="en-US"/>
              </w:rPr>
              <w:t xml:space="preserve"> </w:t>
            </w:r>
            <m:oMath>
              <m:sSub>
                <m:sSubPr>
                  <m:ctrlPr>
                    <w:rPr>
                      <w:rFonts w:ascii="Cambria Math" w:hAnsi="Cambria Math" w:cs="Arial"/>
                      <w:color w:val="000000"/>
                      <w:sz w:val="20"/>
                      <w:szCs w:val="20"/>
                      <w:lang w:val="en-US"/>
                    </w:rPr>
                  </m:ctrlPr>
                </m:sSubPr>
                <m:e>
                  <m:r>
                    <m:rPr>
                      <m:sty m:val="b"/>
                    </m:rPr>
                    <w:rPr>
                      <w:rFonts w:ascii="Cambria Math" w:hAnsi="Cambria Math" w:cs="Arial"/>
                      <w:color w:val="000000"/>
                      <w:sz w:val="20"/>
                      <w:szCs w:val="20"/>
                      <w:lang w:val="en-US"/>
                    </w:rPr>
                    <m:t>IS</m:t>
                  </m:r>
                </m:e>
                <m:sub>
                  <m:r>
                    <m:rPr>
                      <m:sty m:val="b"/>
                    </m:rPr>
                    <w:rPr>
                      <w:rFonts w:ascii="Cambria Math" w:hAnsi="Cambria Math" w:cs="Arial"/>
                      <w:color w:val="000000"/>
                      <w:sz w:val="20"/>
                      <w:szCs w:val="20"/>
                      <w:lang w:val="en-US"/>
                    </w:rPr>
                    <m:t>IR</m:t>
                  </m:r>
                  <m:r>
                    <m:rPr>
                      <m:sty m:val="p"/>
                    </m:rPr>
                    <w:rPr>
                      <w:rFonts w:ascii="Cambria Math" w:hAnsi="Cambria Math" w:cs="Arial"/>
                      <w:color w:val="000000"/>
                      <w:sz w:val="20"/>
                      <w:szCs w:val="20"/>
                      <w:lang w:val="en-US"/>
                    </w:rPr>
                    <m:t>(</m:t>
                  </m:r>
                  <m:r>
                    <m:rPr>
                      <m:sty m:val="b"/>
                    </m:rPr>
                    <w:rPr>
                      <w:rFonts w:ascii="Cambria Math" w:hAnsi="Cambria Math" w:cs="Arial"/>
                      <w:color w:val="000000"/>
                      <w:sz w:val="20"/>
                      <w:szCs w:val="20"/>
                      <w:lang w:val="en-US"/>
                    </w:rPr>
                    <m:t>k</m:t>
                  </m:r>
                  <m:r>
                    <m:rPr>
                      <m:sty m:val="p"/>
                    </m:rPr>
                    <w:rPr>
                      <w:rFonts w:ascii="Cambria Math" w:hAnsi="Cambria Math" w:cs="Arial"/>
                      <w:color w:val="000000"/>
                      <w:sz w:val="20"/>
                      <w:szCs w:val="20"/>
                      <w:lang w:val="en-US"/>
                    </w:rPr>
                    <m:t>)</m:t>
                  </m:r>
                </m:sub>
              </m:sSub>
            </m:oMath>
            <w:r w:rsidRPr="000D7A90">
              <w:rPr>
                <w:rFonts w:cs="Arial"/>
                <w:color w:val="000000"/>
                <w:sz w:val="20"/>
                <w:szCs w:val="20"/>
                <w:lang w:val="en-US"/>
              </w:rPr>
              <w:t xml:space="preserve"> </w:t>
            </w:r>
            <w:r w:rsidRPr="000D7A90" w:rsidDel="007C1EAE">
              <w:rPr>
                <w:rFonts w:cs="Arial"/>
                <w:color w:val="000000"/>
                <w:sz w:val="20"/>
                <w:szCs w:val="20"/>
                <w:lang w:val="en-US"/>
              </w:rPr>
              <w:t>as of such Calculation Time.</w:t>
            </w:r>
          </w:p>
        </w:tc>
      </w:tr>
      <w:tr w:rsidR="001A1B77" w:rsidRPr="000D7A90" w:rsidDel="007C1EAE" w14:paraId="481F8B40" w14:textId="77777777" w:rsidTr="00B56905">
        <w:tc>
          <w:tcPr>
            <w:tcW w:w="3792" w:type="dxa"/>
          </w:tcPr>
          <w:p w14:paraId="0D5CAAFF" w14:textId="77777777" w:rsidR="001A1B77" w:rsidRPr="000D7A90" w:rsidDel="007C1EAE" w:rsidRDefault="001A1B77" w:rsidP="001A1B77">
            <w:pPr>
              <w:spacing w:after="120" w:line="260" w:lineRule="exact"/>
              <w:jc w:val="center"/>
              <w:rPr>
                <w:rFonts w:cs="Arial"/>
                <w:b/>
                <w:color w:val="000000"/>
                <w:kern w:val="20"/>
                <w:sz w:val="20"/>
                <w:szCs w:val="20"/>
                <w:lang w:val="en-US"/>
              </w:rPr>
            </w:pPr>
            <w:r w:rsidRPr="000D7A90" w:rsidDel="007C1EAE">
              <w:rPr>
                <w:rFonts w:cs="Arial"/>
                <w:b/>
                <w:color w:val="000000"/>
                <w:sz w:val="20"/>
                <w:szCs w:val="20"/>
                <w:lang w:val="en-US"/>
              </w:rPr>
              <w:t>Calculation Time</w:t>
            </w:r>
          </w:p>
        </w:tc>
        <w:tc>
          <w:tcPr>
            <w:tcW w:w="7278" w:type="dxa"/>
          </w:tcPr>
          <w:p w14:paraId="3718A931" w14:textId="77777777" w:rsidR="001A1B77" w:rsidRPr="000D7A90" w:rsidDel="007C1EAE" w:rsidRDefault="001A1B77" w:rsidP="001A1B77">
            <w:pPr>
              <w:spacing w:after="120" w:line="260" w:lineRule="exact"/>
              <w:ind w:left="44"/>
              <w:jc w:val="both"/>
              <w:rPr>
                <w:rFonts w:cs="Arial"/>
                <w:color w:val="000000"/>
                <w:sz w:val="20"/>
                <w:szCs w:val="20"/>
                <w:lang w:val="en-US"/>
              </w:rPr>
            </w:pPr>
            <w:r w:rsidRPr="000D7A90" w:rsidDel="007C1EAE">
              <w:rPr>
                <w:rFonts w:ascii="Helvetica" w:eastAsia="Calibri" w:hAnsi="Helvetica" w:cs="Helvetica"/>
                <w:sz w:val="20"/>
                <w:szCs w:val="20"/>
                <w:lang w:val="en-US" w:eastAsia="it-IT"/>
              </w:rPr>
              <w:t xml:space="preserve">means any time between the </w:t>
            </w:r>
            <w:proofErr w:type="spellStart"/>
            <w:r w:rsidRPr="000D7A90" w:rsidDel="007C1EAE">
              <w:rPr>
                <w:rFonts w:ascii="Helvetica" w:eastAsia="Calibri" w:hAnsi="Helvetica" w:cs="Helvetica"/>
                <w:sz w:val="20"/>
                <w:szCs w:val="20"/>
                <w:lang w:val="en-US" w:eastAsia="it-IT"/>
              </w:rPr>
              <w:t>TimeReferenceOpening</w:t>
            </w:r>
            <w:proofErr w:type="spellEnd"/>
            <w:r w:rsidRPr="000D7A90" w:rsidDel="007C1EAE">
              <w:rPr>
                <w:rFonts w:ascii="Helvetica" w:eastAsia="Calibri" w:hAnsi="Helvetica" w:cs="Helvetica"/>
                <w:sz w:val="20"/>
                <w:szCs w:val="20"/>
                <w:lang w:val="en-US" w:eastAsia="it-IT"/>
              </w:rPr>
              <w:t xml:space="preserve"> and the </w:t>
            </w:r>
            <w:proofErr w:type="spellStart"/>
            <w:r w:rsidRPr="000D7A90" w:rsidDel="007C1EAE">
              <w:rPr>
                <w:rFonts w:ascii="Helvetica" w:eastAsia="Calibri" w:hAnsi="Helvetica" w:cs="Helvetica"/>
                <w:sz w:val="20"/>
                <w:szCs w:val="20"/>
                <w:lang w:val="en-US" w:eastAsia="it-IT"/>
              </w:rPr>
              <w:t>TimeReferenceClosing</w:t>
            </w:r>
            <w:proofErr w:type="spellEnd"/>
            <w:r w:rsidRPr="000D7A90" w:rsidDel="007C1EAE">
              <w:rPr>
                <w:rFonts w:ascii="Helvetica" w:eastAsia="Calibri" w:hAnsi="Helvetica" w:cs="Helvetica"/>
                <w:sz w:val="20"/>
                <w:szCs w:val="20"/>
                <w:lang w:val="en-US" w:eastAsia="it-IT"/>
              </w:rPr>
              <w:t xml:space="preserve">, provided that the relevant data is available to enable the Calculation Agent to determine the Leverage </w:t>
            </w:r>
            <w:r w:rsidRPr="000D7A90">
              <w:rPr>
                <w:rFonts w:cs="Arial"/>
                <w:color w:val="000000"/>
                <w:sz w:val="20"/>
                <w:szCs w:val="20"/>
                <w:lang w:val="en-US"/>
              </w:rPr>
              <w:t>Inverse</w:t>
            </w:r>
            <w:r w:rsidRPr="000D7A90">
              <w:rPr>
                <w:rFonts w:cs="Arial"/>
                <w:b/>
                <w:sz w:val="20"/>
                <w:szCs w:val="20"/>
                <w:lang w:val="en-US" w:eastAsia="it-IT"/>
              </w:rPr>
              <w:t xml:space="preserve"> </w:t>
            </w:r>
            <w:r w:rsidRPr="000D7A90" w:rsidDel="007C1EAE">
              <w:rPr>
                <w:rFonts w:ascii="Helvetica" w:eastAsia="Calibri" w:hAnsi="Helvetica" w:cs="Helvetica"/>
                <w:sz w:val="20"/>
                <w:szCs w:val="20"/>
                <w:lang w:val="en-US" w:eastAsia="it-IT"/>
              </w:rPr>
              <w:t>Strategy Level.</w:t>
            </w:r>
          </w:p>
        </w:tc>
      </w:tr>
      <w:tr w:rsidR="001A1B77" w:rsidRPr="000D7A90" w:rsidDel="007C1EAE" w14:paraId="5057AE0F" w14:textId="77777777" w:rsidTr="00B56905">
        <w:tc>
          <w:tcPr>
            <w:tcW w:w="3792" w:type="dxa"/>
          </w:tcPr>
          <w:p w14:paraId="7D2DF6E7" w14:textId="77777777" w:rsidR="001A1B77" w:rsidRPr="000D7A90" w:rsidDel="007C1EAE" w:rsidRDefault="001A1B77" w:rsidP="001A1B77">
            <w:pPr>
              <w:spacing w:after="120" w:line="260" w:lineRule="exact"/>
              <w:jc w:val="center"/>
              <w:rPr>
                <w:rFonts w:cs="Arial"/>
                <w:b/>
                <w:bCs/>
                <w:color w:val="000000"/>
                <w:kern w:val="20"/>
                <w:sz w:val="20"/>
                <w:szCs w:val="20"/>
                <w:lang w:val="en-US"/>
              </w:rPr>
            </w:pPr>
            <w:proofErr w:type="spellStart"/>
            <w:r w:rsidRPr="000D7A90" w:rsidDel="007C1EAE">
              <w:rPr>
                <w:rFonts w:cs="Arial"/>
                <w:b/>
                <w:sz w:val="20"/>
                <w:szCs w:val="20"/>
              </w:rPr>
              <w:t>TimeReferenceOpening</w:t>
            </w:r>
            <w:proofErr w:type="spellEnd"/>
          </w:p>
        </w:tc>
        <w:tc>
          <w:tcPr>
            <w:tcW w:w="7278" w:type="dxa"/>
          </w:tcPr>
          <w:p w14:paraId="67660842" w14:textId="77777777" w:rsidR="001A1B77" w:rsidRPr="000D7A90" w:rsidDel="007C1EAE" w:rsidRDefault="001A1B77" w:rsidP="001A1B77">
            <w:pPr>
              <w:spacing w:after="120" w:line="260" w:lineRule="exact"/>
              <w:ind w:left="44"/>
              <w:jc w:val="both"/>
              <w:rPr>
                <w:rFonts w:cs="Arial"/>
                <w:color w:val="000000"/>
                <w:sz w:val="20"/>
                <w:szCs w:val="20"/>
                <w:lang w:val="en-US"/>
              </w:rPr>
            </w:pPr>
            <w:r w:rsidRPr="000D7A90" w:rsidDel="007C1EAE">
              <w:rPr>
                <w:sz w:val="20"/>
                <w:szCs w:val="20"/>
                <w:lang w:val="en-US"/>
              </w:rPr>
              <w:t xml:space="preserve">means the scheduled opening time </w:t>
            </w:r>
            <w:r w:rsidR="00086D11" w:rsidRPr="00DE78C7">
              <w:rPr>
                <w:sz w:val="20"/>
                <w:szCs w:val="20"/>
                <w:lang w:val="en-US"/>
              </w:rPr>
              <w:t>(including the pre-opening session)</w:t>
            </w:r>
            <w:r w:rsidR="00B07022" w:rsidRPr="00DE78C7">
              <w:rPr>
                <w:sz w:val="20"/>
                <w:szCs w:val="20"/>
                <w:lang w:val="en-US"/>
              </w:rPr>
              <w:t xml:space="preserve"> </w:t>
            </w:r>
            <w:r w:rsidRPr="000D7A90" w:rsidDel="007C1EAE">
              <w:rPr>
                <w:sz w:val="20"/>
                <w:szCs w:val="20"/>
                <w:lang w:val="en-US"/>
              </w:rPr>
              <w:t xml:space="preserve">for the Relevant Stock Exchange for the </w:t>
            </w:r>
            <w:r w:rsidRPr="000D7A90">
              <w:rPr>
                <w:sz w:val="20"/>
                <w:szCs w:val="20"/>
                <w:lang w:val="en-US"/>
              </w:rPr>
              <w:t>Underlying Stock</w:t>
            </w:r>
            <w:r w:rsidRPr="000D7A90" w:rsidDel="007C1EAE">
              <w:rPr>
                <w:sz w:val="20"/>
                <w:szCs w:val="20"/>
                <w:lang w:val="en-US"/>
              </w:rPr>
              <w:t xml:space="preserve"> (or any successor thereto). </w:t>
            </w:r>
          </w:p>
        </w:tc>
      </w:tr>
      <w:tr w:rsidR="001A1B77" w:rsidRPr="000D7A90" w:rsidDel="007C1EAE" w14:paraId="437C36FD" w14:textId="77777777" w:rsidTr="00B56905">
        <w:tc>
          <w:tcPr>
            <w:tcW w:w="3792" w:type="dxa"/>
          </w:tcPr>
          <w:p w14:paraId="4EBD465F" w14:textId="77777777" w:rsidR="001A1B77" w:rsidRPr="000D7A90" w:rsidDel="007C1EAE" w:rsidRDefault="001A1B77" w:rsidP="001A1B77">
            <w:pPr>
              <w:spacing w:after="120" w:line="260" w:lineRule="exact"/>
              <w:jc w:val="center"/>
              <w:rPr>
                <w:rFonts w:cs="Arial"/>
                <w:b/>
                <w:color w:val="000000"/>
                <w:kern w:val="20"/>
                <w:sz w:val="20"/>
                <w:szCs w:val="20"/>
                <w:lang w:val="en-US"/>
              </w:rPr>
            </w:pPr>
            <w:proofErr w:type="spellStart"/>
            <w:r w:rsidRPr="000D7A90" w:rsidDel="007C1EAE">
              <w:rPr>
                <w:rFonts w:cs="Arial"/>
                <w:b/>
                <w:sz w:val="20"/>
                <w:szCs w:val="20"/>
              </w:rPr>
              <w:lastRenderedPageBreak/>
              <w:t>TimeReferenceClosing</w:t>
            </w:r>
            <w:proofErr w:type="spellEnd"/>
          </w:p>
        </w:tc>
        <w:tc>
          <w:tcPr>
            <w:tcW w:w="7278" w:type="dxa"/>
          </w:tcPr>
          <w:p w14:paraId="4E418AF2" w14:textId="77777777" w:rsidR="001A1B77" w:rsidRPr="000D7A90" w:rsidDel="007C1EAE" w:rsidRDefault="001A1B77" w:rsidP="001A1B77">
            <w:pPr>
              <w:pStyle w:val="ListParagraph"/>
              <w:spacing w:after="120" w:line="260" w:lineRule="exact"/>
              <w:ind w:left="44"/>
              <w:rPr>
                <w:color w:val="000000"/>
                <w:lang w:val="en-US"/>
              </w:rPr>
            </w:pPr>
            <w:r w:rsidRPr="000D7A90" w:rsidDel="007C1EAE">
              <w:rPr>
                <w:lang w:val="en-US"/>
              </w:rPr>
              <w:t xml:space="preserve">means the scheduled closing </w:t>
            </w:r>
            <w:r w:rsidRPr="00DE78C7" w:rsidDel="007C1EAE">
              <w:rPr>
                <w:rFonts w:eastAsia="SimHei" w:cs="Times New Roman"/>
                <w:lang w:val="en-US" w:eastAsia="zh-CN"/>
              </w:rPr>
              <w:t xml:space="preserve">time </w:t>
            </w:r>
            <w:r w:rsidR="00B07022" w:rsidRPr="00DE78C7">
              <w:rPr>
                <w:rFonts w:eastAsia="SimHei" w:cs="Times New Roman"/>
                <w:lang w:val="en-US" w:eastAsia="zh-CN"/>
              </w:rPr>
              <w:t xml:space="preserve">(including the closing auction session) </w:t>
            </w:r>
            <w:r w:rsidRPr="00DE78C7" w:rsidDel="007C1EAE">
              <w:rPr>
                <w:rFonts w:eastAsia="SimHei" w:cs="Times New Roman"/>
                <w:lang w:val="en-US" w:eastAsia="zh-CN"/>
              </w:rPr>
              <w:t xml:space="preserve">for the Relevant Stock Exchange for the </w:t>
            </w:r>
            <w:r w:rsidRPr="00DE78C7">
              <w:rPr>
                <w:rFonts w:eastAsia="SimHei" w:cs="Times New Roman"/>
                <w:lang w:val="en-US" w:eastAsia="zh-CN"/>
              </w:rPr>
              <w:t>Underlying Stock</w:t>
            </w:r>
            <w:r w:rsidRPr="00DE78C7" w:rsidDel="007C1EAE">
              <w:rPr>
                <w:rFonts w:eastAsia="SimHei" w:cs="Times New Roman"/>
                <w:lang w:val="en-US" w:eastAsia="zh-CN"/>
              </w:rPr>
              <w:t xml:space="preserve"> (or any successor</w:t>
            </w:r>
            <w:r w:rsidRPr="000D7A90" w:rsidDel="007C1EAE">
              <w:rPr>
                <w:lang w:val="en-US"/>
              </w:rPr>
              <w:t xml:space="preserve"> thereto).</w:t>
            </w:r>
          </w:p>
        </w:tc>
      </w:tr>
      <w:tr w:rsidR="001A1B77" w:rsidRPr="000D7A90" w:rsidDel="007C1EAE" w14:paraId="1F88942B" w14:textId="77777777" w:rsidTr="00B56905">
        <w:tc>
          <w:tcPr>
            <w:tcW w:w="3792" w:type="dxa"/>
          </w:tcPr>
          <w:p w14:paraId="0F564FEB" w14:textId="77777777" w:rsidR="001A1B77" w:rsidRPr="000D7A90" w:rsidDel="007C1EAE" w:rsidRDefault="001A1B77" w:rsidP="001A1B77">
            <w:pPr>
              <w:spacing w:after="120" w:line="260" w:lineRule="exact"/>
              <w:jc w:val="center"/>
              <w:rPr>
                <w:rFonts w:cs="Arial"/>
                <w:b/>
                <w:color w:val="000000"/>
                <w:sz w:val="20"/>
                <w:szCs w:val="20"/>
                <w:lang w:val="en-US"/>
              </w:rPr>
            </w:pPr>
            <w:r w:rsidRPr="000D7A90" w:rsidDel="007C1EAE">
              <w:rPr>
                <w:rFonts w:cs="Arial"/>
                <w:b/>
                <w:color w:val="000000"/>
                <w:sz w:val="20"/>
                <w:szCs w:val="20"/>
                <w:lang w:val="en-US"/>
              </w:rPr>
              <w:t>Intraday Restrike Event Observation Period</w:t>
            </w:r>
          </w:p>
        </w:tc>
        <w:tc>
          <w:tcPr>
            <w:tcW w:w="7278" w:type="dxa"/>
          </w:tcPr>
          <w:p w14:paraId="7D44B333" w14:textId="77777777" w:rsidR="001A1B77" w:rsidRPr="000D7A90" w:rsidDel="007C1EAE" w:rsidRDefault="001A1B77" w:rsidP="001A1B77">
            <w:pPr>
              <w:autoSpaceDE w:val="0"/>
              <w:autoSpaceDN w:val="0"/>
              <w:adjustRightInd w:val="0"/>
              <w:spacing w:after="120" w:line="260" w:lineRule="exact"/>
              <w:rPr>
                <w:rFonts w:ascii="Helvetica" w:eastAsia="Calibri" w:hAnsi="Helvetica" w:cs="Helvetica"/>
                <w:sz w:val="20"/>
                <w:szCs w:val="20"/>
                <w:lang w:val="en-US" w:eastAsia="it-IT"/>
              </w:rPr>
            </w:pPr>
            <w:r w:rsidRPr="000D7A90" w:rsidDel="007C1EAE">
              <w:rPr>
                <w:rFonts w:ascii="Helvetica" w:eastAsia="Calibri" w:hAnsi="Helvetica" w:cs="Helvetica"/>
                <w:sz w:val="20"/>
                <w:szCs w:val="20"/>
                <w:lang w:val="en-US" w:eastAsia="it-IT"/>
              </w:rPr>
              <w:t xml:space="preserve">means in respect of an Intraday Restrike Event, the period starting on and excluding the Intraday Restrike Event Time and finishing on and including the sooner between (1) the time falling 15 minutes after the Intraday Restrike Event Time and (2) the </w:t>
            </w:r>
            <w:proofErr w:type="spellStart"/>
            <w:r w:rsidRPr="000D7A90" w:rsidDel="007C1EAE">
              <w:rPr>
                <w:rFonts w:ascii="Helvetica" w:eastAsia="Calibri" w:hAnsi="Helvetica" w:cs="Helvetica"/>
                <w:sz w:val="20"/>
                <w:szCs w:val="20"/>
                <w:lang w:val="en-US" w:eastAsia="it-IT"/>
              </w:rPr>
              <w:t>TimeReferenceClosing</w:t>
            </w:r>
            <w:proofErr w:type="spellEnd"/>
            <w:r w:rsidRPr="000D7A90" w:rsidDel="007C1EAE">
              <w:rPr>
                <w:rFonts w:ascii="Helvetica" w:eastAsia="Calibri" w:hAnsi="Helvetica" w:cs="Helvetica"/>
                <w:sz w:val="20"/>
                <w:szCs w:val="20"/>
                <w:lang w:val="en-US" w:eastAsia="it-IT"/>
              </w:rPr>
              <w:t>.</w:t>
            </w:r>
          </w:p>
          <w:p w14:paraId="4F9B9AA5" w14:textId="77777777" w:rsidR="001A1B77" w:rsidRPr="000D7A90" w:rsidDel="007C1EAE" w:rsidRDefault="001A1B77" w:rsidP="001A1B77">
            <w:pPr>
              <w:spacing w:after="120" w:line="260" w:lineRule="exact"/>
              <w:rPr>
                <w:rFonts w:cs="Arial"/>
                <w:color w:val="000000"/>
                <w:sz w:val="20"/>
                <w:szCs w:val="20"/>
                <w:lang w:val="en-US"/>
              </w:rPr>
            </w:pPr>
            <w:r w:rsidRPr="000D7A90" w:rsidDel="007C1EAE">
              <w:rPr>
                <w:rFonts w:ascii="Helvetica" w:eastAsia="Calibri" w:hAnsi="Helvetica" w:cs="Helvetica"/>
                <w:sz w:val="20"/>
                <w:szCs w:val="20"/>
                <w:lang w:val="en-US" w:eastAsia="it-IT"/>
              </w:rPr>
              <w:t>Where, during such period, the Calculation Agent determines that (1) the</w:t>
            </w:r>
            <w:r w:rsidRPr="000D7A90">
              <w:rPr>
                <w:rFonts w:ascii="Helvetica" w:eastAsia="Calibri" w:hAnsi="Helvetica" w:cs="Helvetica"/>
                <w:sz w:val="20"/>
                <w:szCs w:val="20"/>
                <w:lang w:val="en-US" w:eastAsia="it-IT"/>
              </w:rPr>
              <w:t xml:space="preserve"> trading in the Underlying Stock is disrupted or subject to suspension or limitation </w:t>
            </w:r>
            <w:r w:rsidRPr="000D7A90" w:rsidDel="007C1EAE">
              <w:rPr>
                <w:rFonts w:ascii="Helvetica" w:eastAsia="Calibri" w:hAnsi="Helvetica" w:cs="Helvetica"/>
                <w:sz w:val="20"/>
                <w:szCs w:val="20"/>
                <w:lang w:val="en-US" w:eastAsia="it-IT"/>
              </w:rPr>
              <w:t xml:space="preserve">or (2) the Relevant Stock Exchange for the </w:t>
            </w:r>
            <w:r w:rsidRPr="000D7A90">
              <w:rPr>
                <w:rFonts w:ascii="Helvetica" w:eastAsia="Calibri" w:hAnsi="Helvetica" w:cs="Helvetica"/>
                <w:sz w:val="20"/>
                <w:szCs w:val="20"/>
                <w:lang w:val="en-US" w:eastAsia="it-IT"/>
              </w:rPr>
              <w:t>Underlying Stock</w:t>
            </w:r>
            <w:r w:rsidRPr="000D7A90" w:rsidDel="007C1EAE">
              <w:rPr>
                <w:rFonts w:ascii="Helvetica" w:eastAsia="Calibri" w:hAnsi="Helvetica" w:cs="Helvetica"/>
                <w:sz w:val="20"/>
                <w:szCs w:val="20"/>
                <w:lang w:val="en-US" w:eastAsia="it-IT"/>
              </w:rPr>
              <w:t xml:space="preserve"> is not op</w:t>
            </w:r>
            <w:r w:rsidRPr="000D7A90">
              <w:rPr>
                <w:rFonts w:ascii="Helvetica" w:eastAsia="Calibri" w:hAnsi="Helvetica" w:cs="Helvetica"/>
                <w:sz w:val="20"/>
                <w:szCs w:val="20"/>
                <w:lang w:val="en-US" w:eastAsia="it-IT"/>
              </w:rPr>
              <w:t>e</w:t>
            </w:r>
            <w:r w:rsidRPr="000D7A90" w:rsidDel="007C1EAE">
              <w:rPr>
                <w:rFonts w:ascii="Helvetica" w:eastAsia="Calibri" w:hAnsi="Helvetica" w:cs="Helvetica"/>
                <w:sz w:val="20"/>
                <w:szCs w:val="20"/>
                <w:lang w:val="en-US" w:eastAsia="it-IT"/>
              </w:rPr>
              <w:t>n for continuous trading, the Intraday Restrike Event Observation Period will be extended to the extent necessary until (1) the</w:t>
            </w:r>
            <w:r w:rsidRPr="000D7A90">
              <w:rPr>
                <w:rFonts w:ascii="Helvetica" w:eastAsia="Calibri" w:hAnsi="Helvetica" w:cs="Helvetica"/>
                <w:sz w:val="20"/>
                <w:szCs w:val="20"/>
                <w:lang w:val="en-US" w:eastAsia="it-IT"/>
              </w:rPr>
              <w:t xml:space="preserve"> trading in the Underlying Stock is no longer disrupted, suspended or limited</w:t>
            </w:r>
            <w:r w:rsidRPr="000D7A90" w:rsidDel="007C1EAE">
              <w:rPr>
                <w:rFonts w:ascii="Helvetica" w:eastAsia="Calibri" w:hAnsi="Helvetica" w:cs="Helvetica"/>
                <w:sz w:val="20"/>
                <w:szCs w:val="20"/>
                <w:lang w:val="en-US" w:eastAsia="it-IT"/>
              </w:rPr>
              <w:t xml:space="preserve"> and (2) the Relevant Stock Exchange for the </w:t>
            </w:r>
            <w:r w:rsidRPr="000D7A90">
              <w:rPr>
                <w:rFonts w:ascii="Helvetica" w:eastAsia="Calibri" w:hAnsi="Helvetica" w:cs="Helvetica"/>
                <w:sz w:val="20"/>
                <w:szCs w:val="20"/>
                <w:lang w:val="en-US" w:eastAsia="it-IT"/>
              </w:rPr>
              <w:t>Underlying Stock</w:t>
            </w:r>
            <w:r w:rsidRPr="000D7A90" w:rsidDel="007C1EAE">
              <w:rPr>
                <w:rFonts w:ascii="Helvetica" w:eastAsia="Calibri" w:hAnsi="Helvetica" w:cs="Helvetica"/>
                <w:sz w:val="20"/>
                <w:szCs w:val="20"/>
                <w:lang w:val="en-US" w:eastAsia="it-IT"/>
              </w:rPr>
              <w:t xml:space="preserve"> is open for continuous trading.</w:t>
            </w:r>
          </w:p>
        </w:tc>
      </w:tr>
      <w:tr w:rsidR="001A1B77" w:rsidRPr="000D7A90" w:rsidDel="007C1EAE" w14:paraId="39703F70" w14:textId="77777777" w:rsidTr="00B56905">
        <w:tc>
          <w:tcPr>
            <w:tcW w:w="3792" w:type="dxa"/>
          </w:tcPr>
          <w:p w14:paraId="55A9027F" w14:textId="77777777" w:rsidR="001A1B77" w:rsidRPr="000D7A90" w:rsidDel="007C1EAE" w:rsidRDefault="001A1B77" w:rsidP="001A1B77">
            <w:pPr>
              <w:spacing w:after="120" w:line="260" w:lineRule="exact"/>
              <w:jc w:val="center"/>
              <w:rPr>
                <w:rFonts w:cs="Arial"/>
                <w:b/>
                <w:color w:val="000000"/>
                <w:sz w:val="20"/>
                <w:szCs w:val="20"/>
                <w:lang w:val="en-US"/>
              </w:rPr>
            </w:pPr>
            <w:r w:rsidRPr="000D7A90" w:rsidDel="007C1EAE">
              <w:rPr>
                <w:rFonts w:cs="Arial"/>
                <w:b/>
                <w:color w:val="000000"/>
                <w:sz w:val="20"/>
                <w:szCs w:val="20"/>
                <w:lang w:val="en-US"/>
              </w:rPr>
              <w:t>Intraday Restrike Event Time</w:t>
            </w:r>
          </w:p>
        </w:tc>
        <w:tc>
          <w:tcPr>
            <w:tcW w:w="7278" w:type="dxa"/>
          </w:tcPr>
          <w:p w14:paraId="4FD1A9E9" w14:textId="77777777" w:rsidR="001A1B77" w:rsidRPr="000D7A90" w:rsidDel="007C1EAE" w:rsidRDefault="001A1B77" w:rsidP="001A1B77">
            <w:pPr>
              <w:pStyle w:val="ListParagraph"/>
              <w:spacing w:after="120" w:line="260" w:lineRule="exact"/>
              <w:ind w:left="0"/>
              <w:rPr>
                <w:color w:val="000000"/>
                <w:lang w:val="en-US"/>
              </w:rPr>
            </w:pPr>
            <w:r w:rsidRPr="000D7A90" w:rsidDel="007C1EAE">
              <w:rPr>
                <w:color w:val="000000"/>
                <w:lang w:val="en-US"/>
              </w:rPr>
              <w:t>means in respect of an Intraday Restrike Event, the Calculation Time on which such event occurs.</w:t>
            </w:r>
          </w:p>
        </w:tc>
      </w:tr>
      <w:tr w:rsidR="001A1B77" w:rsidRPr="000D7A90" w:rsidDel="007C1EAE" w14:paraId="5D52B66E" w14:textId="77777777" w:rsidTr="00B56905">
        <w:tc>
          <w:tcPr>
            <w:tcW w:w="3792" w:type="dxa"/>
          </w:tcPr>
          <w:p w14:paraId="223E85D4" w14:textId="77777777" w:rsidR="001A1B77" w:rsidRPr="000D7A90" w:rsidDel="007C1EAE" w:rsidRDefault="001A1B77" w:rsidP="001A1B77">
            <w:pPr>
              <w:spacing w:after="120" w:line="260" w:lineRule="exact"/>
              <w:jc w:val="center"/>
              <w:rPr>
                <w:rFonts w:cs="Arial"/>
                <w:b/>
                <w:color w:val="000000"/>
                <w:sz w:val="18"/>
                <w:szCs w:val="18"/>
                <w:lang w:val="en-US"/>
              </w:rPr>
            </w:pPr>
          </w:p>
        </w:tc>
        <w:tc>
          <w:tcPr>
            <w:tcW w:w="7278" w:type="dxa"/>
          </w:tcPr>
          <w:p w14:paraId="53A0DD32" w14:textId="77777777" w:rsidR="001A1B77" w:rsidRPr="000D7A90" w:rsidDel="007C1EAE" w:rsidRDefault="001A1B77" w:rsidP="001A1B77">
            <w:pPr>
              <w:tabs>
                <w:tab w:val="left" w:pos="720"/>
              </w:tabs>
              <w:autoSpaceDE w:val="0"/>
              <w:spacing w:after="120" w:line="260" w:lineRule="atLeast"/>
              <w:jc w:val="both"/>
              <w:rPr>
                <w:rFonts w:cs="Arial"/>
                <w:color w:val="000000"/>
                <w:sz w:val="18"/>
                <w:szCs w:val="18"/>
                <w:lang w:val="en-US"/>
              </w:rPr>
            </w:pPr>
          </w:p>
        </w:tc>
      </w:tr>
      <w:tr w:rsidR="001A1B77" w:rsidRPr="000D7A90" w:rsidDel="007C1EAE" w14:paraId="25A7C29D" w14:textId="77777777" w:rsidTr="00B56905">
        <w:tc>
          <w:tcPr>
            <w:tcW w:w="3792" w:type="dxa"/>
          </w:tcPr>
          <w:p w14:paraId="492D900C" w14:textId="77777777" w:rsidR="001A1B77" w:rsidRPr="000D7A90" w:rsidDel="007C1EAE" w:rsidRDefault="001A1B77" w:rsidP="001A1B77">
            <w:pPr>
              <w:spacing w:after="120" w:line="260" w:lineRule="exact"/>
              <w:jc w:val="center"/>
              <w:rPr>
                <w:rFonts w:cs="Arial"/>
                <w:b/>
                <w:color w:val="000000"/>
                <w:sz w:val="18"/>
                <w:szCs w:val="18"/>
                <w:lang w:val="en-US"/>
              </w:rPr>
            </w:pPr>
          </w:p>
        </w:tc>
        <w:tc>
          <w:tcPr>
            <w:tcW w:w="7278" w:type="dxa"/>
          </w:tcPr>
          <w:p w14:paraId="73FC0063" w14:textId="77777777" w:rsidR="001A1B77" w:rsidRPr="000D7A90" w:rsidDel="007C1EAE" w:rsidRDefault="001A1B77" w:rsidP="001A1B77">
            <w:pPr>
              <w:spacing w:after="120" w:line="260" w:lineRule="exact"/>
              <w:rPr>
                <w:rFonts w:cs="Arial"/>
                <w:color w:val="000000"/>
                <w:sz w:val="18"/>
                <w:szCs w:val="18"/>
                <w:lang w:val="en-US"/>
              </w:rPr>
            </w:pPr>
          </w:p>
        </w:tc>
      </w:tr>
      <w:tr w:rsidR="001A1B77" w:rsidRPr="000D7A90" w:rsidDel="007C1EAE" w14:paraId="3AF6114D" w14:textId="77777777" w:rsidTr="00B56905">
        <w:tc>
          <w:tcPr>
            <w:tcW w:w="3792" w:type="dxa"/>
          </w:tcPr>
          <w:p w14:paraId="2FE1C333" w14:textId="77777777" w:rsidR="001A1B77" w:rsidRPr="000D7A90" w:rsidDel="007C1EAE" w:rsidRDefault="001A1B77" w:rsidP="001A1B77">
            <w:pPr>
              <w:spacing w:after="120" w:line="260" w:lineRule="exact"/>
              <w:jc w:val="center"/>
              <w:rPr>
                <w:rFonts w:cs="Arial"/>
                <w:b/>
                <w:color w:val="000000"/>
                <w:sz w:val="18"/>
                <w:szCs w:val="18"/>
                <w:lang w:val="en-US"/>
              </w:rPr>
            </w:pPr>
          </w:p>
        </w:tc>
        <w:tc>
          <w:tcPr>
            <w:tcW w:w="7278" w:type="dxa"/>
          </w:tcPr>
          <w:p w14:paraId="030A3DEB" w14:textId="77777777" w:rsidR="001A1B77" w:rsidRPr="000D7A90" w:rsidDel="007C1EAE" w:rsidRDefault="001A1B77" w:rsidP="001A1B77">
            <w:pPr>
              <w:autoSpaceDE w:val="0"/>
              <w:autoSpaceDN w:val="0"/>
              <w:adjustRightInd w:val="0"/>
              <w:spacing w:after="120" w:line="260" w:lineRule="exact"/>
              <w:rPr>
                <w:rFonts w:cs="Arial"/>
                <w:color w:val="000000"/>
                <w:sz w:val="18"/>
                <w:szCs w:val="18"/>
                <w:lang w:val="en-US"/>
              </w:rPr>
            </w:pPr>
          </w:p>
        </w:tc>
      </w:tr>
    </w:tbl>
    <w:p w14:paraId="0D0281E8" w14:textId="77777777" w:rsidR="00E5588C" w:rsidRPr="000D7A90" w:rsidRDefault="00E5588C" w:rsidP="00983D8D"/>
    <w:p w14:paraId="343E5DF9" w14:textId="77777777" w:rsidR="00C46F77" w:rsidRPr="000D7A90" w:rsidRDefault="00C46F77">
      <w:pPr>
        <w:spacing w:after="0" w:line="240" w:lineRule="auto"/>
        <w:rPr>
          <w:rFonts w:ascii="Times New Roman" w:hAnsi="Times New Roman"/>
          <w:b/>
          <w:caps/>
          <w:lang w:val="en-CA"/>
        </w:rPr>
      </w:pPr>
      <w:r w:rsidRPr="000D7A90">
        <w:rPr>
          <w:rFonts w:ascii="Times New Roman" w:hAnsi="Times New Roman"/>
          <w:b/>
          <w:caps/>
          <w:lang w:val="en-CA"/>
        </w:rPr>
        <w:br w:type="page"/>
      </w:r>
    </w:p>
    <w:p w14:paraId="57A7F83D" w14:textId="77777777" w:rsidR="006E0859" w:rsidRPr="000D7A90" w:rsidRDefault="00C46F77" w:rsidP="006E0859">
      <w:pPr>
        <w:spacing w:after="0" w:line="240" w:lineRule="auto"/>
        <w:jc w:val="center"/>
        <w:rPr>
          <w:rFonts w:ascii="Times New Roman" w:hAnsi="Times New Roman"/>
          <w:b/>
          <w:caps/>
          <w:lang w:val="en-CA"/>
        </w:rPr>
      </w:pPr>
      <w:r w:rsidRPr="000D7A90">
        <w:rPr>
          <w:rFonts w:ascii="Times New Roman" w:hAnsi="Times New Roman"/>
          <w:b/>
          <w:caps/>
          <w:lang w:val="en-CA"/>
        </w:rPr>
        <w:lastRenderedPageBreak/>
        <w:t>Appendix I</w:t>
      </w:r>
      <w:r w:rsidR="006E0859" w:rsidRPr="000D7A90">
        <w:rPr>
          <w:rFonts w:ascii="Times New Roman" w:hAnsi="Times New Roman"/>
          <w:b/>
          <w:caps/>
          <w:lang w:val="en-CA"/>
        </w:rPr>
        <w:t>I</w:t>
      </w:r>
    </w:p>
    <w:p w14:paraId="61EB33BE" w14:textId="77777777" w:rsidR="00C46F77" w:rsidRPr="000D7A90" w:rsidRDefault="00C46F77" w:rsidP="00C46F77">
      <w:pPr>
        <w:spacing w:after="140" w:line="290" w:lineRule="auto"/>
        <w:jc w:val="center"/>
        <w:rPr>
          <w:rFonts w:ascii="Times New Roman" w:hAnsi="Times New Roman"/>
          <w:b/>
          <w:caps/>
          <w:lang w:val="en-CA"/>
        </w:rPr>
      </w:pPr>
    </w:p>
    <w:p w14:paraId="172CFC55" w14:textId="77777777" w:rsidR="00C46F77" w:rsidRPr="000D7A90" w:rsidRDefault="00C46F77" w:rsidP="00C46F77">
      <w:pPr>
        <w:spacing w:after="0" w:line="240" w:lineRule="auto"/>
        <w:jc w:val="center"/>
        <w:rPr>
          <w:rFonts w:ascii="Times New Roman" w:hAnsi="Times New Roman"/>
          <w:b/>
          <w:caps/>
          <w:lang w:val="en-CA"/>
        </w:rPr>
      </w:pPr>
      <w:r w:rsidRPr="000D7A90">
        <w:rPr>
          <w:rFonts w:ascii="Times New Roman" w:hAnsi="Times New Roman"/>
          <w:b/>
          <w:caps/>
          <w:lang w:val="en-CA"/>
        </w:rPr>
        <w:t>Illustration on how returns and losses can occur under different scenarios</w:t>
      </w:r>
    </w:p>
    <w:p w14:paraId="33D90978" w14:textId="77777777" w:rsidR="00C46F77" w:rsidRPr="000D7A90" w:rsidRDefault="00C46F77" w:rsidP="00C46F77">
      <w:pPr>
        <w:spacing w:after="0" w:line="240" w:lineRule="auto"/>
        <w:jc w:val="center"/>
        <w:rPr>
          <w:rFonts w:ascii="Times New Roman" w:hAnsi="Times New Roman"/>
          <w:b/>
          <w:caps/>
          <w:lang w:val="en-CA"/>
        </w:rPr>
      </w:pPr>
    </w:p>
    <w:p w14:paraId="284D0A1A" w14:textId="77777777" w:rsidR="001A1B77" w:rsidRPr="000D7A90" w:rsidRDefault="001A1B77" w:rsidP="001A1B77">
      <w:pPr>
        <w:keepNext/>
        <w:autoSpaceDE w:val="0"/>
        <w:autoSpaceDN w:val="0"/>
        <w:adjustRightInd w:val="0"/>
        <w:snapToGrid w:val="0"/>
        <w:spacing w:after="140" w:line="264" w:lineRule="auto"/>
        <w:jc w:val="both"/>
        <w:rPr>
          <w:rFonts w:ascii="Times New Roman" w:hAnsi="Times New Roman"/>
          <w:i/>
          <w:color w:val="000000"/>
          <w:sz w:val="20"/>
          <w:szCs w:val="20"/>
        </w:rPr>
      </w:pPr>
      <w:r w:rsidRPr="000D7A90">
        <w:rPr>
          <w:rFonts w:ascii="Times New Roman" w:hAnsi="Times New Roman"/>
          <w:i/>
          <w:color w:val="000000"/>
          <w:sz w:val="20"/>
          <w:szCs w:val="20"/>
        </w:rPr>
        <w:t xml:space="preserve">The examples are purely hypothetical and do not take fees and charges payable by investors into consideration. The examples highlight the effect of the Underlying Stock performance on the value of the Certificates and do not </w:t>
      </w:r>
      <w:proofErr w:type="gramStart"/>
      <w:r w:rsidRPr="000D7A90">
        <w:rPr>
          <w:rFonts w:ascii="Times New Roman" w:hAnsi="Times New Roman"/>
          <w:i/>
          <w:color w:val="000000"/>
          <w:sz w:val="20"/>
          <w:szCs w:val="20"/>
        </w:rPr>
        <w:t>take into account</w:t>
      </w:r>
      <w:proofErr w:type="gramEnd"/>
      <w:r w:rsidRPr="000D7A90">
        <w:rPr>
          <w:rFonts w:ascii="Times New Roman" w:hAnsi="Times New Roman"/>
          <w:i/>
          <w:color w:val="000000"/>
          <w:sz w:val="20"/>
          <w:szCs w:val="20"/>
        </w:rPr>
        <w:t xml:space="preserve"> the possible influence of fees or any other market parameters</w:t>
      </w:r>
      <w:r w:rsidRPr="000D7A90">
        <w:rPr>
          <w:rFonts w:ascii="Times New Roman" w:hAnsi="Times New Roman"/>
          <w:color w:val="000000"/>
          <w:sz w:val="20"/>
          <w:szCs w:val="20"/>
        </w:rPr>
        <w:t>.</w:t>
      </w:r>
    </w:p>
    <w:p w14:paraId="2E894231" w14:textId="77777777" w:rsidR="00C46F77" w:rsidRPr="000D7A90" w:rsidRDefault="00C46F77" w:rsidP="00C46F77">
      <w:pPr>
        <w:spacing w:after="120"/>
        <w:rPr>
          <w:rFonts w:ascii="Times New Roman" w:hAnsi="Times New Roman"/>
          <w:sz w:val="20"/>
          <w:szCs w:val="20"/>
          <w:u w:val="single"/>
          <w:lang w:val="en-US"/>
        </w:rPr>
      </w:pPr>
      <w:r w:rsidRPr="000D7A90">
        <w:rPr>
          <w:rFonts w:ascii="Times New Roman" w:hAnsi="Times New Roman"/>
          <w:sz w:val="20"/>
          <w:szCs w:val="20"/>
          <w:lang w:val="en-US"/>
        </w:rPr>
        <w:t xml:space="preserve">1. </w:t>
      </w:r>
      <w:r w:rsidRPr="000D7A90">
        <w:rPr>
          <w:rFonts w:ascii="Times New Roman" w:hAnsi="Times New Roman"/>
          <w:sz w:val="20"/>
          <w:szCs w:val="20"/>
          <w:u w:val="single"/>
          <w:lang w:val="en-US"/>
        </w:rPr>
        <w:t>Illustrative examples</w:t>
      </w:r>
    </w:p>
    <w:p w14:paraId="62BD14DC" w14:textId="77777777" w:rsidR="006E0859" w:rsidRPr="000D7A90" w:rsidRDefault="006E0859" w:rsidP="006E0859">
      <w:pPr>
        <w:spacing w:after="120"/>
        <w:jc w:val="center"/>
        <w:rPr>
          <w:rFonts w:ascii="Times New Roman" w:hAnsi="Times New Roman"/>
          <w:i/>
          <w:color w:val="000000"/>
          <w:sz w:val="20"/>
          <w:szCs w:val="20"/>
          <w:u w:val="single"/>
        </w:rPr>
      </w:pPr>
      <w:r w:rsidRPr="000D7A90">
        <w:rPr>
          <w:rFonts w:ascii="Times New Roman" w:hAnsi="Times New Roman"/>
          <w:i/>
          <w:color w:val="000000"/>
          <w:sz w:val="20"/>
          <w:szCs w:val="20"/>
          <w:u w:val="single"/>
        </w:rPr>
        <w:t>Scenario 1 – Upward Trend</w:t>
      </w:r>
    </w:p>
    <w:p w14:paraId="0AD62B92" w14:textId="77777777" w:rsidR="006E0859" w:rsidRPr="000D7A90" w:rsidRDefault="00C667AE" w:rsidP="006E0859">
      <w:pPr>
        <w:spacing w:after="140" w:line="290" w:lineRule="auto"/>
        <w:jc w:val="center"/>
        <w:rPr>
          <w:rFonts w:ascii="Times New Roman" w:hAnsi="Times New Roman"/>
          <w:sz w:val="20"/>
          <w:szCs w:val="20"/>
        </w:rPr>
      </w:pPr>
      <w:r w:rsidRPr="000D7A90">
        <w:rPr>
          <w:rFonts w:ascii="Times New Roman" w:hAnsi="Times New Roman"/>
          <w:noProof/>
          <w:sz w:val="20"/>
          <w:szCs w:val="20"/>
        </w:rPr>
        <w:drawing>
          <wp:inline distT="0" distB="0" distL="0" distR="0" wp14:anchorId="314810D1" wp14:editId="34B9FA44">
            <wp:extent cx="4846320" cy="222486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46320" cy="2224864"/>
                    </a:xfrm>
                    <a:prstGeom prst="rect">
                      <a:avLst/>
                    </a:prstGeom>
                    <a:noFill/>
                  </pic:spPr>
                </pic:pic>
              </a:graphicData>
            </a:graphic>
          </wp:inline>
        </w:drawing>
      </w:r>
    </w:p>
    <w:p w14:paraId="555225E0" w14:textId="77777777" w:rsidR="006E0859" w:rsidRPr="000D7A90" w:rsidRDefault="006E0859" w:rsidP="006E0859">
      <w:pPr>
        <w:spacing w:after="120"/>
        <w:jc w:val="center"/>
        <w:rPr>
          <w:rFonts w:ascii="Times New Roman" w:hAnsi="Times New Roman"/>
          <w:i/>
          <w:color w:val="000000"/>
          <w:sz w:val="20"/>
          <w:szCs w:val="20"/>
          <w:u w:val="single"/>
        </w:rPr>
      </w:pPr>
      <w:r w:rsidRPr="000D7A90">
        <w:rPr>
          <w:rFonts w:ascii="Times New Roman" w:hAnsi="Times New Roman"/>
          <w:i/>
          <w:color w:val="000000"/>
          <w:sz w:val="20"/>
          <w:szCs w:val="20"/>
          <w:u w:val="single"/>
        </w:rPr>
        <w:t>Scenario 2 – Downward Trend</w:t>
      </w:r>
    </w:p>
    <w:p w14:paraId="4B83F829" w14:textId="77777777" w:rsidR="006E0859" w:rsidRPr="000D7A90" w:rsidRDefault="00C667AE" w:rsidP="006E0859">
      <w:pPr>
        <w:spacing w:after="140" w:line="290" w:lineRule="auto"/>
        <w:jc w:val="center"/>
        <w:rPr>
          <w:rFonts w:ascii="Times New Roman" w:hAnsi="Times New Roman"/>
          <w:sz w:val="20"/>
          <w:szCs w:val="20"/>
        </w:rPr>
      </w:pPr>
      <w:r w:rsidRPr="000D7A90">
        <w:rPr>
          <w:rFonts w:ascii="Times New Roman" w:hAnsi="Times New Roman"/>
          <w:noProof/>
          <w:sz w:val="20"/>
          <w:szCs w:val="20"/>
        </w:rPr>
        <w:drawing>
          <wp:inline distT="0" distB="0" distL="0" distR="0" wp14:anchorId="5DC2E276" wp14:editId="1876A7F4">
            <wp:extent cx="4846320" cy="222486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6320" cy="2224864"/>
                    </a:xfrm>
                    <a:prstGeom prst="rect">
                      <a:avLst/>
                    </a:prstGeom>
                    <a:noFill/>
                  </pic:spPr>
                </pic:pic>
              </a:graphicData>
            </a:graphic>
          </wp:inline>
        </w:drawing>
      </w:r>
    </w:p>
    <w:p w14:paraId="20D42B6A" w14:textId="77777777" w:rsidR="006E0859" w:rsidRPr="000D7A90" w:rsidRDefault="006E0859" w:rsidP="006E0859">
      <w:pPr>
        <w:spacing w:after="120"/>
        <w:jc w:val="center"/>
        <w:rPr>
          <w:rFonts w:ascii="Times New Roman" w:hAnsi="Times New Roman"/>
          <w:i/>
          <w:color w:val="000000"/>
          <w:sz w:val="20"/>
          <w:szCs w:val="20"/>
          <w:u w:val="single"/>
        </w:rPr>
      </w:pPr>
      <w:r w:rsidRPr="000D7A90">
        <w:rPr>
          <w:rFonts w:ascii="Times New Roman" w:hAnsi="Times New Roman"/>
          <w:i/>
          <w:color w:val="000000"/>
          <w:sz w:val="20"/>
          <w:szCs w:val="20"/>
          <w:u w:val="single"/>
        </w:rPr>
        <w:t>Scenario 3 – Volatile Market</w:t>
      </w:r>
    </w:p>
    <w:p w14:paraId="06925847" w14:textId="77777777" w:rsidR="006E0859" w:rsidRPr="000D7A90" w:rsidRDefault="00C667AE" w:rsidP="006E0859">
      <w:pPr>
        <w:spacing w:after="140" w:line="290" w:lineRule="auto"/>
        <w:jc w:val="center"/>
        <w:rPr>
          <w:rFonts w:ascii="Times New Roman" w:hAnsi="Times New Roman"/>
          <w:sz w:val="20"/>
          <w:szCs w:val="20"/>
        </w:rPr>
      </w:pPr>
      <w:r w:rsidRPr="000D7A90">
        <w:rPr>
          <w:rFonts w:ascii="Times New Roman" w:hAnsi="Times New Roman"/>
          <w:noProof/>
          <w:sz w:val="20"/>
          <w:szCs w:val="20"/>
        </w:rPr>
        <w:drawing>
          <wp:inline distT="0" distB="0" distL="0" distR="0" wp14:anchorId="1B160260" wp14:editId="3665E256">
            <wp:extent cx="4846320" cy="223960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46320" cy="2239607"/>
                    </a:xfrm>
                    <a:prstGeom prst="rect">
                      <a:avLst/>
                    </a:prstGeom>
                    <a:noFill/>
                  </pic:spPr>
                </pic:pic>
              </a:graphicData>
            </a:graphic>
          </wp:inline>
        </w:drawing>
      </w:r>
    </w:p>
    <w:p w14:paraId="37515C4F" w14:textId="77777777" w:rsidR="006E0859" w:rsidRPr="000D7A90" w:rsidRDefault="006E0859" w:rsidP="00A66E27">
      <w:pPr>
        <w:spacing w:after="120"/>
        <w:rPr>
          <w:rFonts w:ascii="Times New Roman" w:hAnsi="Times New Roman"/>
          <w:b/>
          <w:sz w:val="20"/>
          <w:szCs w:val="20"/>
          <w:lang w:val="en-US"/>
        </w:rPr>
      </w:pPr>
    </w:p>
    <w:p w14:paraId="474F053C" w14:textId="77777777" w:rsidR="006E0859" w:rsidRPr="000D7A90" w:rsidRDefault="006E0859" w:rsidP="00A66E27">
      <w:pPr>
        <w:spacing w:after="120"/>
        <w:rPr>
          <w:rFonts w:ascii="Times New Roman" w:hAnsi="Times New Roman"/>
          <w:b/>
          <w:sz w:val="20"/>
          <w:szCs w:val="20"/>
          <w:lang w:val="en-US"/>
        </w:rPr>
      </w:pPr>
    </w:p>
    <w:p w14:paraId="3D88B407" w14:textId="77777777" w:rsidR="00A66E27" w:rsidRPr="000D7A90" w:rsidRDefault="00A66E27" w:rsidP="00C46F77">
      <w:pPr>
        <w:spacing w:after="140" w:line="290" w:lineRule="auto"/>
        <w:jc w:val="center"/>
      </w:pPr>
    </w:p>
    <w:p w14:paraId="406F333B" w14:textId="77777777" w:rsidR="00C46F77" w:rsidRPr="000D7A90" w:rsidRDefault="00C46F77" w:rsidP="00C46F77">
      <w:pPr>
        <w:keepNext/>
        <w:autoSpaceDE w:val="0"/>
        <w:autoSpaceDN w:val="0"/>
        <w:adjustRightInd w:val="0"/>
        <w:spacing w:after="140" w:line="290" w:lineRule="auto"/>
        <w:rPr>
          <w:rFonts w:ascii="Times New Roman" w:hAnsi="Times New Roman"/>
          <w:sz w:val="20"/>
          <w:szCs w:val="20"/>
        </w:rPr>
      </w:pPr>
      <w:r w:rsidRPr="000D7A90">
        <w:rPr>
          <w:rFonts w:ascii="Times New Roman" w:hAnsi="Times New Roman"/>
          <w:color w:val="000000"/>
          <w:sz w:val="20"/>
          <w:szCs w:val="20"/>
        </w:rPr>
        <w:t xml:space="preserve">2. </w:t>
      </w:r>
      <w:r w:rsidRPr="000D7A90">
        <w:rPr>
          <w:rFonts w:ascii="Times New Roman" w:hAnsi="Times New Roman"/>
          <w:color w:val="000000"/>
          <w:sz w:val="20"/>
          <w:szCs w:val="20"/>
          <w:u w:val="single"/>
        </w:rPr>
        <w:t>Numerical Examples</w:t>
      </w:r>
    </w:p>
    <w:p w14:paraId="050D2B3D" w14:textId="77777777" w:rsidR="00214553" w:rsidRPr="000D7A90" w:rsidRDefault="00214553" w:rsidP="00214553">
      <w:pPr>
        <w:spacing w:after="140"/>
        <w:jc w:val="center"/>
        <w:rPr>
          <w:rFonts w:ascii="Times New Roman" w:hAnsi="Times New Roman"/>
          <w:i/>
          <w:color w:val="000000"/>
          <w:sz w:val="20"/>
          <w:szCs w:val="20"/>
          <w:u w:val="single"/>
        </w:rPr>
      </w:pPr>
      <w:r w:rsidRPr="000D7A90">
        <w:rPr>
          <w:rFonts w:ascii="Times New Roman" w:hAnsi="Times New Roman"/>
          <w:i/>
          <w:color w:val="000000"/>
          <w:sz w:val="20"/>
          <w:szCs w:val="20"/>
          <w:u w:val="single"/>
        </w:rPr>
        <w:t>Scenario 1 – Upward Trend</w:t>
      </w:r>
    </w:p>
    <w:tbl>
      <w:tblPr>
        <w:tblW w:w="9015" w:type="dxa"/>
        <w:jc w:val="center"/>
        <w:tblBorders>
          <w:top w:val="single" w:sz="12" w:space="0" w:color="auto"/>
          <w:left w:val="single" w:sz="12" w:space="0" w:color="auto"/>
          <w:bottom w:val="single" w:sz="12" w:space="0" w:color="auto"/>
          <w:right w:val="single" w:sz="12" w:space="0" w:color="auto"/>
        </w:tblBorders>
        <w:tblCellMar>
          <w:left w:w="115" w:type="dxa"/>
          <w:right w:w="115" w:type="dxa"/>
        </w:tblCellMar>
        <w:tblLook w:val="04A0" w:firstRow="1" w:lastRow="0" w:firstColumn="1" w:lastColumn="0" w:noHBand="0" w:noVBand="1"/>
      </w:tblPr>
      <w:tblGrid>
        <w:gridCol w:w="2265"/>
        <w:gridCol w:w="1080"/>
        <w:gridCol w:w="1080"/>
        <w:gridCol w:w="1080"/>
        <w:gridCol w:w="1170"/>
        <w:gridCol w:w="1170"/>
        <w:gridCol w:w="1170"/>
      </w:tblGrid>
      <w:tr w:rsidR="00214553" w:rsidRPr="000D7A90" w14:paraId="761F70DB" w14:textId="77777777" w:rsidTr="000C1981">
        <w:trPr>
          <w:trHeight w:val="300"/>
          <w:jc w:val="center"/>
        </w:trPr>
        <w:tc>
          <w:tcPr>
            <w:tcW w:w="9015" w:type="dxa"/>
            <w:gridSpan w:val="7"/>
            <w:shd w:val="clear" w:color="000000" w:fill="FFFFFF"/>
            <w:noWrap/>
            <w:vAlign w:val="center"/>
            <w:hideMark/>
          </w:tcPr>
          <w:p w14:paraId="65407D9A" w14:textId="77777777" w:rsidR="00214553" w:rsidRPr="000D7A90" w:rsidRDefault="006E0859" w:rsidP="000C1981">
            <w:pPr>
              <w:jc w:val="center"/>
              <w:rPr>
                <w:rFonts w:ascii="Times New Roman" w:hAnsi="Times New Roman"/>
                <w:color w:val="000000"/>
                <w:sz w:val="20"/>
                <w:szCs w:val="20"/>
              </w:rPr>
            </w:pPr>
            <w:r w:rsidRPr="000D7A90">
              <w:rPr>
                <w:rFonts w:ascii="Times New Roman" w:hAnsi="Times New Roman"/>
                <w:b/>
                <w:color w:val="000000"/>
                <w:sz w:val="20"/>
                <w:szCs w:val="20"/>
              </w:rPr>
              <w:t xml:space="preserve">Underlying </w:t>
            </w:r>
            <w:r w:rsidR="00EA3F5D" w:rsidRPr="000D7A90">
              <w:rPr>
                <w:rFonts w:ascii="Times New Roman" w:hAnsi="Times New Roman"/>
                <w:b/>
                <w:color w:val="000000"/>
                <w:sz w:val="20"/>
                <w:szCs w:val="20"/>
              </w:rPr>
              <w:t>Stock</w:t>
            </w:r>
          </w:p>
        </w:tc>
      </w:tr>
      <w:tr w:rsidR="00214553" w:rsidRPr="000D7A90" w14:paraId="404CD2CA" w14:textId="77777777" w:rsidTr="000C1981">
        <w:trPr>
          <w:trHeight w:val="300"/>
          <w:jc w:val="center"/>
        </w:trPr>
        <w:tc>
          <w:tcPr>
            <w:tcW w:w="2265" w:type="dxa"/>
            <w:shd w:val="clear" w:color="000000" w:fill="D9D9D9"/>
            <w:noWrap/>
            <w:vAlign w:val="center"/>
            <w:hideMark/>
          </w:tcPr>
          <w:p w14:paraId="2F3981B0" w14:textId="77777777" w:rsidR="00214553" w:rsidRPr="000D7A90" w:rsidRDefault="00214553" w:rsidP="000C1981">
            <w:pPr>
              <w:jc w:val="center"/>
              <w:rPr>
                <w:rFonts w:ascii="Times New Roman" w:hAnsi="Times New Roman"/>
                <w:color w:val="000000"/>
                <w:sz w:val="20"/>
                <w:szCs w:val="20"/>
              </w:rPr>
            </w:pPr>
          </w:p>
        </w:tc>
        <w:tc>
          <w:tcPr>
            <w:tcW w:w="1080" w:type="dxa"/>
            <w:shd w:val="clear" w:color="000000" w:fill="D9D9D9"/>
            <w:noWrap/>
            <w:vAlign w:val="center"/>
            <w:hideMark/>
          </w:tcPr>
          <w:p w14:paraId="4C3107CA"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0</w:t>
            </w:r>
          </w:p>
        </w:tc>
        <w:tc>
          <w:tcPr>
            <w:tcW w:w="1080" w:type="dxa"/>
            <w:shd w:val="clear" w:color="000000" w:fill="D9D9D9"/>
            <w:noWrap/>
            <w:vAlign w:val="center"/>
            <w:hideMark/>
          </w:tcPr>
          <w:p w14:paraId="1004BBD5"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1</w:t>
            </w:r>
          </w:p>
        </w:tc>
        <w:tc>
          <w:tcPr>
            <w:tcW w:w="1080" w:type="dxa"/>
            <w:shd w:val="clear" w:color="000000" w:fill="D9D9D9"/>
            <w:noWrap/>
            <w:vAlign w:val="center"/>
            <w:hideMark/>
          </w:tcPr>
          <w:p w14:paraId="20A69FFD"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2</w:t>
            </w:r>
          </w:p>
        </w:tc>
        <w:tc>
          <w:tcPr>
            <w:tcW w:w="1170" w:type="dxa"/>
            <w:shd w:val="clear" w:color="000000" w:fill="D9D9D9"/>
            <w:noWrap/>
            <w:vAlign w:val="center"/>
            <w:hideMark/>
          </w:tcPr>
          <w:p w14:paraId="33547CEF"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3</w:t>
            </w:r>
          </w:p>
        </w:tc>
        <w:tc>
          <w:tcPr>
            <w:tcW w:w="1170" w:type="dxa"/>
            <w:shd w:val="clear" w:color="000000" w:fill="D9D9D9"/>
            <w:noWrap/>
            <w:vAlign w:val="center"/>
            <w:hideMark/>
          </w:tcPr>
          <w:p w14:paraId="4B49B65D"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4</w:t>
            </w:r>
          </w:p>
        </w:tc>
        <w:tc>
          <w:tcPr>
            <w:tcW w:w="1170" w:type="dxa"/>
            <w:shd w:val="clear" w:color="000000" w:fill="D9D9D9"/>
            <w:noWrap/>
            <w:vAlign w:val="center"/>
            <w:hideMark/>
          </w:tcPr>
          <w:p w14:paraId="65E5E9F2"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5</w:t>
            </w:r>
          </w:p>
        </w:tc>
      </w:tr>
      <w:tr w:rsidR="00214553" w:rsidRPr="000D7A90" w14:paraId="1465308B" w14:textId="77777777" w:rsidTr="000C1981">
        <w:trPr>
          <w:trHeight w:val="300"/>
          <w:jc w:val="center"/>
        </w:trPr>
        <w:tc>
          <w:tcPr>
            <w:tcW w:w="2265" w:type="dxa"/>
            <w:shd w:val="clear" w:color="auto" w:fill="auto"/>
            <w:noWrap/>
            <w:vAlign w:val="center"/>
            <w:hideMark/>
          </w:tcPr>
          <w:p w14:paraId="5E3F5C1C"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Daily return</w:t>
            </w:r>
          </w:p>
        </w:tc>
        <w:tc>
          <w:tcPr>
            <w:tcW w:w="1080" w:type="dxa"/>
            <w:shd w:val="clear" w:color="auto" w:fill="auto"/>
            <w:noWrap/>
            <w:vAlign w:val="center"/>
            <w:hideMark/>
          </w:tcPr>
          <w:p w14:paraId="3FBD7803"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62B1DCC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080" w:type="dxa"/>
            <w:shd w:val="clear" w:color="auto" w:fill="auto"/>
            <w:noWrap/>
            <w:vAlign w:val="center"/>
            <w:hideMark/>
          </w:tcPr>
          <w:p w14:paraId="5C6EFE3A"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170" w:type="dxa"/>
            <w:shd w:val="clear" w:color="auto" w:fill="auto"/>
            <w:noWrap/>
            <w:vAlign w:val="center"/>
            <w:hideMark/>
          </w:tcPr>
          <w:p w14:paraId="291BEBA9"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170" w:type="dxa"/>
            <w:shd w:val="clear" w:color="auto" w:fill="auto"/>
            <w:noWrap/>
            <w:vAlign w:val="center"/>
            <w:hideMark/>
          </w:tcPr>
          <w:p w14:paraId="2F2C7E26"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170" w:type="dxa"/>
            <w:shd w:val="clear" w:color="auto" w:fill="auto"/>
            <w:noWrap/>
            <w:vAlign w:val="center"/>
            <w:hideMark/>
          </w:tcPr>
          <w:p w14:paraId="58F043C8"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r>
      <w:tr w:rsidR="00214553" w:rsidRPr="000D7A90" w14:paraId="6A321507" w14:textId="77777777" w:rsidTr="000C1981">
        <w:trPr>
          <w:trHeight w:val="300"/>
          <w:jc w:val="center"/>
        </w:trPr>
        <w:tc>
          <w:tcPr>
            <w:tcW w:w="2265" w:type="dxa"/>
            <w:shd w:val="clear" w:color="auto" w:fill="auto"/>
            <w:noWrap/>
            <w:vAlign w:val="center"/>
            <w:hideMark/>
          </w:tcPr>
          <w:p w14:paraId="0903F2A8"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Value at end of day</w:t>
            </w:r>
          </w:p>
        </w:tc>
        <w:tc>
          <w:tcPr>
            <w:tcW w:w="1080" w:type="dxa"/>
            <w:shd w:val="clear" w:color="auto" w:fill="auto"/>
            <w:noWrap/>
            <w:vAlign w:val="center"/>
            <w:hideMark/>
          </w:tcPr>
          <w:p w14:paraId="7780C64F"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10,000.0</w:t>
            </w:r>
          </w:p>
        </w:tc>
        <w:tc>
          <w:tcPr>
            <w:tcW w:w="1080" w:type="dxa"/>
            <w:shd w:val="clear" w:color="auto" w:fill="auto"/>
            <w:noWrap/>
            <w:vAlign w:val="center"/>
            <w:hideMark/>
          </w:tcPr>
          <w:p w14:paraId="2244B625"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10,200.0</w:t>
            </w:r>
          </w:p>
        </w:tc>
        <w:tc>
          <w:tcPr>
            <w:tcW w:w="1080" w:type="dxa"/>
            <w:shd w:val="clear" w:color="auto" w:fill="auto"/>
            <w:noWrap/>
            <w:vAlign w:val="center"/>
            <w:hideMark/>
          </w:tcPr>
          <w:p w14:paraId="410C5D38"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10,404.0</w:t>
            </w:r>
          </w:p>
        </w:tc>
        <w:tc>
          <w:tcPr>
            <w:tcW w:w="1170" w:type="dxa"/>
            <w:shd w:val="clear" w:color="auto" w:fill="auto"/>
            <w:noWrap/>
            <w:vAlign w:val="center"/>
            <w:hideMark/>
          </w:tcPr>
          <w:p w14:paraId="1260F487"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10,612.1</w:t>
            </w:r>
          </w:p>
        </w:tc>
        <w:tc>
          <w:tcPr>
            <w:tcW w:w="1170" w:type="dxa"/>
            <w:shd w:val="clear" w:color="auto" w:fill="auto"/>
            <w:noWrap/>
            <w:vAlign w:val="center"/>
            <w:hideMark/>
          </w:tcPr>
          <w:p w14:paraId="2C91A7F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10,824.3</w:t>
            </w:r>
          </w:p>
        </w:tc>
        <w:tc>
          <w:tcPr>
            <w:tcW w:w="1170" w:type="dxa"/>
            <w:shd w:val="clear" w:color="auto" w:fill="auto"/>
            <w:noWrap/>
            <w:vAlign w:val="center"/>
            <w:hideMark/>
          </w:tcPr>
          <w:p w14:paraId="6AE4E500"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11,040.8</w:t>
            </w:r>
          </w:p>
        </w:tc>
      </w:tr>
      <w:tr w:rsidR="00214553" w:rsidRPr="000D7A90" w14:paraId="691828F5" w14:textId="77777777" w:rsidTr="000C1981">
        <w:trPr>
          <w:trHeight w:val="300"/>
          <w:jc w:val="center"/>
        </w:trPr>
        <w:tc>
          <w:tcPr>
            <w:tcW w:w="2265" w:type="dxa"/>
            <w:shd w:val="clear" w:color="auto" w:fill="auto"/>
            <w:noWrap/>
            <w:vAlign w:val="center"/>
            <w:hideMark/>
          </w:tcPr>
          <w:p w14:paraId="1E5D9A44"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Accumulated Return</w:t>
            </w:r>
          </w:p>
        </w:tc>
        <w:tc>
          <w:tcPr>
            <w:tcW w:w="1080" w:type="dxa"/>
            <w:shd w:val="clear" w:color="auto" w:fill="auto"/>
            <w:noWrap/>
            <w:vAlign w:val="center"/>
            <w:hideMark/>
          </w:tcPr>
          <w:p w14:paraId="07F3EBB0"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33A56F44"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2.00%</w:t>
            </w:r>
          </w:p>
        </w:tc>
        <w:tc>
          <w:tcPr>
            <w:tcW w:w="1080" w:type="dxa"/>
            <w:shd w:val="clear" w:color="auto" w:fill="auto"/>
            <w:noWrap/>
            <w:vAlign w:val="center"/>
            <w:hideMark/>
          </w:tcPr>
          <w:p w14:paraId="6CAA639C"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4.04%</w:t>
            </w:r>
          </w:p>
        </w:tc>
        <w:tc>
          <w:tcPr>
            <w:tcW w:w="1170" w:type="dxa"/>
            <w:shd w:val="clear" w:color="auto" w:fill="auto"/>
            <w:noWrap/>
            <w:vAlign w:val="center"/>
            <w:hideMark/>
          </w:tcPr>
          <w:p w14:paraId="5FBC44B1"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6.12%</w:t>
            </w:r>
          </w:p>
        </w:tc>
        <w:tc>
          <w:tcPr>
            <w:tcW w:w="1170" w:type="dxa"/>
            <w:shd w:val="clear" w:color="auto" w:fill="auto"/>
            <w:noWrap/>
            <w:vAlign w:val="center"/>
            <w:hideMark/>
          </w:tcPr>
          <w:p w14:paraId="54A41F3A"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8.24%</w:t>
            </w:r>
          </w:p>
        </w:tc>
        <w:tc>
          <w:tcPr>
            <w:tcW w:w="1170" w:type="dxa"/>
            <w:shd w:val="clear" w:color="auto" w:fill="auto"/>
            <w:noWrap/>
            <w:vAlign w:val="center"/>
            <w:hideMark/>
          </w:tcPr>
          <w:p w14:paraId="374EE79C"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10.41%</w:t>
            </w:r>
          </w:p>
        </w:tc>
      </w:tr>
    </w:tbl>
    <w:p w14:paraId="5EE81E50" w14:textId="77777777" w:rsidR="00214553" w:rsidRPr="000D7A90" w:rsidRDefault="00214553" w:rsidP="00214553">
      <w:pPr>
        <w:keepNext/>
        <w:autoSpaceDE w:val="0"/>
        <w:autoSpaceDN w:val="0"/>
        <w:adjustRightInd w:val="0"/>
        <w:spacing w:after="140" w:line="290" w:lineRule="auto"/>
        <w:jc w:val="center"/>
        <w:rPr>
          <w:rFonts w:ascii="Times New Roman" w:hAnsi="Times New Roman"/>
          <w:b/>
          <w:i/>
          <w:color w:val="000000"/>
          <w:sz w:val="20"/>
          <w:szCs w:val="20"/>
        </w:rPr>
      </w:pPr>
    </w:p>
    <w:tbl>
      <w:tblPr>
        <w:tblW w:w="9015" w:type="dxa"/>
        <w:jc w:val="center"/>
        <w:tblBorders>
          <w:top w:val="single" w:sz="12" w:space="0" w:color="auto"/>
          <w:left w:val="single" w:sz="12" w:space="0" w:color="auto"/>
          <w:bottom w:val="single" w:sz="12" w:space="0" w:color="auto"/>
          <w:right w:val="single" w:sz="12" w:space="0" w:color="auto"/>
        </w:tblBorders>
        <w:tblCellMar>
          <w:left w:w="115" w:type="dxa"/>
          <w:right w:w="115" w:type="dxa"/>
        </w:tblCellMar>
        <w:tblLook w:val="04A0" w:firstRow="1" w:lastRow="0" w:firstColumn="1" w:lastColumn="0" w:noHBand="0" w:noVBand="1"/>
      </w:tblPr>
      <w:tblGrid>
        <w:gridCol w:w="2265"/>
        <w:gridCol w:w="1080"/>
        <w:gridCol w:w="1080"/>
        <w:gridCol w:w="1080"/>
        <w:gridCol w:w="1170"/>
        <w:gridCol w:w="1170"/>
        <w:gridCol w:w="1170"/>
      </w:tblGrid>
      <w:tr w:rsidR="00214553" w:rsidRPr="000D7A90" w14:paraId="67A3B87C" w14:textId="77777777" w:rsidTr="000C1981">
        <w:trPr>
          <w:trHeight w:val="300"/>
          <w:jc w:val="center"/>
        </w:trPr>
        <w:tc>
          <w:tcPr>
            <w:tcW w:w="9015" w:type="dxa"/>
            <w:gridSpan w:val="7"/>
            <w:shd w:val="clear" w:color="000000" w:fill="FFFFFF"/>
            <w:noWrap/>
            <w:vAlign w:val="center"/>
            <w:hideMark/>
          </w:tcPr>
          <w:p w14:paraId="09DFBEB4"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b/>
                <w:color w:val="000000"/>
                <w:sz w:val="20"/>
                <w:szCs w:val="20"/>
                <w:lang w:val="fr-FR"/>
              </w:rPr>
              <w:t>Value of the Certificates</w:t>
            </w:r>
          </w:p>
        </w:tc>
      </w:tr>
      <w:tr w:rsidR="005E3F24" w:rsidRPr="000D7A90" w14:paraId="6F4EE4E0" w14:textId="77777777" w:rsidTr="000C1981">
        <w:trPr>
          <w:trHeight w:val="300"/>
          <w:jc w:val="center"/>
        </w:trPr>
        <w:tc>
          <w:tcPr>
            <w:tcW w:w="2265" w:type="dxa"/>
            <w:shd w:val="clear" w:color="000000" w:fill="D9D9D9"/>
            <w:noWrap/>
            <w:vAlign w:val="center"/>
            <w:hideMark/>
          </w:tcPr>
          <w:p w14:paraId="0EE956A0" w14:textId="77777777" w:rsidR="00214553" w:rsidRPr="000D7A90" w:rsidRDefault="00214553" w:rsidP="000C1981">
            <w:pPr>
              <w:jc w:val="center"/>
              <w:rPr>
                <w:rFonts w:ascii="Times New Roman" w:hAnsi="Times New Roman"/>
                <w:color w:val="000000"/>
                <w:sz w:val="20"/>
                <w:szCs w:val="20"/>
              </w:rPr>
            </w:pPr>
          </w:p>
        </w:tc>
        <w:tc>
          <w:tcPr>
            <w:tcW w:w="1080" w:type="dxa"/>
            <w:shd w:val="clear" w:color="000000" w:fill="D9D9D9"/>
            <w:noWrap/>
            <w:vAlign w:val="center"/>
            <w:hideMark/>
          </w:tcPr>
          <w:p w14:paraId="28ACE8FB"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0</w:t>
            </w:r>
          </w:p>
        </w:tc>
        <w:tc>
          <w:tcPr>
            <w:tcW w:w="1080" w:type="dxa"/>
            <w:shd w:val="clear" w:color="000000" w:fill="D9D9D9"/>
            <w:noWrap/>
            <w:vAlign w:val="center"/>
            <w:hideMark/>
          </w:tcPr>
          <w:p w14:paraId="0C72A926"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1</w:t>
            </w:r>
          </w:p>
        </w:tc>
        <w:tc>
          <w:tcPr>
            <w:tcW w:w="1080" w:type="dxa"/>
            <w:shd w:val="clear" w:color="000000" w:fill="D9D9D9"/>
            <w:noWrap/>
            <w:vAlign w:val="center"/>
            <w:hideMark/>
          </w:tcPr>
          <w:p w14:paraId="25CFC09E"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2</w:t>
            </w:r>
          </w:p>
        </w:tc>
        <w:tc>
          <w:tcPr>
            <w:tcW w:w="1170" w:type="dxa"/>
            <w:shd w:val="clear" w:color="000000" w:fill="D9D9D9"/>
            <w:noWrap/>
            <w:vAlign w:val="center"/>
            <w:hideMark/>
          </w:tcPr>
          <w:p w14:paraId="2E1D2E8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3</w:t>
            </w:r>
          </w:p>
        </w:tc>
        <w:tc>
          <w:tcPr>
            <w:tcW w:w="1170" w:type="dxa"/>
            <w:shd w:val="clear" w:color="000000" w:fill="D9D9D9"/>
            <w:noWrap/>
            <w:vAlign w:val="center"/>
            <w:hideMark/>
          </w:tcPr>
          <w:p w14:paraId="308E2B8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4</w:t>
            </w:r>
          </w:p>
        </w:tc>
        <w:tc>
          <w:tcPr>
            <w:tcW w:w="1170" w:type="dxa"/>
            <w:shd w:val="clear" w:color="000000" w:fill="D9D9D9"/>
            <w:noWrap/>
            <w:vAlign w:val="center"/>
            <w:hideMark/>
          </w:tcPr>
          <w:p w14:paraId="592804D9"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5</w:t>
            </w:r>
          </w:p>
        </w:tc>
      </w:tr>
      <w:tr w:rsidR="005E3F24" w:rsidRPr="000D7A90" w14:paraId="20B993E7" w14:textId="77777777" w:rsidTr="000C1981">
        <w:trPr>
          <w:trHeight w:val="300"/>
          <w:jc w:val="center"/>
        </w:trPr>
        <w:tc>
          <w:tcPr>
            <w:tcW w:w="2265" w:type="dxa"/>
            <w:noWrap/>
            <w:vAlign w:val="center"/>
            <w:hideMark/>
          </w:tcPr>
          <w:p w14:paraId="40AF62BB"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Daily return</w:t>
            </w:r>
          </w:p>
        </w:tc>
        <w:tc>
          <w:tcPr>
            <w:tcW w:w="1080" w:type="dxa"/>
            <w:noWrap/>
            <w:vAlign w:val="center"/>
            <w:hideMark/>
          </w:tcPr>
          <w:p w14:paraId="236B756E"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6C84BA1A" w14:textId="77777777" w:rsidR="00214553" w:rsidRPr="000D7A90" w:rsidRDefault="00A66E27" w:rsidP="00A66E27">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080" w:type="dxa"/>
            <w:shd w:val="clear" w:color="auto" w:fill="auto"/>
            <w:noWrap/>
            <w:vAlign w:val="center"/>
            <w:hideMark/>
          </w:tcPr>
          <w:p w14:paraId="3AE459AD" w14:textId="77777777" w:rsidR="00214553" w:rsidRPr="000D7A90" w:rsidRDefault="00A66E27"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655120C8" w14:textId="77777777" w:rsidR="00214553" w:rsidRPr="000D7A90" w:rsidRDefault="00A66E27" w:rsidP="006A47F1">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746377D0" w14:textId="77777777" w:rsidR="00214553" w:rsidRPr="000D7A90" w:rsidRDefault="00A66E27"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26F85AA1" w14:textId="77777777" w:rsidR="00214553" w:rsidRPr="000D7A90" w:rsidRDefault="00A66E27"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r>
      <w:tr w:rsidR="005E3F24" w:rsidRPr="000D7A90" w14:paraId="3B1E6350" w14:textId="77777777" w:rsidTr="0006622A">
        <w:trPr>
          <w:trHeight w:val="300"/>
          <w:jc w:val="center"/>
        </w:trPr>
        <w:tc>
          <w:tcPr>
            <w:tcW w:w="2265" w:type="dxa"/>
            <w:shd w:val="clear" w:color="auto" w:fill="auto"/>
            <w:noWrap/>
            <w:vAlign w:val="center"/>
            <w:hideMark/>
          </w:tcPr>
          <w:p w14:paraId="0A6BCE5A"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Price at end of day</w:t>
            </w:r>
          </w:p>
        </w:tc>
        <w:tc>
          <w:tcPr>
            <w:tcW w:w="1080" w:type="dxa"/>
            <w:shd w:val="clear" w:color="auto" w:fill="auto"/>
            <w:noWrap/>
            <w:hideMark/>
          </w:tcPr>
          <w:p w14:paraId="64D80678" w14:textId="77777777" w:rsidR="00214553" w:rsidRPr="000D7A90" w:rsidRDefault="00214553" w:rsidP="00A66E27">
            <w:pPr>
              <w:jc w:val="center"/>
              <w:rPr>
                <w:rFonts w:ascii="Times New Roman" w:hAnsi="Times New Roman"/>
                <w:color w:val="000000"/>
                <w:sz w:val="20"/>
                <w:szCs w:val="20"/>
              </w:rPr>
            </w:pPr>
            <w:r w:rsidRPr="000D7A90">
              <w:rPr>
                <w:rFonts w:ascii="Times New Roman" w:hAnsi="Times New Roman"/>
                <w:color w:val="000000"/>
                <w:sz w:val="20"/>
                <w:szCs w:val="20"/>
              </w:rPr>
              <w:t xml:space="preserve"> </w:t>
            </w:r>
            <w:r w:rsidR="00A66E27" w:rsidRPr="000D7A90">
              <w:rPr>
                <w:rFonts w:ascii="Times New Roman" w:hAnsi="Times New Roman"/>
                <w:color w:val="000000"/>
                <w:sz w:val="20"/>
                <w:szCs w:val="20"/>
              </w:rPr>
              <w:t>1</w:t>
            </w:r>
            <w:r w:rsidRPr="000D7A90">
              <w:rPr>
                <w:rFonts w:ascii="Times New Roman" w:hAnsi="Times New Roman"/>
                <w:color w:val="000000"/>
                <w:sz w:val="20"/>
                <w:szCs w:val="20"/>
              </w:rPr>
              <w:t xml:space="preserve"> </w:t>
            </w:r>
          </w:p>
        </w:tc>
        <w:tc>
          <w:tcPr>
            <w:tcW w:w="1080" w:type="dxa"/>
            <w:shd w:val="clear" w:color="auto" w:fill="auto"/>
            <w:noWrap/>
            <w:vAlign w:val="center"/>
            <w:hideMark/>
          </w:tcPr>
          <w:p w14:paraId="4E7D1723" w14:textId="77777777" w:rsidR="00214553" w:rsidRPr="000D7A90" w:rsidRDefault="00A66E27" w:rsidP="00A66E27">
            <w:pPr>
              <w:jc w:val="center"/>
              <w:rPr>
                <w:rFonts w:ascii="Times New Roman" w:hAnsi="Times New Roman"/>
                <w:color w:val="000000"/>
                <w:sz w:val="20"/>
                <w:szCs w:val="20"/>
              </w:rPr>
            </w:pPr>
            <w:r w:rsidRPr="000D7A90">
              <w:rPr>
                <w:rFonts w:ascii="Times New Roman" w:hAnsi="Times New Roman"/>
                <w:color w:val="000000"/>
                <w:sz w:val="20"/>
                <w:szCs w:val="20"/>
              </w:rPr>
              <w:t>0.90</w:t>
            </w:r>
          </w:p>
        </w:tc>
        <w:tc>
          <w:tcPr>
            <w:tcW w:w="1080" w:type="dxa"/>
            <w:shd w:val="clear" w:color="auto" w:fill="auto"/>
            <w:noWrap/>
            <w:vAlign w:val="center"/>
            <w:hideMark/>
          </w:tcPr>
          <w:p w14:paraId="2FED88FC" w14:textId="77777777" w:rsidR="00214553" w:rsidRPr="000D7A90" w:rsidRDefault="005E3F24" w:rsidP="008605A5">
            <w:pPr>
              <w:jc w:val="center"/>
              <w:rPr>
                <w:rFonts w:ascii="Times New Roman" w:hAnsi="Times New Roman"/>
                <w:color w:val="000000"/>
                <w:sz w:val="20"/>
                <w:szCs w:val="20"/>
              </w:rPr>
            </w:pPr>
            <w:r w:rsidRPr="000D7A90">
              <w:rPr>
                <w:rFonts w:ascii="Times New Roman" w:hAnsi="Times New Roman"/>
                <w:color w:val="000000"/>
                <w:sz w:val="20"/>
                <w:szCs w:val="20"/>
              </w:rPr>
              <w:t>0.81</w:t>
            </w:r>
          </w:p>
        </w:tc>
        <w:tc>
          <w:tcPr>
            <w:tcW w:w="1170" w:type="dxa"/>
            <w:shd w:val="clear" w:color="auto" w:fill="auto"/>
            <w:noWrap/>
            <w:vAlign w:val="center"/>
            <w:hideMark/>
          </w:tcPr>
          <w:p w14:paraId="46ACFB45" w14:textId="77777777" w:rsidR="00214553" w:rsidRPr="000D7A90" w:rsidRDefault="00B4783F" w:rsidP="00B4783F">
            <w:pPr>
              <w:jc w:val="center"/>
              <w:rPr>
                <w:rFonts w:ascii="Times New Roman" w:hAnsi="Times New Roman"/>
                <w:color w:val="000000"/>
                <w:sz w:val="20"/>
                <w:szCs w:val="20"/>
              </w:rPr>
            </w:pPr>
            <w:r w:rsidRPr="000D7A90">
              <w:rPr>
                <w:rFonts w:ascii="Times New Roman" w:hAnsi="Times New Roman"/>
                <w:color w:val="000000"/>
                <w:sz w:val="20"/>
                <w:szCs w:val="20"/>
              </w:rPr>
              <w:t>0.73</w:t>
            </w:r>
          </w:p>
        </w:tc>
        <w:tc>
          <w:tcPr>
            <w:tcW w:w="1170" w:type="dxa"/>
            <w:shd w:val="clear" w:color="auto" w:fill="auto"/>
            <w:noWrap/>
            <w:vAlign w:val="center"/>
            <w:hideMark/>
          </w:tcPr>
          <w:p w14:paraId="75306A18" w14:textId="77777777" w:rsidR="00214553" w:rsidRPr="000D7A90" w:rsidRDefault="00B4783F" w:rsidP="00B4783F">
            <w:pPr>
              <w:jc w:val="center"/>
              <w:rPr>
                <w:rFonts w:ascii="Times New Roman" w:hAnsi="Times New Roman"/>
                <w:color w:val="000000"/>
                <w:sz w:val="20"/>
                <w:szCs w:val="20"/>
              </w:rPr>
            </w:pPr>
            <w:r w:rsidRPr="000D7A90">
              <w:rPr>
                <w:rFonts w:ascii="Times New Roman" w:hAnsi="Times New Roman"/>
                <w:color w:val="000000"/>
                <w:sz w:val="20"/>
                <w:szCs w:val="20"/>
              </w:rPr>
              <w:t>0.66</w:t>
            </w:r>
          </w:p>
        </w:tc>
        <w:tc>
          <w:tcPr>
            <w:tcW w:w="1170" w:type="dxa"/>
            <w:shd w:val="clear" w:color="auto" w:fill="auto"/>
            <w:noWrap/>
            <w:vAlign w:val="center"/>
            <w:hideMark/>
          </w:tcPr>
          <w:p w14:paraId="5D63075D" w14:textId="77777777" w:rsidR="00214553" w:rsidRPr="000D7A90" w:rsidRDefault="00B4783F" w:rsidP="00B4783F">
            <w:pPr>
              <w:jc w:val="center"/>
              <w:rPr>
                <w:rFonts w:ascii="Times New Roman" w:hAnsi="Times New Roman"/>
                <w:color w:val="000000"/>
                <w:sz w:val="20"/>
                <w:szCs w:val="20"/>
              </w:rPr>
            </w:pPr>
            <w:r w:rsidRPr="000D7A90">
              <w:rPr>
                <w:rFonts w:ascii="Times New Roman" w:hAnsi="Times New Roman"/>
                <w:color w:val="000000"/>
                <w:sz w:val="20"/>
                <w:szCs w:val="20"/>
              </w:rPr>
              <w:t>0.59</w:t>
            </w:r>
          </w:p>
        </w:tc>
      </w:tr>
      <w:tr w:rsidR="005E3F24" w:rsidRPr="000D7A90" w14:paraId="2996FD5F" w14:textId="77777777" w:rsidTr="000C1981">
        <w:trPr>
          <w:trHeight w:val="300"/>
          <w:jc w:val="center"/>
        </w:trPr>
        <w:tc>
          <w:tcPr>
            <w:tcW w:w="2265" w:type="dxa"/>
            <w:shd w:val="clear" w:color="auto" w:fill="auto"/>
            <w:noWrap/>
            <w:vAlign w:val="center"/>
            <w:hideMark/>
          </w:tcPr>
          <w:p w14:paraId="17D4B674"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Accumulated Return</w:t>
            </w:r>
          </w:p>
        </w:tc>
        <w:tc>
          <w:tcPr>
            <w:tcW w:w="1080" w:type="dxa"/>
            <w:shd w:val="clear" w:color="auto" w:fill="auto"/>
            <w:noWrap/>
            <w:vAlign w:val="center"/>
            <w:hideMark/>
          </w:tcPr>
          <w:p w14:paraId="56683111"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762F4A77" w14:textId="77777777" w:rsidR="00214553" w:rsidRPr="000D7A90" w:rsidRDefault="00A66E27" w:rsidP="005E3F24">
            <w:pPr>
              <w:jc w:val="center"/>
              <w:rPr>
                <w:rFonts w:ascii="Times New Roman" w:hAnsi="Times New Roman"/>
                <w:color w:val="000000"/>
                <w:sz w:val="20"/>
                <w:szCs w:val="20"/>
              </w:rPr>
            </w:pPr>
            <w:r w:rsidRPr="000D7A90">
              <w:rPr>
                <w:rFonts w:ascii="Times New Roman" w:hAnsi="Times New Roman"/>
                <w:color w:val="000000"/>
                <w:sz w:val="20"/>
                <w:szCs w:val="20"/>
              </w:rPr>
              <w:t>-10.00%</w:t>
            </w:r>
          </w:p>
        </w:tc>
        <w:tc>
          <w:tcPr>
            <w:tcW w:w="1080" w:type="dxa"/>
            <w:shd w:val="clear" w:color="auto" w:fill="auto"/>
            <w:noWrap/>
            <w:vAlign w:val="center"/>
            <w:hideMark/>
          </w:tcPr>
          <w:p w14:paraId="0F48A9A6" w14:textId="77777777" w:rsidR="00214553" w:rsidRPr="000D7A90" w:rsidRDefault="00641AB3" w:rsidP="000C1981">
            <w:pPr>
              <w:jc w:val="center"/>
              <w:rPr>
                <w:rFonts w:ascii="Times New Roman" w:hAnsi="Times New Roman"/>
                <w:color w:val="000000"/>
                <w:sz w:val="20"/>
                <w:szCs w:val="20"/>
              </w:rPr>
            </w:pPr>
            <w:r w:rsidRPr="000D7A90">
              <w:rPr>
                <w:rFonts w:ascii="Times New Roman" w:hAnsi="Times New Roman"/>
                <w:color w:val="000000"/>
                <w:sz w:val="20"/>
                <w:szCs w:val="20"/>
              </w:rPr>
              <w:t>-19.00%</w:t>
            </w:r>
          </w:p>
        </w:tc>
        <w:tc>
          <w:tcPr>
            <w:tcW w:w="1170" w:type="dxa"/>
            <w:shd w:val="clear" w:color="auto" w:fill="auto"/>
            <w:noWrap/>
            <w:vAlign w:val="center"/>
            <w:hideMark/>
          </w:tcPr>
          <w:p w14:paraId="71A106DD" w14:textId="77777777" w:rsidR="00214553" w:rsidRPr="000D7A90" w:rsidRDefault="00B4783F" w:rsidP="00B4783F">
            <w:pPr>
              <w:jc w:val="center"/>
              <w:rPr>
                <w:rFonts w:ascii="Times New Roman" w:hAnsi="Times New Roman"/>
                <w:color w:val="000000"/>
                <w:sz w:val="20"/>
                <w:szCs w:val="20"/>
              </w:rPr>
            </w:pPr>
            <w:r w:rsidRPr="000D7A90">
              <w:rPr>
                <w:rFonts w:ascii="Times New Roman" w:hAnsi="Times New Roman"/>
                <w:color w:val="000000"/>
                <w:sz w:val="20"/>
                <w:szCs w:val="20"/>
              </w:rPr>
              <w:t>-27.10%</w:t>
            </w:r>
          </w:p>
        </w:tc>
        <w:tc>
          <w:tcPr>
            <w:tcW w:w="1170" w:type="dxa"/>
            <w:shd w:val="clear" w:color="auto" w:fill="auto"/>
            <w:noWrap/>
            <w:vAlign w:val="center"/>
            <w:hideMark/>
          </w:tcPr>
          <w:p w14:paraId="49914A04" w14:textId="77777777" w:rsidR="00214553" w:rsidRPr="000D7A90" w:rsidRDefault="00B4783F" w:rsidP="00B4783F">
            <w:pPr>
              <w:jc w:val="center"/>
              <w:rPr>
                <w:rFonts w:ascii="Times New Roman" w:hAnsi="Times New Roman"/>
                <w:color w:val="000000"/>
                <w:sz w:val="20"/>
                <w:szCs w:val="20"/>
              </w:rPr>
            </w:pPr>
            <w:r w:rsidRPr="000D7A90">
              <w:rPr>
                <w:rFonts w:ascii="Times New Roman" w:hAnsi="Times New Roman"/>
                <w:color w:val="000000"/>
                <w:sz w:val="20"/>
                <w:szCs w:val="20"/>
              </w:rPr>
              <w:t>-34.39%</w:t>
            </w:r>
          </w:p>
        </w:tc>
        <w:tc>
          <w:tcPr>
            <w:tcW w:w="1170" w:type="dxa"/>
            <w:shd w:val="clear" w:color="auto" w:fill="auto"/>
            <w:noWrap/>
            <w:vAlign w:val="center"/>
            <w:hideMark/>
          </w:tcPr>
          <w:p w14:paraId="65D14D7F" w14:textId="77777777" w:rsidR="00214553" w:rsidRPr="000D7A90" w:rsidRDefault="00B4783F" w:rsidP="00B4783F">
            <w:pPr>
              <w:jc w:val="center"/>
              <w:rPr>
                <w:rFonts w:ascii="Times New Roman" w:hAnsi="Times New Roman"/>
                <w:color w:val="000000"/>
                <w:sz w:val="20"/>
                <w:szCs w:val="20"/>
              </w:rPr>
            </w:pPr>
            <w:r w:rsidRPr="000D7A90">
              <w:rPr>
                <w:rFonts w:ascii="Times New Roman" w:hAnsi="Times New Roman"/>
                <w:color w:val="000000"/>
                <w:sz w:val="20"/>
                <w:szCs w:val="20"/>
              </w:rPr>
              <w:t>-40.95%</w:t>
            </w:r>
          </w:p>
        </w:tc>
      </w:tr>
    </w:tbl>
    <w:p w14:paraId="2082DF22" w14:textId="77777777" w:rsidR="00214553" w:rsidRPr="000D7A90" w:rsidRDefault="00214553" w:rsidP="00214553">
      <w:pPr>
        <w:keepNext/>
        <w:autoSpaceDE w:val="0"/>
        <w:autoSpaceDN w:val="0"/>
        <w:adjustRightInd w:val="0"/>
        <w:spacing w:after="140" w:line="290" w:lineRule="auto"/>
        <w:jc w:val="center"/>
        <w:rPr>
          <w:rFonts w:ascii="Times New Roman" w:hAnsi="Times New Roman"/>
          <w:i/>
          <w:color w:val="000000"/>
          <w:sz w:val="20"/>
          <w:szCs w:val="20"/>
          <w:u w:val="single"/>
        </w:rPr>
      </w:pPr>
    </w:p>
    <w:p w14:paraId="57B6E8FA" w14:textId="77777777" w:rsidR="00214553" w:rsidRPr="000D7A90" w:rsidRDefault="00214553" w:rsidP="00214553">
      <w:pPr>
        <w:keepNext/>
        <w:autoSpaceDE w:val="0"/>
        <w:autoSpaceDN w:val="0"/>
        <w:adjustRightInd w:val="0"/>
        <w:spacing w:after="140" w:line="290" w:lineRule="auto"/>
        <w:jc w:val="center"/>
        <w:rPr>
          <w:rFonts w:ascii="Times New Roman" w:hAnsi="Times New Roman"/>
          <w:i/>
          <w:color w:val="000000"/>
          <w:sz w:val="20"/>
          <w:szCs w:val="20"/>
          <w:u w:val="single"/>
        </w:rPr>
      </w:pPr>
      <w:r w:rsidRPr="000D7A90">
        <w:rPr>
          <w:rFonts w:ascii="Times New Roman" w:hAnsi="Times New Roman"/>
          <w:i/>
          <w:color w:val="000000"/>
          <w:sz w:val="20"/>
          <w:szCs w:val="20"/>
          <w:u w:val="single"/>
        </w:rPr>
        <w:t>Scenario 2 – Downward Trend</w:t>
      </w:r>
    </w:p>
    <w:tbl>
      <w:tblPr>
        <w:tblW w:w="9015" w:type="dxa"/>
        <w:jc w:val="center"/>
        <w:tblBorders>
          <w:top w:val="single" w:sz="12" w:space="0" w:color="auto"/>
          <w:left w:val="single" w:sz="12" w:space="0" w:color="auto"/>
          <w:bottom w:val="single" w:sz="12" w:space="0" w:color="auto"/>
          <w:right w:val="single" w:sz="12" w:space="0" w:color="auto"/>
        </w:tblBorders>
        <w:tblCellMar>
          <w:left w:w="115" w:type="dxa"/>
          <w:right w:w="115" w:type="dxa"/>
        </w:tblCellMar>
        <w:tblLook w:val="04A0" w:firstRow="1" w:lastRow="0" w:firstColumn="1" w:lastColumn="0" w:noHBand="0" w:noVBand="1"/>
      </w:tblPr>
      <w:tblGrid>
        <w:gridCol w:w="2265"/>
        <w:gridCol w:w="1080"/>
        <w:gridCol w:w="1080"/>
        <w:gridCol w:w="1080"/>
        <w:gridCol w:w="1170"/>
        <w:gridCol w:w="1170"/>
        <w:gridCol w:w="1170"/>
      </w:tblGrid>
      <w:tr w:rsidR="00214553" w:rsidRPr="000D7A90" w14:paraId="7539D12A" w14:textId="77777777" w:rsidTr="000C1981">
        <w:trPr>
          <w:trHeight w:val="300"/>
          <w:jc w:val="center"/>
        </w:trPr>
        <w:tc>
          <w:tcPr>
            <w:tcW w:w="9015" w:type="dxa"/>
            <w:gridSpan w:val="7"/>
            <w:shd w:val="clear" w:color="000000" w:fill="FFFFFF"/>
            <w:noWrap/>
            <w:vAlign w:val="center"/>
            <w:hideMark/>
          </w:tcPr>
          <w:p w14:paraId="1F149F8E" w14:textId="77777777" w:rsidR="00214553" w:rsidRPr="000D7A90" w:rsidRDefault="006E0859" w:rsidP="000C1981">
            <w:pPr>
              <w:jc w:val="center"/>
              <w:rPr>
                <w:rFonts w:ascii="Times New Roman" w:hAnsi="Times New Roman"/>
                <w:color w:val="000000"/>
                <w:sz w:val="20"/>
                <w:szCs w:val="20"/>
              </w:rPr>
            </w:pPr>
            <w:r w:rsidRPr="000D7A90">
              <w:rPr>
                <w:rFonts w:ascii="Times New Roman" w:hAnsi="Times New Roman"/>
                <w:b/>
                <w:color w:val="000000"/>
                <w:sz w:val="20"/>
                <w:szCs w:val="20"/>
              </w:rPr>
              <w:t xml:space="preserve">Underlying </w:t>
            </w:r>
            <w:r w:rsidR="00EA3F5D" w:rsidRPr="000D7A90">
              <w:rPr>
                <w:rFonts w:ascii="Times New Roman" w:hAnsi="Times New Roman"/>
                <w:b/>
                <w:color w:val="000000"/>
                <w:sz w:val="20"/>
                <w:szCs w:val="20"/>
              </w:rPr>
              <w:t>Stock</w:t>
            </w:r>
          </w:p>
        </w:tc>
      </w:tr>
      <w:tr w:rsidR="00214553" w:rsidRPr="000D7A90" w14:paraId="2632C34B" w14:textId="77777777" w:rsidTr="000C1981">
        <w:trPr>
          <w:trHeight w:val="300"/>
          <w:jc w:val="center"/>
        </w:trPr>
        <w:tc>
          <w:tcPr>
            <w:tcW w:w="2265" w:type="dxa"/>
            <w:shd w:val="clear" w:color="000000" w:fill="D9D9D9"/>
            <w:noWrap/>
            <w:vAlign w:val="center"/>
            <w:hideMark/>
          </w:tcPr>
          <w:p w14:paraId="461A3C82" w14:textId="77777777" w:rsidR="00214553" w:rsidRPr="000D7A90" w:rsidRDefault="00214553" w:rsidP="000C1981">
            <w:pPr>
              <w:jc w:val="center"/>
              <w:rPr>
                <w:rFonts w:ascii="Times New Roman" w:hAnsi="Times New Roman"/>
                <w:color w:val="000000"/>
                <w:sz w:val="20"/>
                <w:szCs w:val="20"/>
              </w:rPr>
            </w:pPr>
          </w:p>
        </w:tc>
        <w:tc>
          <w:tcPr>
            <w:tcW w:w="1080" w:type="dxa"/>
            <w:shd w:val="clear" w:color="000000" w:fill="D9D9D9"/>
            <w:noWrap/>
            <w:vAlign w:val="center"/>
            <w:hideMark/>
          </w:tcPr>
          <w:p w14:paraId="779011A1"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0</w:t>
            </w:r>
          </w:p>
        </w:tc>
        <w:tc>
          <w:tcPr>
            <w:tcW w:w="1080" w:type="dxa"/>
            <w:shd w:val="clear" w:color="000000" w:fill="D9D9D9"/>
            <w:noWrap/>
            <w:vAlign w:val="center"/>
            <w:hideMark/>
          </w:tcPr>
          <w:p w14:paraId="6D01357C"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1</w:t>
            </w:r>
          </w:p>
        </w:tc>
        <w:tc>
          <w:tcPr>
            <w:tcW w:w="1080" w:type="dxa"/>
            <w:shd w:val="clear" w:color="000000" w:fill="D9D9D9"/>
            <w:noWrap/>
            <w:vAlign w:val="center"/>
            <w:hideMark/>
          </w:tcPr>
          <w:p w14:paraId="626DDABE"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2</w:t>
            </w:r>
          </w:p>
        </w:tc>
        <w:tc>
          <w:tcPr>
            <w:tcW w:w="1170" w:type="dxa"/>
            <w:shd w:val="clear" w:color="000000" w:fill="D9D9D9"/>
            <w:noWrap/>
            <w:vAlign w:val="center"/>
            <w:hideMark/>
          </w:tcPr>
          <w:p w14:paraId="2B6D9F3D"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3</w:t>
            </w:r>
          </w:p>
        </w:tc>
        <w:tc>
          <w:tcPr>
            <w:tcW w:w="1170" w:type="dxa"/>
            <w:shd w:val="clear" w:color="000000" w:fill="D9D9D9"/>
            <w:noWrap/>
            <w:vAlign w:val="center"/>
            <w:hideMark/>
          </w:tcPr>
          <w:p w14:paraId="2782B670"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4</w:t>
            </w:r>
          </w:p>
        </w:tc>
        <w:tc>
          <w:tcPr>
            <w:tcW w:w="1170" w:type="dxa"/>
            <w:shd w:val="clear" w:color="000000" w:fill="D9D9D9"/>
            <w:noWrap/>
            <w:vAlign w:val="center"/>
            <w:hideMark/>
          </w:tcPr>
          <w:p w14:paraId="5C9DA0E8"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5</w:t>
            </w:r>
          </w:p>
        </w:tc>
      </w:tr>
      <w:tr w:rsidR="00214553" w:rsidRPr="000D7A90" w14:paraId="35D04557" w14:textId="77777777" w:rsidTr="000C1981">
        <w:trPr>
          <w:trHeight w:val="300"/>
          <w:jc w:val="center"/>
        </w:trPr>
        <w:tc>
          <w:tcPr>
            <w:tcW w:w="2265" w:type="dxa"/>
            <w:noWrap/>
            <w:vAlign w:val="center"/>
            <w:hideMark/>
          </w:tcPr>
          <w:p w14:paraId="047AD404"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Daily return</w:t>
            </w:r>
          </w:p>
        </w:tc>
        <w:tc>
          <w:tcPr>
            <w:tcW w:w="1080" w:type="dxa"/>
            <w:noWrap/>
            <w:vAlign w:val="center"/>
            <w:hideMark/>
          </w:tcPr>
          <w:p w14:paraId="772440AB"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44D1C832"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080" w:type="dxa"/>
            <w:shd w:val="clear" w:color="auto" w:fill="auto"/>
            <w:noWrap/>
            <w:vAlign w:val="center"/>
            <w:hideMark/>
          </w:tcPr>
          <w:p w14:paraId="3EFA0B8B"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170" w:type="dxa"/>
            <w:shd w:val="clear" w:color="auto" w:fill="auto"/>
            <w:noWrap/>
            <w:vAlign w:val="center"/>
            <w:hideMark/>
          </w:tcPr>
          <w:p w14:paraId="1999A41F"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170" w:type="dxa"/>
            <w:shd w:val="clear" w:color="auto" w:fill="auto"/>
            <w:noWrap/>
            <w:vAlign w:val="center"/>
            <w:hideMark/>
          </w:tcPr>
          <w:p w14:paraId="3639FDD2"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170" w:type="dxa"/>
            <w:shd w:val="clear" w:color="auto" w:fill="auto"/>
            <w:noWrap/>
            <w:vAlign w:val="center"/>
            <w:hideMark/>
          </w:tcPr>
          <w:p w14:paraId="69CB42D8"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r>
      <w:tr w:rsidR="00214553" w:rsidRPr="000D7A90" w14:paraId="2E5C60F6" w14:textId="77777777" w:rsidTr="000C1981">
        <w:trPr>
          <w:trHeight w:val="300"/>
          <w:jc w:val="center"/>
        </w:trPr>
        <w:tc>
          <w:tcPr>
            <w:tcW w:w="2265" w:type="dxa"/>
            <w:shd w:val="clear" w:color="auto" w:fill="auto"/>
            <w:noWrap/>
            <w:vAlign w:val="center"/>
            <w:hideMark/>
          </w:tcPr>
          <w:p w14:paraId="1200F187"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Value at end of day</w:t>
            </w:r>
          </w:p>
        </w:tc>
        <w:tc>
          <w:tcPr>
            <w:tcW w:w="1080" w:type="dxa"/>
            <w:shd w:val="clear" w:color="auto" w:fill="auto"/>
            <w:noWrap/>
            <w:vAlign w:val="center"/>
            <w:hideMark/>
          </w:tcPr>
          <w:p w14:paraId="493E7021"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10,000.0</w:t>
            </w:r>
          </w:p>
        </w:tc>
        <w:tc>
          <w:tcPr>
            <w:tcW w:w="1080" w:type="dxa"/>
            <w:shd w:val="clear" w:color="auto" w:fill="auto"/>
            <w:noWrap/>
            <w:vAlign w:val="center"/>
            <w:hideMark/>
          </w:tcPr>
          <w:p w14:paraId="7B6082A4"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9,800.0</w:t>
            </w:r>
          </w:p>
        </w:tc>
        <w:tc>
          <w:tcPr>
            <w:tcW w:w="1080" w:type="dxa"/>
            <w:shd w:val="clear" w:color="auto" w:fill="auto"/>
            <w:noWrap/>
            <w:vAlign w:val="center"/>
            <w:hideMark/>
          </w:tcPr>
          <w:p w14:paraId="4080D9EB"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9,604.0</w:t>
            </w:r>
          </w:p>
        </w:tc>
        <w:tc>
          <w:tcPr>
            <w:tcW w:w="1170" w:type="dxa"/>
            <w:shd w:val="clear" w:color="auto" w:fill="auto"/>
            <w:noWrap/>
            <w:vAlign w:val="center"/>
            <w:hideMark/>
          </w:tcPr>
          <w:p w14:paraId="2A34EE74"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9,411.9</w:t>
            </w:r>
          </w:p>
        </w:tc>
        <w:tc>
          <w:tcPr>
            <w:tcW w:w="1170" w:type="dxa"/>
            <w:shd w:val="clear" w:color="auto" w:fill="auto"/>
            <w:noWrap/>
            <w:vAlign w:val="center"/>
            <w:hideMark/>
          </w:tcPr>
          <w:p w14:paraId="4BACA910"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9,223.7</w:t>
            </w:r>
          </w:p>
        </w:tc>
        <w:tc>
          <w:tcPr>
            <w:tcW w:w="1170" w:type="dxa"/>
            <w:shd w:val="clear" w:color="auto" w:fill="auto"/>
            <w:noWrap/>
            <w:vAlign w:val="center"/>
            <w:hideMark/>
          </w:tcPr>
          <w:p w14:paraId="39DEAB3F"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9,039.2</w:t>
            </w:r>
          </w:p>
        </w:tc>
      </w:tr>
      <w:tr w:rsidR="00214553" w:rsidRPr="000D7A90" w14:paraId="34932C0E" w14:textId="77777777" w:rsidTr="000C1981">
        <w:trPr>
          <w:trHeight w:val="300"/>
          <w:jc w:val="center"/>
        </w:trPr>
        <w:tc>
          <w:tcPr>
            <w:tcW w:w="2265" w:type="dxa"/>
            <w:shd w:val="clear" w:color="auto" w:fill="auto"/>
            <w:noWrap/>
            <w:vAlign w:val="center"/>
            <w:hideMark/>
          </w:tcPr>
          <w:p w14:paraId="29008560"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Accumulated Return</w:t>
            </w:r>
          </w:p>
        </w:tc>
        <w:tc>
          <w:tcPr>
            <w:tcW w:w="1080" w:type="dxa"/>
            <w:shd w:val="clear" w:color="auto" w:fill="auto"/>
            <w:noWrap/>
            <w:vAlign w:val="center"/>
            <w:hideMark/>
          </w:tcPr>
          <w:p w14:paraId="14097CB5"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4B01F482"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-2.00%</w:t>
            </w:r>
          </w:p>
        </w:tc>
        <w:tc>
          <w:tcPr>
            <w:tcW w:w="1080" w:type="dxa"/>
            <w:shd w:val="clear" w:color="auto" w:fill="auto"/>
            <w:noWrap/>
            <w:vAlign w:val="center"/>
            <w:hideMark/>
          </w:tcPr>
          <w:p w14:paraId="250E0761"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-3.96%</w:t>
            </w:r>
          </w:p>
        </w:tc>
        <w:tc>
          <w:tcPr>
            <w:tcW w:w="1170" w:type="dxa"/>
            <w:shd w:val="clear" w:color="auto" w:fill="auto"/>
            <w:noWrap/>
            <w:vAlign w:val="center"/>
            <w:hideMark/>
          </w:tcPr>
          <w:p w14:paraId="263DDA26"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-5.88%</w:t>
            </w:r>
          </w:p>
        </w:tc>
        <w:tc>
          <w:tcPr>
            <w:tcW w:w="1170" w:type="dxa"/>
            <w:shd w:val="clear" w:color="auto" w:fill="auto"/>
            <w:noWrap/>
            <w:vAlign w:val="center"/>
            <w:hideMark/>
          </w:tcPr>
          <w:p w14:paraId="2DE6A957"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-7.76%</w:t>
            </w:r>
          </w:p>
        </w:tc>
        <w:tc>
          <w:tcPr>
            <w:tcW w:w="1170" w:type="dxa"/>
            <w:shd w:val="clear" w:color="auto" w:fill="auto"/>
            <w:noWrap/>
            <w:vAlign w:val="center"/>
            <w:hideMark/>
          </w:tcPr>
          <w:p w14:paraId="04FB37AA"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-9.61%</w:t>
            </w:r>
          </w:p>
        </w:tc>
      </w:tr>
    </w:tbl>
    <w:p w14:paraId="0D0DF0E0" w14:textId="77777777" w:rsidR="00214553" w:rsidRPr="000D7A90" w:rsidRDefault="00214553" w:rsidP="00214553">
      <w:pPr>
        <w:keepNext/>
        <w:autoSpaceDE w:val="0"/>
        <w:autoSpaceDN w:val="0"/>
        <w:adjustRightInd w:val="0"/>
        <w:spacing w:after="140" w:line="290" w:lineRule="auto"/>
        <w:jc w:val="center"/>
        <w:rPr>
          <w:rFonts w:ascii="Times New Roman" w:hAnsi="Times New Roman"/>
          <w:b/>
          <w:i/>
          <w:color w:val="000000"/>
          <w:sz w:val="20"/>
          <w:szCs w:val="20"/>
        </w:rPr>
      </w:pPr>
    </w:p>
    <w:tbl>
      <w:tblPr>
        <w:tblW w:w="9015" w:type="dxa"/>
        <w:jc w:val="center"/>
        <w:tblBorders>
          <w:top w:val="single" w:sz="12" w:space="0" w:color="auto"/>
          <w:left w:val="single" w:sz="12" w:space="0" w:color="auto"/>
          <w:bottom w:val="single" w:sz="12" w:space="0" w:color="auto"/>
          <w:right w:val="single" w:sz="12" w:space="0" w:color="auto"/>
        </w:tblBorders>
        <w:tblCellMar>
          <w:left w:w="115" w:type="dxa"/>
          <w:right w:w="115" w:type="dxa"/>
        </w:tblCellMar>
        <w:tblLook w:val="04A0" w:firstRow="1" w:lastRow="0" w:firstColumn="1" w:lastColumn="0" w:noHBand="0" w:noVBand="1"/>
      </w:tblPr>
      <w:tblGrid>
        <w:gridCol w:w="2265"/>
        <w:gridCol w:w="1080"/>
        <w:gridCol w:w="1080"/>
        <w:gridCol w:w="1080"/>
        <w:gridCol w:w="1170"/>
        <w:gridCol w:w="1170"/>
        <w:gridCol w:w="1170"/>
      </w:tblGrid>
      <w:tr w:rsidR="00214553" w:rsidRPr="000D7A90" w14:paraId="7623DF1C" w14:textId="77777777" w:rsidTr="000C1981">
        <w:trPr>
          <w:trHeight w:val="300"/>
          <w:jc w:val="center"/>
        </w:trPr>
        <w:tc>
          <w:tcPr>
            <w:tcW w:w="9015" w:type="dxa"/>
            <w:gridSpan w:val="7"/>
            <w:shd w:val="clear" w:color="000000" w:fill="FFFFFF"/>
            <w:noWrap/>
            <w:vAlign w:val="center"/>
            <w:hideMark/>
          </w:tcPr>
          <w:p w14:paraId="6ADE8868"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b/>
                <w:color w:val="000000"/>
                <w:sz w:val="20"/>
                <w:szCs w:val="20"/>
                <w:lang w:val="fr-FR"/>
              </w:rPr>
              <w:t>Value of the Certificates</w:t>
            </w:r>
          </w:p>
        </w:tc>
      </w:tr>
      <w:tr w:rsidR="00214553" w:rsidRPr="000D7A90" w14:paraId="7A38B86D" w14:textId="77777777" w:rsidTr="000C1981">
        <w:trPr>
          <w:trHeight w:val="300"/>
          <w:jc w:val="center"/>
        </w:trPr>
        <w:tc>
          <w:tcPr>
            <w:tcW w:w="2265" w:type="dxa"/>
            <w:shd w:val="clear" w:color="000000" w:fill="D9D9D9"/>
            <w:noWrap/>
            <w:vAlign w:val="center"/>
            <w:hideMark/>
          </w:tcPr>
          <w:p w14:paraId="59333393" w14:textId="77777777" w:rsidR="00214553" w:rsidRPr="000D7A90" w:rsidRDefault="00214553" w:rsidP="000C1981">
            <w:pPr>
              <w:jc w:val="center"/>
              <w:rPr>
                <w:rFonts w:ascii="Times New Roman" w:hAnsi="Times New Roman"/>
                <w:color w:val="000000"/>
                <w:sz w:val="20"/>
                <w:szCs w:val="20"/>
              </w:rPr>
            </w:pPr>
          </w:p>
        </w:tc>
        <w:tc>
          <w:tcPr>
            <w:tcW w:w="1080" w:type="dxa"/>
            <w:shd w:val="clear" w:color="000000" w:fill="D9D9D9"/>
            <w:noWrap/>
            <w:vAlign w:val="center"/>
            <w:hideMark/>
          </w:tcPr>
          <w:p w14:paraId="1C4E78BA"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0</w:t>
            </w:r>
          </w:p>
        </w:tc>
        <w:tc>
          <w:tcPr>
            <w:tcW w:w="1080" w:type="dxa"/>
            <w:shd w:val="clear" w:color="000000" w:fill="D9D9D9"/>
            <w:noWrap/>
            <w:vAlign w:val="center"/>
            <w:hideMark/>
          </w:tcPr>
          <w:p w14:paraId="097A47BF"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1</w:t>
            </w:r>
          </w:p>
        </w:tc>
        <w:tc>
          <w:tcPr>
            <w:tcW w:w="1080" w:type="dxa"/>
            <w:shd w:val="clear" w:color="000000" w:fill="D9D9D9"/>
            <w:noWrap/>
            <w:vAlign w:val="center"/>
            <w:hideMark/>
          </w:tcPr>
          <w:p w14:paraId="331F2B80"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2</w:t>
            </w:r>
          </w:p>
        </w:tc>
        <w:tc>
          <w:tcPr>
            <w:tcW w:w="1170" w:type="dxa"/>
            <w:shd w:val="clear" w:color="000000" w:fill="D9D9D9"/>
            <w:noWrap/>
            <w:vAlign w:val="center"/>
            <w:hideMark/>
          </w:tcPr>
          <w:p w14:paraId="4DD4A16B"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3</w:t>
            </w:r>
          </w:p>
        </w:tc>
        <w:tc>
          <w:tcPr>
            <w:tcW w:w="1170" w:type="dxa"/>
            <w:shd w:val="clear" w:color="000000" w:fill="D9D9D9"/>
            <w:noWrap/>
            <w:vAlign w:val="center"/>
            <w:hideMark/>
          </w:tcPr>
          <w:p w14:paraId="7141707E"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4</w:t>
            </w:r>
          </w:p>
        </w:tc>
        <w:tc>
          <w:tcPr>
            <w:tcW w:w="1170" w:type="dxa"/>
            <w:shd w:val="clear" w:color="000000" w:fill="D9D9D9"/>
            <w:noWrap/>
            <w:vAlign w:val="center"/>
            <w:hideMark/>
          </w:tcPr>
          <w:p w14:paraId="76857DD1"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5</w:t>
            </w:r>
          </w:p>
        </w:tc>
      </w:tr>
      <w:tr w:rsidR="00214553" w:rsidRPr="000D7A90" w14:paraId="5F3082CF" w14:textId="77777777" w:rsidTr="000C1981">
        <w:trPr>
          <w:trHeight w:val="300"/>
          <w:jc w:val="center"/>
        </w:trPr>
        <w:tc>
          <w:tcPr>
            <w:tcW w:w="2265" w:type="dxa"/>
            <w:noWrap/>
            <w:vAlign w:val="center"/>
            <w:hideMark/>
          </w:tcPr>
          <w:p w14:paraId="6D08376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Daily return</w:t>
            </w:r>
          </w:p>
        </w:tc>
        <w:tc>
          <w:tcPr>
            <w:tcW w:w="1080" w:type="dxa"/>
            <w:noWrap/>
            <w:vAlign w:val="center"/>
            <w:hideMark/>
          </w:tcPr>
          <w:p w14:paraId="6F41D2AA"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4B3BADC8"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080" w:type="dxa"/>
            <w:shd w:val="clear" w:color="auto" w:fill="auto"/>
            <w:noWrap/>
            <w:vAlign w:val="center"/>
            <w:hideMark/>
          </w:tcPr>
          <w:p w14:paraId="4B86AC65" w14:textId="77777777" w:rsidR="00214553" w:rsidRPr="000D7A90" w:rsidRDefault="00367984"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08907743" w14:textId="77777777" w:rsidR="00214553" w:rsidRPr="000D7A90" w:rsidRDefault="00367984"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293BED47" w14:textId="77777777" w:rsidR="00214553" w:rsidRPr="000D7A90" w:rsidRDefault="00367984"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7B0A8F83"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10.0%</w:t>
            </w:r>
          </w:p>
        </w:tc>
      </w:tr>
      <w:tr w:rsidR="00214553" w:rsidRPr="000D7A90" w14:paraId="0CB49D48" w14:textId="77777777" w:rsidTr="000C1981">
        <w:trPr>
          <w:trHeight w:val="300"/>
          <w:jc w:val="center"/>
        </w:trPr>
        <w:tc>
          <w:tcPr>
            <w:tcW w:w="2265" w:type="dxa"/>
            <w:shd w:val="clear" w:color="auto" w:fill="auto"/>
            <w:noWrap/>
            <w:vAlign w:val="center"/>
            <w:hideMark/>
          </w:tcPr>
          <w:p w14:paraId="63172087"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Price at end of day</w:t>
            </w:r>
          </w:p>
        </w:tc>
        <w:tc>
          <w:tcPr>
            <w:tcW w:w="1080" w:type="dxa"/>
            <w:shd w:val="clear" w:color="auto" w:fill="auto"/>
            <w:noWrap/>
            <w:vAlign w:val="center"/>
            <w:hideMark/>
          </w:tcPr>
          <w:p w14:paraId="0947D960" w14:textId="77777777" w:rsidR="00214553" w:rsidRPr="000D7A90" w:rsidRDefault="00367984" w:rsidP="000C1981">
            <w:pPr>
              <w:jc w:val="center"/>
              <w:rPr>
                <w:rFonts w:ascii="Times New Roman" w:hAnsi="Times New Roman"/>
                <w:color w:val="000000"/>
                <w:sz w:val="20"/>
                <w:szCs w:val="20"/>
              </w:rPr>
            </w:pPr>
            <w:r w:rsidRPr="000D7A90">
              <w:rPr>
                <w:rFonts w:ascii="Times New Roman" w:hAnsi="Times New Roman"/>
                <w:color w:val="000000"/>
                <w:sz w:val="20"/>
                <w:szCs w:val="20"/>
              </w:rPr>
              <w:t>1</w:t>
            </w:r>
          </w:p>
        </w:tc>
        <w:tc>
          <w:tcPr>
            <w:tcW w:w="1080" w:type="dxa"/>
            <w:shd w:val="clear" w:color="auto" w:fill="auto"/>
            <w:noWrap/>
            <w:vAlign w:val="center"/>
            <w:hideMark/>
          </w:tcPr>
          <w:p w14:paraId="246AF4CB"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1.10</w:t>
            </w:r>
          </w:p>
        </w:tc>
        <w:tc>
          <w:tcPr>
            <w:tcW w:w="1080" w:type="dxa"/>
            <w:shd w:val="clear" w:color="auto" w:fill="auto"/>
            <w:noWrap/>
            <w:vAlign w:val="center"/>
            <w:hideMark/>
          </w:tcPr>
          <w:p w14:paraId="363DDD13"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1.21</w:t>
            </w:r>
          </w:p>
        </w:tc>
        <w:tc>
          <w:tcPr>
            <w:tcW w:w="1170" w:type="dxa"/>
            <w:shd w:val="clear" w:color="auto" w:fill="auto"/>
            <w:noWrap/>
            <w:vAlign w:val="center"/>
            <w:hideMark/>
          </w:tcPr>
          <w:p w14:paraId="7E56E6C2"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1.33</w:t>
            </w:r>
          </w:p>
        </w:tc>
        <w:tc>
          <w:tcPr>
            <w:tcW w:w="1170" w:type="dxa"/>
            <w:shd w:val="clear" w:color="auto" w:fill="auto"/>
            <w:noWrap/>
            <w:vAlign w:val="center"/>
            <w:hideMark/>
          </w:tcPr>
          <w:p w14:paraId="66DF9DE8"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1.46</w:t>
            </w:r>
          </w:p>
        </w:tc>
        <w:tc>
          <w:tcPr>
            <w:tcW w:w="1170" w:type="dxa"/>
            <w:shd w:val="clear" w:color="auto" w:fill="auto"/>
            <w:noWrap/>
            <w:vAlign w:val="center"/>
            <w:hideMark/>
          </w:tcPr>
          <w:p w14:paraId="2BB9A9D2"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1.61</w:t>
            </w:r>
          </w:p>
        </w:tc>
      </w:tr>
      <w:tr w:rsidR="00214553" w:rsidRPr="000D7A90" w14:paraId="3A7D17EE" w14:textId="77777777" w:rsidTr="000C1981">
        <w:trPr>
          <w:trHeight w:val="300"/>
          <w:jc w:val="center"/>
        </w:trPr>
        <w:tc>
          <w:tcPr>
            <w:tcW w:w="2265" w:type="dxa"/>
            <w:shd w:val="clear" w:color="auto" w:fill="auto"/>
            <w:noWrap/>
            <w:vAlign w:val="center"/>
            <w:hideMark/>
          </w:tcPr>
          <w:p w14:paraId="08028B48"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Accumulated Return</w:t>
            </w:r>
          </w:p>
        </w:tc>
        <w:tc>
          <w:tcPr>
            <w:tcW w:w="1080" w:type="dxa"/>
            <w:shd w:val="clear" w:color="auto" w:fill="auto"/>
            <w:noWrap/>
            <w:vAlign w:val="center"/>
            <w:hideMark/>
          </w:tcPr>
          <w:p w14:paraId="64A5FE81"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4F21814A"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10.00%</w:t>
            </w:r>
          </w:p>
        </w:tc>
        <w:tc>
          <w:tcPr>
            <w:tcW w:w="1080" w:type="dxa"/>
            <w:shd w:val="clear" w:color="auto" w:fill="auto"/>
            <w:noWrap/>
            <w:vAlign w:val="center"/>
            <w:hideMark/>
          </w:tcPr>
          <w:p w14:paraId="5369D956"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21.00%</w:t>
            </w:r>
          </w:p>
        </w:tc>
        <w:tc>
          <w:tcPr>
            <w:tcW w:w="1170" w:type="dxa"/>
            <w:shd w:val="clear" w:color="auto" w:fill="auto"/>
            <w:noWrap/>
            <w:vAlign w:val="center"/>
            <w:hideMark/>
          </w:tcPr>
          <w:p w14:paraId="1EC38FD6"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33.10%</w:t>
            </w:r>
          </w:p>
        </w:tc>
        <w:tc>
          <w:tcPr>
            <w:tcW w:w="1170" w:type="dxa"/>
            <w:shd w:val="clear" w:color="auto" w:fill="auto"/>
            <w:noWrap/>
            <w:vAlign w:val="center"/>
            <w:hideMark/>
          </w:tcPr>
          <w:p w14:paraId="4F71C52E"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46.41%</w:t>
            </w:r>
          </w:p>
        </w:tc>
        <w:tc>
          <w:tcPr>
            <w:tcW w:w="1170" w:type="dxa"/>
            <w:shd w:val="clear" w:color="auto" w:fill="auto"/>
            <w:noWrap/>
            <w:vAlign w:val="center"/>
            <w:hideMark/>
          </w:tcPr>
          <w:p w14:paraId="5AA657A4" w14:textId="77777777" w:rsidR="00214553" w:rsidRPr="000D7A90" w:rsidRDefault="00367984" w:rsidP="00367984">
            <w:pPr>
              <w:jc w:val="center"/>
              <w:rPr>
                <w:rFonts w:ascii="Times New Roman" w:hAnsi="Times New Roman"/>
                <w:color w:val="000000"/>
                <w:sz w:val="20"/>
                <w:szCs w:val="20"/>
              </w:rPr>
            </w:pPr>
            <w:r w:rsidRPr="000D7A90">
              <w:rPr>
                <w:rFonts w:ascii="Times New Roman" w:hAnsi="Times New Roman"/>
                <w:color w:val="000000"/>
                <w:sz w:val="20"/>
                <w:szCs w:val="20"/>
              </w:rPr>
              <w:t>61.05%</w:t>
            </w:r>
          </w:p>
        </w:tc>
      </w:tr>
    </w:tbl>
    <w:p w14:paraId="6C0BC7C5" w14:textId="77777777" w:rsidR="00214553" w:rsidRPr="000D7A90" w:rsidRDefault="00214553" w:rsidP="00214553">
      <w:pPr>
        <w:keepNext/>
        <w:autoSpaceDE w:val="0"/>
        <w:autoSpaceDN w:val="0"/>
        <w:adjustRightInd w:val="0"/>
        <w:spacing w:after="140" w:line="290" w:lineRule="auto"/>
        <w:jc w:val="center"/>
        <w:rPr>
          <w:rFonts w:ascii="Times New Roman" w:hAnsi="Times New Roman"/>
          <w:noProof/>
          <w:sz w:val="20"/>
          <w:szCs w:val="20"/>
        </w:rPr>
      </w:pPr>
    </w:p>
    <w:p w14:paraId="1AFBC741" w14:textId="77777777" w:rsidR="00214553" w:rsidRPr="000D7A90" w:rsidRDefault="00214553" w:rsidP="00214553">
      <w:pPr>
        <w:keepNext/>
        <w:autoSpaceDE w:val="0"/>
        <w:autoSpaceDN w:val="0"/>
        <w:adjustRightInd w:val="0"/>
        <w:spacing w:after="140" w:line="290" w:lineRule="auto"/>
        <w:jc w:val="center"/>
        <w:rPr>
          <w:rFonts w:ascii="Times New Roman" w:hAnsi="Times New Roman"/>
          <w:i/>
          <w:color w:val="000000"/>
          <w:sz w:val="20"/>
          <w:szCs w:val="20"/>
          <w:u w:val="single"/>
        </w:rPr>
      </w:pPr>
      <w:r w:rsidRPr="000D7A90">
        <w:rPr>
          <w:rFonts w:ascii="Times New Roman" w:hAnsi="Times New Roman"/>
          <w:i/>
          <w:color w:val="000000"/>
          <w:sz w:val="20"/>
          <w:szCs w:val="20"/>
          <w:u w:val="single"/>
        </w:rPr>
        <w:t>Scenario 3 – Volatile Market</w:t>
      </w:r>
    </w:p>
    <w:tbl>
      <w:tblPr>
        <w:tblW w:w="9015" w:type="dxa"/>
        <w:jc w:val="center"/>
        <w:tblBorders>
          <w:top w:val="single" w:sz="12" w:space="0" w:color="auto"/>
          <w:left w:val="single" w:sz="12" w:space="0" w:color="auto"/>
          <w:bottom w:val="single" w:sz="12" w:space="0" w:color="auto"/>
          <w:right w:val="single" w:sz="12" w:space="0" w:color="auto"/>
        </w:tblBorders>
        <w:tblCellMar>
          <w:left w:w="115" w:type="dxa"/>
          <w:right w:w="115" w:type="dxa"/>
        </w:tblCellMar>
        <w:tblLook w:val="04A0" w:firstRow="1" w:lastRow="0" w:firstColumn="1" w:lastColumn="0" w:noHBand="0" w:noVBand="1"/>
      </w:tblPr>
      <w:tblGrid>
        <w:gridCol w:w="2265"/>
        <w:gridCol w:w="1080"/>
        <w:gridCol w:w="1080"/>
        <w:gridCol w:w="1080"/>
        <w:gridCol w:w="1170"/>
        <w:gridCol w:w="1170"/>
        <w:gridCol w:w="1170"/>
      </w:tblGrid>
      <w:tr w:rsidR="00214553" w:rsidRPr="000D7A90" w14:paraId="55B9606F" w14:textId="77777777" w:rsidTr="000C1981">
        <w:trPr>
          <w:trHeight w:val="300"/>
          <w:jc w:val="center"/>
        </w:trPr>
        <w:tc>
          <w:tcPr>
            <w:tcW w:w="9015" w:type="dxa"/>
            <w:gridSpan w:val="7"/>
            <w:shd w:val="clear" w:color="000000" w:fill="FFFFFF"/>
            <w:noWrap/>
            <w:vAlign w:val="center"/>
            <w:hideMark/>
          </w:tcPr>
          <w:p w14:paraId="4817D7AA" w14:textId="77777777" w:rsidR="00214553" w:rsidRPr="000D7A90" w:rsidRDefault="006E0859" w:rsidP="000C1981">
            <w:pPr>
              <w:jc w:val="center"/>
              <w:rPr>
                <w:rFonts w:ascii="Times New Roman" w:hAnsi="Times New Roman"/>
                <w:color w:val="000000"/>
                <w:sz w:val="20"/>
                <w:szCs w:val="20"/>
              </w:rPr>
            </w:pPr>
            <w:r w:rsidRPr="000D7A90">
              <w:rPr>
                <w:rFonts w:ascii="Times New Roman" w:hAnsi="Times New Roman"/>
                <w:b/>
                <w:color w:val="000000"/>
                <w:sz w:val="20"/>
                <w:szCs w:val="20"/>
              </w:rPr>
              <w:t xml:space="preserve">Underlying </w:t>
            </w:r>
            <w:r w:rsidR="00EA3F5D" w:rsidRPr="000D7A90">
              <w:rPr>
                <w:rFonts w:ascii="Times New Roman" w:hAnsi="Times New Roman"/>
                <w:b/>
                <w:color w:val="000000"/>
                <w:sz w:val="20"/>
                <w:szCs w:val="20"/>
              </w:rPr>
              <w:t>Stock</w:t>
            </w:r>
          </w:p>
        </w:tc>
      </w:tr>
      <w:tr w:rsidR="00214553" w:rsidRPr="000D7A90" w14:paraId="4A95C2DB" w14:textId="77777777" w:rsidTr="000C1981">
        <w:trPr>
          <w:trHeight w:val="300"/>
          <w:jc w:val="center"/>
        </w:trPr>
        <w:tc>
          <w:tcPr>
            <w:tcW w:w="2265" w:type="dxa"/>
            <w:shd w:val="clear" w:color="000000" w:fill="D9D9D9"/>
            <w:noWrap/>
            <w:vAlign w:val="center"/>
            <w:hideMark/>
          </w:tcPr>
          <w:p w14:paraId="43B56DB2" w14:textId="77777777" w:rsidR="00214553" w:rsidRPr="000D7A90" w:rsidRDefault="00214553" w:rsidP="000C1981">
            <w:pPr>
              <w:jc w:val="center"/>
              <w:rPr>
                <w:rFonts w:ascii="Times New Roman" w:hAnsi="Times New Roman"/>
                <w:color w:val="000000"/>
                <w:sz w:val="20"/>
                <w:szCs w:val="20"/>
              </w:rPr>
            </w:pPr>
          </w:p>
        </w:tc>
        <w:tc>
          <w:tcPr>
            <w:tcW w:w="1080" w:type="dxa"/>
            <w:shd w:val="clear" w:color="000000" w:fill="D9D9D9"/>
            <w:noWrap/>
            <w:vAlign w:val="center"/>
            <w:hideMark/>
          </w:tcPr>
          <w:p w14:paraId="223E2AAB"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0</w:t>
            </w:r>
          </w:p>
        </w:tc>
        <w:tc>
          <w:tcPr>
            <w:tcW w:w="1080" w:type="dxa"/>
            <w:shd w:val="clear" w:color="000000" w:fill="D9D9D9"/>
            <w:noWrap/>
            <w:vAlign w:val="center"/>
            <w:hideMark/>
          </w:tcPr>
          <w:p w14:paraId="45F7B644"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1</w:t>
            </w:r>
          </w:p>
        </w:tc>
        <w:tc>
          <w:tcPr>
            <w:tcW w:w="1080" w:type="dxa"/>
            <w:shd w:val="clear" w:color="000000" w:fill="D9D9D9"/>
            <w:noWrap/>
            <w:vAlign w:val="center"/>
            <w:hideMark/>
          </w:tcPr>
          <w:p w14:paraId="4B1827DE"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2</w:t>
            </w:r>
          </w:p>
        </w:tc>
        <w:tc>
          <w:tcPr>
            <w:tcW w:w="1170" w:type="dxa"/>
            <w:shd w:val="clear" w:color="000000" w:fill="D9D9D9"/>
            <w:noWrap/>
            <w:vAlign w:val="center"/>
            <w:hideMark/>
          </w:tcPr>
          <w:p w14:paraId="78BE4F54"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3</w:t>
            </w:r>
          </w:p>
        </w:tc>
        <w:tc>
          <w:tcPr>
            <w:tcW w:w="1170" w:type="dxa"/>
            <w:shd w:val="clear" w:color="000000" w:fill="D9D9D9"/>
            <w:noWrap/>
            <w:vAlign w:val="center"/>
            <w:hideMark/>
          </w:tcPr>
          <w:p w14:paraId="37F647FF"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4</w:t>
            </w:r>
          </w:p>
        </w:tc>
        <w:tc>
          <w:tcPr>
            <w:tcW w:w="1170" w:type="dxa"/>
            <w:shd w:val="clear" w:color="000000" w:fill="D9D9D9"/>
            <w:noWrap/>
            <w:vAlign w:val="center"/>
            <w:hideMark/>
          </w:tcPr>
          <w:p w14:paraId="7E34CC7D"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5</w:t>
            </w:r>
          </w:p>
        </w:tc>
      </w:tr>
      <w:tr w:rsidR="00214553" w:rsidRPr="000D7A90" w14:paraId="07300FD4" w14:textId="77777777" w:rsidTr="000C1981">
        <w:trPr>
          <w:trHeight w:val="300"/>
          <w:jc w:val="center"/>
        </w:trPr>
        <w:tc>
          <w:tcPr>
            <w:tcW w:w="2265" w:type="dxa"/>
            <w:noWrap/>
            <w:vAlign w:val="center"/>
            <w:hideMark/>
          </w:tcPr>
          <w:p w14:paraId="6E6137AD"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Daily return</w:t>
            </w:r>
          </w:p>
        </w:tc>
        <w:tc>
          <w:tcPr>
            <w:tcW w:w="1080" w:type="dxa"/>
            <w:noWrap/>
            <w:vAlign w:val="center"/>
            <w:hideMark/>
          </w:tcPr>
          <w:p w14:paraId="22A1EC2C"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38EE256F"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080" w:type="dxa"/>
            <w:shd w:val="clear" w:color="auto" w:fill="auto"/>
            <w:noWrap/>
            <w:vAlign w:val="center"/>
            <w:hideMark/>
          </w:tcPr>
          <w:p w14:paraId="231ED7D0"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170" w:type="dxa"/>
            <w:shd w:val="clear" w:color="auto" w:fill="auto"/>
            <w:noWrap/>
            <w:vAlign w:val="center"/>
            <w:hideMark/>
          </w:tcPr>
          <w:p w14:paraId="7149FAC9"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170" w:type="dxa"/>
            <w:shd w:val="clear" w:color="auto" w:fill="auto"/>
            <w:noWrap/>
            <w:vAlign w:val="center"/>
            <w:hideMark/>
          </w:tcPr>
          <w:p w14:paraId="3E26E20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c>
          <w:tcPr>
            <w:tcW w:w="1170" w:type="dxa"/>
            <w:shd w:val="clear" w:color="auto" w:fill="auto"/>
            <w:noWrap/>
            <w:vAlign w:val="center"/>
            <w:hideMark/>
          </w:tcPr>
          <w:p w14:paraId="74B963A1"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w:t>
            </w:r>
          </w:p>
        </w:tc>
      </w:tr>
      <w:tr w:rsidR="00214553" w:rsidRPr="000D7A90" w14:paraId="4AD51BD1" w14:textId="77777777" w:rsidTr="000C1981">
        <w:trPr>
          <w:trHeight w:val="300"/>
          <w:jc w:val="center"/>
        </w:trPr>
        <w:tc>
          <w:tcPr>
            <w:tcW w:w="2265" w:type="dxa"/>
            <w:shd w:val="clear" w:color="auto" w:fill="auto"/>
            <w:noWrap/>
            <w:vAlign w:val="center"/>
            <w:hideMark/>
          </w:tcPr>
          <w:p w14:paraId="59DBE0B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Value at end of day</w:t>
            </w:r>
          </w:p>
        </w:tc>
        <w:tc>
          <w:tcPr>
            <w:tcW w:w="1080" w:type="dxa"/>
            <w:shd w:val="clear" w:color="auto" w:fill="auto"/>
            <w:noWrap/>
            <w:vAlign w:val="center"/>
            <w:hideMark/>
          </w:tcPr>
          <w:p w14:paraId="63482511"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10,000.0</w:t>
            </w:r>
          </w:p>
        </w:tc>
        <w:tc>
          <w:tcPr>
            <w:tcW w:w="1080" w:type="dxa"/>
            <w:shd w:val="clear" w:color="auto" w:fill="auto"/>
            <w:noWrap/>
            <w:vAlign w:val="center"/>
            <w:hideMark/>
          </w:tcPr>
          <w:p w14:paraId="61C2E88C"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10,200.0</w:t>
            </w:r>
          </w:p>
        </w:tc>
        <w:tc>
          <w:tcPr>
            <w:tcW w:w="1080" w:type="dxa"/>
            <w:shd w:val="clear" w:color="auto" w:fill="auto"/>
            <w:noWrap/>
            <w:vAlign w:val="center"/>
            <w:hideMark/>
          </w:tcPr>
          <w:p w14:paraId="0D6027DE"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9,996.0</w:t>
            </w:r>
          </w:p>
        </w:tc>
        <w:tc>
          <w:tcPr>
            <w:tcW w:w="1170" w:type="dxa"/>
            <w:shd w:val="clear" w:color="auto" w:fill="auto"/>
            <w:noWrap/>
            <w:vAlign w:val="center"/>
            <w:hideMark/>
          </w:tcPr>
          <w:p w14:paraId="3CE61D6E"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10,195.9</w:t>
            </w:r>
          </w:p>
        </w:tc>
        <w:tc>
          <w:tcPr>
            <w:tcW w:w="1170" w:type="dxa"/>
            <w:shd w:val="clear" w:color="auto" w:fill="auto"/>
            <w:noWrap/>
            <w:vAlign w:val="center"/>
            <w:hideMark/>
          </w:tcPr>
          <w:p w14:paraId="6303DE20"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9,992.0</w:t>
            </w:r>
          </w:p>
        </w:tc>
        <w:tc>
          <w:tcPr>
            <w:tcW w:w="1170" w:type="dxa"/>
            <w:shd w:val="clear" w:color="auto" w:fill="auto"/>
            <w:noWrap/>
            <w:vAlign w:val="center"/>
            <w:hideMark/>
          </w:tcPr>
          <w:p w14:paraId="266D514F"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10,191.8</w:t>
            </w:r>
          </w:p>
        </w:tc>
      </w:tr>
      <w:tr w:rsidR="00214553" w:rsidRPr="000D7A90" w14:paraId="2A6CA8C1" w14:textId="77777777" w:rsidTr="000C1981">
        <w:trPr>
          <w:trHeight w:val="300"/>
          <w:jc w:val="center"/>
        </w:trPr>
        <w:tc>
          <w:tcPr>
            <w:tcW w:w="2265" w:type="dxa"/>
            <w:shd w:val="clear" w:color="auto" w:fill="auto"/>
            <w:noWrap/>
            <w:vAlign w:val="center"/>
            <w:hideMark/>
          </w:tcPr>
          <w:p w14:paraId="6C98EBC7"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Accumulated Return</w:t>
            </w:r>
          </w:p>
        </w:tc>
        <w:tc>
          <w:tcPr>
            <w:tcW w:w="1080" w:type="dxa"/>
            <w:shd w:val="clear" w:color="auto" w:fill="auto"/>
            <w:noWrap/>
            <w:vAlign w:val="center"/>
            <w:hideMark/>
          </w:tcPr>
          <w:p w14:paraId="419A1CBE"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504D6AC8"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2.00%</w:t>
            </w:r>
          </w:p>
        </w:tc>
        <w:tc>
          <w:tcPr>
            <w:tcW w:w="1080" w:type="dxa"/>
            <w:shd w:val="clear" w:color="auto" w:fill="auto"/>
            <w:noWrap/>
            <w:vAlign w:val="center"/>
            <w:hideMark/>
          </w:tcPr>
          <w:p w14:paraId="4506589E"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-0.04%</w:t>
            </w:r>
          </w:p>
        </w:tc>
        <w:tc>
          <w:tcPr>
            <w:tcW w:w="1170" w:type="dxa"/>
            <w:shd w:val="clear" w:color="auto" w:fill="auto"/>
            <w:noWrap/>
            <w:vAlign w:val="center"/>
            <w:hideMark/>
          </w:tcPr>
          <w:p w14:paraId="1F8276B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1.96%</w:t>
            </w:r>
          </w:p>
        </w:tc>
        <w:tc>
          <w:tcPr>
            <w:tcW w:w="1170" w:type="dxa"/>
            <w:shd w:val="clear" w:color="auto" w:fill="auto"/>
            <w:noWrap/>
            <w:vAlign w:val="center"/>
            <w:hideMark/>
          </w:tcPr>
          <w:p w14:paraId="6B10679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-0.08%</w:t>
            </w:r>
          </w:p>
        </w:tc>
        <w:tc>
          <w:tcPr>
            <w:tcW w:w="1170" w:type="dxa"/>
            <w:shd w:val="clear" w:color="auto" w:fill="auto"/>
            <w:noWrap/>
            <w:vAlign w:val="center"/>
            <w:hideMark/>
          </w:tcPr>
          <w:p w14:paraId="6F62553B"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1.92%</w:t>
            </w:r>
          </w:p>
        </w:tc>
      </w:tr>
    </w:tbl>
    <w:p w14:paraId="2592B261" w14:textId="77777777" w:rsidR="00214553" w:rsidRPr="000D7A90" w:rsidRDefault="00214553" w:rsidP="00214553">
      <w:pPr>
        <w:keepNext/>
        <w:autoSpaceDE w:val="0"/>
        <w:autoSpaceDN w:val="0"/>
        <w:adjustRightInd w:val="0"/>
        <w:spacing w:after="140" w:line="290" w:lineRule="auto"/>
        <w:jc w:val="center"/>
        <w:rPr>
          <w:rFonts w:ascii="Times New Roman" w:hAnsi="Times New Roman"/>
          <w:b/>
          <w:i/>
          <w:color w:val="000000"/>
          <w:sz w:val="20"/>
          <w:szCs w:val="20"/>
        </w:rPr>
      </w:pPr>
    </w:p>
    <w:tbl>
      <w:tblPr>
        <w:tblW w:w="9015" w:type="dxa"/>
        <w:jc w:val="center"/>
        <w:tblBorders>
          <w:top w:val="single" w:sz="12" w:space="0" w:color="auto"/>
          <w:left w:val="single" w:sz="12" w:space="0" w:color="auto"/>
          <w:bottom w:val="single" w:sz="12" w:space="0" w:color="auto"/>
          <w:right w:val="single" w:sz="12" w:space="0" w:color="auto"/>
        </w:tblBorders>
        <w:tblCellMar>
          <w:left w:w="115" w:type="dxa"/>
          <w:right w:w="115" w:type="dxa"/>
        </w:tblCellMar>
        <w:tblLook w:val="04A0" w:firstRow="1" w:lastRow="0" w:firstColumn="1" w:lastColumn="0" w:noHBand="0" w:noVBand="1"/>
      </w:tblPr>
      <w:tblGrid>
        <w:gridCol w:w="2265"/>
        <w:gridCol w:w="1080"/>
        <w:gridCol w:w="1080"/>
        <w:gridCol w:w="1080"/>
        <w:gridCol w:w="1170"/>
        <w:gridCol w:w="1170"/>
        <w:gridCol w:w="1170"/>
      </w:tblGrid>
      <w:tr w:rsidR="00214553" w:rsidRPr="000D7A90" w14:paraId="1FF92DB1" w14:textId="77777777" w:rsidTr="000C1981">
        <w:trPr>
          <w:trHeight w:val="300"/>
          <w:jc w:val="center"/>
        </w:trPr>
        <w:tc>
          <w:tcPr>
            <w:tcW w:w="9015" w:type="dxa"/>
            <w:gridSpan w:val="7"/>
            <w:shd w:val="clear" w:color="000000" w:fill="FFFFFF"/>
            <w:noWrap/>
            <w:vAlign w:val="center"/>
            <w:hideMark/>
          </w:tcPr>
          <w:p w14:paraId="07D20AE8"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b/>
                <w:color w:val="000000"/>
                <w:sz w:val="20"/>
                <w:szCs w:val="20"/>
                <w:lang w:val="fr-FR"/>
              </w:rPr>
              <w:t>Value of the Certificates</w:t>
            </w:r>
          </w:p>
        </w:tc>
      </w:tr>
      <w:tr w:rsidR="00BA4709" w:rsidRPr="000D7A90" w14:paraId="07AA1C65" w14:textId="77777777" w:rsidTr="000C1981">
        <w:trPr>
          <w:trHeight w:val="300"/>
          <w:jc w:val="center"/>
        </w:trPr>
        <w:tc>
          <w:tcPr>
            <w:tcW w:w="2265" w:type="dxa"/>
            <w:shd w:val="clear" w:color="000000" w:fill="D9D9D9"/>
            <w:noWrap/>
            <w:vAlign w:val="center"/>
            <w:hideMark/>
          </w:tcPr>
          <w:p w14:paraId="355A96C0" w14:textId="77777777" w:rsidR="00214553" w:rsidRPr="000D7A90" w:rsidRDefault="00214553" w:rsidP="000C1981">
            <w:pPr>
              <w:jc w:val="center"/>
              <w:rPr>
                <w:rFonts w:ascii="Times New Roman" w:hAnsi="Times New Roman"/>
                <w:color w:val="000000"/>
                <w:sz w:val="20"/>
                <w:szCs w:val="20"/>
              </w:rPr>
            </w:pPr>
          </w:p>
        </w:tc>
        <w:tc>
          <w:tcPr>
            <w:tcW w:w="1080" w:type="dxa"/>
            <w:shd w:val="clear" w:color="000000" w:fill="D9D9D9"/>
            <w:noWrap/>
            <w:vAlign w:val="center"/>
            <w:hideMark/>
          </w:tcPr>
          <w:p w14:paraId="6F56071C"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0</w:t>
            </w:r>
          </w:p>
        </w:tc>
        <w:tc>
          <w:tcPr>
            <w:tcW w:w="1080" w:type="dxa"/>
            <w:shd w:val="clear" w:color="000000" w:fill="D9D9D9"/>
            <w:noWrap/>
            <w:vAlign w:val="center"/>
            <w:hideMark/>
          </w:tcPr>
          <w:p w14:paraId="525BA25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1</w:t>
            </w:r>
          </w:p>
        </w:tc>
        <w:tc>
          <w:tcPr>
            <w:tcW w:w="1080" w:type="dxa"/>
            <w:shd w:val="clear" w:color="000000" w:fill="D9D9D9"/>
            <w:noWrap/>
            <w:vAlign w:val="center"/>
            <w:hideMark/>
          </w:tcPr>
          <w:p w14:paraId="206F2C63"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2</w:t>
            </w:r>
          </w:p>
        </w:tc>
        <w:tc>
          <w:tcPr>
            <w:tcW w:w="1170" w:type="dxa"/>
            <w:shd w:val="clear" w:color="000000" w:fill="D9D9D9"/>
            <w:noWrap/>
            <w:vAlign w:val="center"/>
            <w:hideMark/>
          </w:tcPr>
          <w:p w14:paraId="64068A75"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3</w:t>
            </w:r>
          </w:p>
        </w:tc>
        <w:tc>
          <w:tcPr>
            <w:tcW w:w="1170" w:type="dxa"/>
            <w:shd w:val="clear" w:color="000000" w:fill="D9D9D9"/>
            <w:noWrap/>
            <w:vAlign w:val="center"/>
            <w:hideMark/>
          </w:tcPr>
          <w:p w14:paraId="69FAA90E"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4</w:t>
            </w:r>
          </w:p>
        </w:tc>
        <w:tc>
          <w:tcPr>
            <w:tcW w:w="1170" w:type="dxa"/>
            <w:shd w:val="clear" w:color="000000" w:fill="D9D9D9"/>
            <w:noWrap/>
            <w:vAlign w:val="center"/>
            <w:hideMark/>
          </w:tcPr>
          <w:p w14:paraId="50347645"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Day 5</w:t>
            </w:r>
          </w:p>
        </w:tc>
      </w:tr>
      <w:tr w:rsidR="00BA4709" w:rsidRPr="000D7A90" w14:paraId="248B77F1" w14:textId="77777777" w:rsidTr="000C1981">
        <w:trPr>
          <w:trHeight w:val="300"/>
          <w:jc w:val="center"/>
        </w:trPr>
        <w:tc>
          <w:tcPr>
            <w:tcW w:w="2265" w:type="dxa"/>
            <w:noWrap/>
            <w:vAlign w:val="center"/>
            <w:hideMark/>
          </w:tcPr>
          <w:p w14:paraId="241014AD"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Daily return</w:t>
            </w:r>
          </w:p>
        </w:tc>
        <w:tc>
          <w:tcPr>
            <w:tcW w:w="1080" w:type="dxa"/>
            <w:noWrap/>
            <w:vAlign w:val="center"/>
            <w:hideMark/>
          </w:tcPr>
          <w:p w14:paraId="17F5FD5A"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53052AA1" w14:textId="77777777" w:rsidR="00214553" w:rsidRPr="000D7A90" w:rsidRDefault="00BA4709" w:rsidP="00BA4709">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080" w:type="dxa"/>
            <w:shd w:val="clear" w:color="auto" w:fill="auto"/>
            <w:noWrap/>
            <w:vAlign w:val="center"/>
            <w:hideMark/>
          </w:tcPr>
          <w:p w14:paraId="08414087"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4A552CF2"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40AA18B4"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58829498"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-10.0%</w:t>
            </w:r>
          </w:p>
        </w:tc>
      </w:tr>
      <w:tr w:rsidR="00BA4709" w:rsidRPr="000D7A90" w14:paraId="75A32FE8" w14:textId="77777777" w:rsidTr="000C1981">
        <w:trPr>
          <w:trHeight w:val="300"/>
          <w:jc w:val="center"/>
        </w:trPr>
        <w:tc>
          <w:tcPr>
            <w:tcW w:w="2265" w:type="dxa"/>
            <w:shd w:val="clear" w:color="auto" w:fill="auto"/>
            <w:noWrap/>
            <w:vAlign w:val="center"/>
            <w:hideMark/>
          </w:tcPr>
          <w:p w14:paraId="15852189"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Price at end of day</w:t>
            </w:r>
          </w:p>
        </w:tc>
        <w:tc>
          <w:tcPr>
            <w:tcW w:w="1080" w:type="dxa"/>
            <w:shd w:val="clear" w:color="auto" w:fill="auto"/>
            <w:noWrap/>
            <w:vAlign w:val="center"/>
            <w:hideMark/>
          </w:tcPr>
          <w:p w14:paraId="2F64351A"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1</w:t>
            </w:r>
          </w:p>
        </w:tc>
        <w:tc>
          <w:tcPr>
            <w:tcW w:w="1080" w:type="dxa"/>
            <w:shd w:val="clear" w:color="auto" w:fill="auto"/>
            <w:noWrap/>
            <w:vAlign w:val="center"/>
            <w:hideMark/>
          </w:tcPr>
          <w:p w14:paraId="3255DFFE" w14:textId="77777777" w:rsidR="00214553" w:rsidRPr="000D7A90" w:rsidRDefault="00BA4709" w:rsidP="00BA4709">
            <w:pPr>
              <w:jc w:val="center"/>
              <w:rPr>
                <w:rFonts w:ascii="Times New Roman" w:hAnsi="Times New Roman"/>
                <w:color w:val="000000"/>
                <w:sz w:val="20"/>
                <w:szCs w:val="20"/>
              </w:rPr>
            </w:pPr>
            <w:r w:rsidRPr="000D7A90">
              <w:rPr>
                <w:rFonts w:ascii="Times New Roman" w:hAnsi="Times New Roman"/>
                <w:color w:val="000000"/>
                <w:sz w:val="20"/>
                <w:szCs w:val="20"/>
              </w:rPr>
              <w:t>0.90</w:t>
            </w:r>
          </w:p>
        </w:tc>
        <w:tc>
          <w:tcPr>
            <w:tcW w:w="1080" w:type="dxa"/>
            <w:shd w:val="clear" w:color="auto" w:fill="auto"/>
            <w:noWrap/>
            <w:vAlign w:val="center"/>
            <w:hideMark/>
          </w:tcPr>
          <w:p w14:paraId="237ED9EF" w14:textId="77777777" w:rsidR="00214553" w:rsidRPr="000D7A90" w:rsidRDefault="00BA4709" w:rsidP="00BA4709">
            <w:pPr>
              <w:jc w:val="center"/>
              <w:rPr>
                <w:rFonts w:ascii="Times New Roman" w:hAnsi="Times New Roman"/>
                <w:color w:val="000000"/>
                <w:sz w:val="20"/>
                <w:szCs w:val="20"/>
              </w:rPr>
            </w:pPr>
            <w:r w:rsidRPr="000D7A90">
              <w:rPr>
                <w:rFonts w:ascii="Times New Roman" w:hAnsi="Times New Roman"/>
                <w:color w:val="000000"/>
                <w:sz w:val="20"/>
                <w:szCs w:val="20"/>
              </w:rPr>
              <w:t>0.99</w:t>
            </w:r>
          </w:p>
        </w:tc>
        <w:tc>
          <w:tcPr>
            <w:tcW w:w="1170" w:type="dxa"/>
            <w:shd w:val="clear" w:color="auto" w:fill="auto"/>
            <w:noWrap/>
            <w:vAlign w:val="center"/>
            <w:hideMark/>
          </w:tcPr>
          <w:p w14:paraId="547B6450"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0.89</w:t>
            </w:r>
          </w:p>
        </w:tc>
        <w:tc>
          <w:tcPr>
            <w:tcW w:w="1170" w:type="dxa"/>
            <w:shd w:val="clear" w:color="auto" w:fill="auto"/>
            <w:noWrap/>
            <w:vAlign w:val="center"/>
            <w:hideMark/>
          </w:tcPr>
          <w:p w14:paraId="1CC43DA3"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0.98</w:t>
            </w:r>
          </w:p>
        </w:tc>
        <w:tc>
          <w:tcPr>
            <w:tcW w:w="1170" w:type="dxa"/>
            <w:shd w:val="clear" w:color="auto" w:fill="auto"/>
            <w:noWrap/>
            <w:vAlign w:val="center"/>
            <w:hideMark/>
          </w:tcPr>
          <w:p w14:paraId="2F7D5142" w14:textId="77777777" w:rsidR="00214553" w:rsidRPr="000D7A90" w:rsidRDefault="00BA4709" w:rsidP="00BA4709">
            <w:pPr>
              <w:jc w:val="center"/>
              <w:rPr>
                <w:rFonts w:ascii="Times New Roman" w:hAnsi="Times New Roman"/>
                <w:color w:val="000000"/>
                <w:sz w:val="20"/>
                <w:szCs w:val="20"/>
              </w:rPr>
            </w:pPr>
            <w:r w:rsidRPr="000D7A90">
              <w:rPr>
                <w:rFonts w:ascii="Times New Roman" w:hAnsi="Times New Roman"/>
                <w:color w:val="000000"/>
                <w:sz w:val="20"/>
                <w:szCs w:val="20"/>
              </w:rPr>
              <w:t>0.88</w:t>
            </w:r>
          </w:p>
        </w:tc>
      </w:tr>
      <w:tr w:rsidR="00BA4709" w:rsidRPr="006B04FE" w14:paraId="438A432A" w14:textId="77777777" w:rsidTr="000C1981">
        <w:trPr>
          <w:trHeight w:val="300"/>
          <w:jc w:val="center"/>
        </w:trPr>
        <w:tc>
          <w:tcPr>
            <w:tcW w:w="2265" w:type="dxa"/>
            <w:shd w:val="clear" w:color="auto" w:fill="auto"/>
            <w:noWrap/>
            <w:vAlign w:val="center"/>
            <w:hideMark/>
          </w:tcPr>
          <w:p w14:paraId="1071DCCF" w14:textId="77777777" w:rsidR="00214553" w:rsidRPr="000D7A90" w:rsidRDefault="00214553" w:rsidP="000C1981">
            <w:pPr>
              <w:jc w:val="center"/>
              <w:rPr>
                <w:rFonts w:ascii="Times New Roman" w:hAnsi="Times New Roman"/>
                <w:color w:val="000000"/>
                <w:sz w:val="20"/>
                <w:szCs w:val="20"/>
              </w:rPr>
            </w:pPr>
            <w:r w:rsidRPr="000D7A90">
              <w:rPr>
                <w:rFonts w:ascii="Times New Roman" w:hAnsi="Times New Roman"/>
                <w:color w:val="000000"/>
                <w:sz w:val="20"/>
                <w:szCs w:val="20"/>
              </w:rPr>
              <w:t>Accumulated Return</w:t>
            </w:r>
          </w:p>
        </w:tc>
        <w:tc>
          <w:tcPr>
            <w:tcW w:w="1080" w:type="dxa"/>
            <w:shd w:val="clear" w:color="auto" w:fill="auto"/>
            <w:noWrap/>
            <w:vAlign w:val="center"/>
            <w:hideMark/>
          </w:tcPr>
          <w:p w14:paraId="7B3098AF" w14:textId="77777777" w:rsidR="00214553" w:rsidRPr="000D7A90" w:rsidRDefault="00214553" w:rsidP="000C1981">
            <w:pPr>
              <w:jc w:val="center"/>
              <w:rPr>
                <w:rFonts w:ascii="Times New Roman" w:hAnsi="Times New Roman"/>
                <w:color w:val="000000"/>
                <w:sz w:val="20"/>
                <w:szCs w:val="20"/>
              </w:rPr>
            </w:pPr>
          </w:p>
        </w:tc>
        <w:tc>
          <w:tcPr>
            <w:tcW w:w="1080" w:type="dxa"/>
            <w:shd w:val="clear" w:color="auto" w:fill="auto"/>
            <w:noWrap/>
            <w:vAlign w:val="center"/>
            <w:hideMark/>
          </w:tcPr>
          <w:p w14:paraId="125E6737"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-10.00%</w:t>
            </w:r>
          </w:p>
        </w:tc>
        <w:tc>
          <w:tcPr>
            <w:tcW w:w="1080" w:type="dxa"/>
            <w:shd w:val="clear" w:color="auto" w:fill="auto"/>
            <w:noWrap/>
            <w:vAlign w:val="center"/>
            <w:hideMark/>
          </w:tcPr>
          <w:p w14:paraId="4AAA6359" w14:textId="77777777" w:rsidR="00214553" w:rsidRPr="000D7A90" w:rsidRDefault="00BA4709" w:rsidP="00BA4709">
            <w:pPr>
              <w:jc w:val="center"/>
              <w:rPr>
                <w:rFonts w:ascii="Times New Roman" w:hAnsi="Times New Roman"/>
                <w:color w:val="000000"/>
                <w:sz w:val="20"/>
                <w:szCs w:val="20"/>
              </w:rPr>
            </w:pPr>
            <w:r w:rsidRPr="000D7A90">
              <w:rPr>
                <w:rFonts w:ascii="Times New Roman" w:hAnsi="Times New Roman"/>
                <w:color w:val="000000"/>
                <w:sz w:val="20"/>
                <w:szCs w:val="20"/>
              </w:rPr>
              <w:t>-1.00%</w:t>
            </w:r>
          </w:p>
        </w:tc>
        <w:tc>
          <w:tcPr>
            <w:tcW w:w="1170" w:type="dxa"/>
            <w:shd w:val="clear" w:color="auto" w:fill="auto"/>
            <w:noWrap/>
            <w:vAlign w:val="center"/>
            <w:hideMark/>
          </w:tcPr>
          <w:p w14:paraId="05B23A48"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-10.90%</w:t>
            </w:r>
          </w:p>
        </w:tc>
        <w:tc>
          <w:tcPr>
            <w:tcW w:w="1170" w:type="dxa"/>
            <w:shd w:val="clear" w:color="auto" w:fill="auto"/>
            <w:noWrap/>
            <w:vAlign w:val="center"/>
            <w:hideMark/>
          </w:tcPr>
          <w:p w14:paraId="217293AE" w14:textId="77777777" w:rsidR="00214553" w:rsidRPr="000D7A90" w:rsidRDefault="00BA4709" w:rsidP="000C1981">
            <w:pPr>
              <w:jc w:val="center"/>
              <w:rPr>
                <w:rFonts w:ascii="Times New Roman" w:hAnsi="Times New Roman"/>
                <w:color w:val="000000"/>
                <w:sz w:val="20"/>
                <w:szCs w:val="20"/>
              </w:rPr>
            </w:pPr>
            <w:r w:rsidRPr="000D7A90">
              <w:rPr>
                <w:rFonts w:ascii="Times New Roman" w:hAnsi="Times New Roman"/>
                <w:color w:val="000000"/>
                <w:sz w:val="20"/>
                <w:szCs w:val="20"/>
              </w:rPr>
              <w:t>-1.99%</w:t>
            </w:r>
          </w:p>
        </w:tc>
        <w:tc>
          <w:tcPr>
            <w:tcW w:w="1170" w:type="dxa"/>
            <w:shd w:val="clear" w:color="auto" w:fill="auto"/>
            <w:noWrap/>
            <w:vAlign w:val="center"/>
            <w:hideMark/>
          </w:tcPr>
          <w:p w14:paraId="4398448A" w14:textId="77777777" w:rsidR="00214553" w:rsidRPr="006A47F1" w:rsidRDefault="00BA4709" w:rsidP="00BA4709">
            <w:pPr>
              <w:jc w:val="center"/>
              <w:rPr>
                <w:rFonts w:ascii="Times New Roman" w:hAnsi="Times New Roman"/>
                <w:color w:val="000000"/>
                <w:sz w:val="20"/>
                <w:szCs w:val="20"/>
              </w:rPr>
            </w:pPr>
            <w:r w:rsidRPr="000D7A90">
              <w:rPr>
                <w:rFonts w:ascii="Times New Roman" w:hAnsi="Times New Roman"/>
                <w:color w:val="000000"/>
                <w:sz w:val="20"/>
                <w:szCs w:val="20"/>
              </w:rPr>
              <w:t>-11.79%</w:t>
            </w:r>
          </w:p>
        </w:tc>
      </w:tr>
    </w:tbl>
    <w:p w14:paraId="2A3F84B7" w14:textId="77777777" w:rsidR="002D3EBD" w:rsidRPr="00B5660A" w:rsidRDefault="002D3EBD" w:rsidP="00EA3F5D">
      <w:pPr>
        <w:spacing w:after="0" w:line="240" w:lineRule="auto"/>
        <w:rPr>
          <w:rFonts w:ascii="Times New Roman" w:hAnsi="Times New Roman"/>
          <w:b/>
          <w:sz w:val="20"/>
          <w:szCs w:val="20"/>
          <w:lang w:val="en-CA"/>
        </w:rPr>
      </w:pPr>
    </w:p>
    <w:sectPr w:rsidR="002D3EBD" w:rsidRPr="00B5660A" w:rsidSect="00BD65DE">
      <w:headerReference w:type="even" r:id="rId21"/>
      <w:headerReference w:type="default" r:id="rId22"/>
      <w:footerReference w:type="even" r:id="rId23"/>
      <w:footerReference w:type="default" r:id="rId24"/>
      <w:headerReference w:type="first" r:id="rId25"/>
      <w:footerReference w:type="first" r:id="rId26"/>
      <w:pgSz w:w="11906" w:h="16838" w:code="9"/>
      <w:pgMar w:top="360" w:right="432" w:bottom="245" w:left="432" w:header="18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13C3" w14:textId="77777777" w:rsidR="00B77BCF" w:rsidRDefault="00B77BCF">
      <w:r>
        <w:separator/>
      </w:r>
    </w:p>
  </w:endnote>
  <w:endnote w:type="continuationSeparator" w:id="0">
    <w:p w14:paraId="37E8FFB4" w14:textId="77777777" w:rsidR="00B77BCF" w:rsidRDefault="00B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Bold">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E34A" w14:textId="77777777" w:rsidR="00A80E98" w:rsidRDefault="00A80E98" w:rsidP="00F47B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08206" w14:textId="77777777" w:rsidR="00A80E98" w:rsidRDefault="00A80E98" w:rsidP="00303F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817E" w14:textId="77777777" w:rsidR="00A80E98" w:rsidRPr="008C2A5B" w:rsidRDefault="00A80E98" w:rsidP="008C2A5B">
    <w:pPr>
      <w:pStyle w:val="DMSFooter"/>
      <w:ind w:right="360"/>
      <w:rPr>
        <w:rFonts w:ascii="Times New Roman" w:hAnsi="Times New Roman"/>
        <w:sz w:val="20"/>
        <w:szCs w:val="20"/>
      </w:rPr>
    </w:pPr>
    <w:r>
      <w:rPr>
        <w:rFonts w:ascii="Times New Roman" w:hAnsi="Times New Roman"/>
        <w:sz w:val="20"/>
        <w:szCs w:val="20"/>
      </w:rPr>
      <w:t>Key Terms</w:t>
    </w:r>
    <w:r w:rsidRPr="00303FFD">
      <w:rPr>
        <w:rFonts w:ascii="Times New Roman" w:hAnsi="Times New Roman"/>
        <w:sz w:val="20"/>
        <w:szCs w:val="20"/>
      </w:rPr>
      <w:t xml:space="preserve"> Sheet for Structured Warrants to be issued by </w:t>
    </w:r>
    <w:r>
      <w:rPr>
        <w:rFonts w:ascii="Cambria" w:hAnsi="Cambria"/>
        <w:sz w:val="20"/>
        <w:szCs w:val="20"/>
      </w:rPr>
      <w:t>SG Issuer</w:t>
    </w:r>
    <w:r>
      <w:rPr>
        <w:rFonts w:ascii="Times New Roman" w:hAnsi="Times New Roman"/>
        <w:sz w:val="20"/>
        <w:szCs w:val="20"/>
      </w:rPr>
      <w:t xml:space="preserve">                                                                                                 </w:t>
    </w:r>
    <w:r w:rsidRPr="008C2A5B">
      <w:rPr>
        <w:rStyle w:val="PageNumber"/>
        <w:sz w:val="20"/>
        <w:szCs w:val="20"/>
      </w:rPr>
      <w:fldChar w:fldCharType="begin"/>
    </w:r>
    <w:r w:rsidRPr="008C2A5B">
      <w:rPr>
        <w:rStyle w:val="PageNumber"/>
        <w:sz w:val="20"/>
        <w:szCs w:val="20"/>
      </w:rPr>
      <w:instrText xml:space="preserve"> PAGE </w:instrText>
    </w:r>
    <w:r w:rsidRPr="008C2A5B">
      <w:rPr>
        <w:rStyle w:val="PageNumber"/>
        <w:sz w:val="20"/>
        <w:szCs w:val="20"/>
      </w:rPr>
      <w:fldChar w:fldCharType="separate"/>
    </w:r>
    <w:r>
      <w:rPr>
        <w:rStyle w:val="PageNumber"/>
        <w:noProof/>
        <w:sz w:val="20"/>
        <w:szCs w:val="20"/>
      </w:rPr>
      <w:t>21</w:t>
    </w:r>
    <w:r w:rsidRPr="008C2A5B">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7558" w14:textId="77777777" w:rsidR="00A80E98" w:rsidRDefault="00A80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BF53" w14:textId="77777777" w:rsidR="00B77BCF" w:rsidRDefault="00B77BCF">
      <w:r>
        <w:separator/>
      </w:r>
    </w:p>
  </w:footnote>
  <w:footnote w:type="continuationSeparator" w:id="0">
    <w:p w14:paraId="7AA9CE18" w14:textId="77777777" w:rsidR="00B77BCF" w:rsidRDefault="00B77BCF">
      <w:r>
        <w:continuationSeparator/>
      </w:r>
    </w:p>
  </w:footnote>
  <w:footnote w:id="1">
    <w:p w14:paraId="4640F879" w14:textId="77777777" w:rsidR="00A80E98" w:rsidRPr="000912A1" w:rsidRDefault="00A80E98" w:rsidP="002D5EBD">
      <w:pPr>
        <w:pStyle w:val="FootnoteText"/>
        <w:adjustRightInd w:val="0"/>
        <w:spacing w:after="0" w:line="290" w:lineRule="auto"/>
        <w:jc w:val="both"/>
        <w:rPr>
          <w:rFonts w:ascii="Times New Roman" w:hAnsi="Times New Roman"/>
        </w:rPr>
      </w:pPr>
      <w:r w:rsidRPr="007F0E5B">
        <w:rPr>
          <w:rFonts w:ascii="Times New Roman" w:hAnsi="Times New Roman"/>
          <w:vertAlign w:val="superscript"/>
        </w:rPr>
        <w:footnoteRef/>
      </w:r>
      <w:r w:rsidRPr="000912A1">
        <w:rPr>
          <w:rFonts w:ascii="Times New Roman" w:hAnsi="Times New Roman"/>
        </w:rPr>
        <w:t xml:space="preserve"> </w:t>
      </w:r>
      <w:r w:rsidRPr="007001F2">
        <w:rPr>
          <w:rFonts w:ascii="Times New Roman" w:hAnsi="Times New Roman"/>
        </w:rPr>
        <w:t>As defined in the Securities and Futures (Capital Markets Products) Regulations 2018.</w:t>
      </w:r>
    </w:p>
  </w:footnote>
  <w:footnote w:id="2">
    <w:p w14:paraId="458912E6" w14:textId="77777777" w:rsidR="00A80E98" w:rsidRPr="000912A1" w:rsidRDefault="00A80E98" w:rsidP="002D5EBD">
      <w:pPr>
        <w:pStyle w:val="FootnoteText"/>
        <w:adjustRightInd w:val="0"/>
        <w:spacing w:after="0" w:line="290" w:lineRule="auto"/>
        <w:jc w:val="both"/>
        <w:rPr>
          <w:rFonts w:ascii="Times New Roman" w:hAnsi="Times New Roman"/>
        </w:rPr>
      </w:pPr>
      <w:r w:rsidRPr="007F0E5B">
        <w:rPr>
          <w:rFonts w:ascii="Times New Roman" w:hAnsi="Times New Roman"/>
          <w:vertAlign w:val="superscript"/>
        </w:rPr>
        <w:footnoteRef/>
      </w:r>
      <w:r w:rsidRPr="007F0E5B">
        <w:rPr>
          <w:rFonts w:ascii="Times New Roman" w:hAnsi="Times New Roman"/>
          <w:vertAlign w:val="superscript"/>
        </w:rPr>
        <w:t xml:space="preserve"> </w:t>
      </w:r>
      <w:r w:rsidRPr="007001F2">
        <w:rPr>
          <w:rFonts w:ascii="Times New Roman" w:hAnsi="Times New Roman"/>
        </w:rPr>
        <w:t>As defined in the MAS Notice SFA 04-N12: Notice on the Sale of Investment Products and MAS Notice FAA-N16: Notice on Recommendations on Investment Products.</w:t>
      </w:r>
    </w:p>
  </w:footnote>
  <w:footnote w:id="3">
    <w:p w14:paraId="36A6CC56" w14:textId="0C2F8006" w:rsidR="00A80E98" w:rsidRPr="001570DA" w:rsidRDefault="00A80E98">
      <w:pPr>
        <w:pStyle w:val="FootnoteText"/>
      </w:pPr>
      <w:r>
        <w:rPr>
          <w:rStyle w:val="FootnoteReference"/>
        </w:rPr>
        <w:footnoteRef/>
      </w:r>
      <w:r>
        <w:t xml:space="preserve"> </w:t>
      </w:r>
      <w:r w:rsidRPr="00E077A5">
        <w:rPr>
          <w:rFonts w:ascii="Times New Roman" w:hAnsi="Times New Roman"/>
        </w:rPr>
        <w:t xml:space="preserve">These figures are calculated as </w:t>
      </w:r>
      <w:proofErr w:type="gramStart"/>
      <w:r w:rsidRPr="00E077A5">
        <w:rPr>
          <w:rFonts w:ascii="Times New Roman" w:hAnsi="Times New Roman"/>
        </w:rPr>
        <w:t>at, and</w:t>
      </w:r>
      <w:proofErr w:type="gramEnd"/>
      <w:r w:rsidRPr="00E077A5">
        <w:rPr>
          <w:rFonts w:ascii="Times New Roman" w:hAnsi="Times New Roman"/>
        </w:rPr>
        <w:t xml:space="preserve"> based on information available to the Issuer on</w:t>
      </w:r>
      <w:r>
        <w:rPr>
          <w:rFonts w:ascii="Times New Roman" w:hAnsi="Times New Roman"/>
        </w:rPr>
        <w:t xml:space="preserve"> </w:t>
      </w:r>
      <w:r w:rsidR="00B77BCF" w:rsidRPr="00B77BCF">
        <w:rPr>
          <w:rFonts w:ascii="Times New Roman" w:hAnsi="Times New Roman"/>
        </w:rPr>
        <w:t>19 December 2024</w:t>
      </w:r>
      <w:r>
        <w:rPr>
          <w:rFonts w:ascii="Times New Roman" w:hAnsi="Times New Roman"/>
          <w:lang w:val="en-CA"/>
        </w:rPr>
        <w:t>.</w:t>
      </w:r>
      <w:r w:rsidRPr="00E077A5">
        <w:rPr>
          <w:rFonts w:ascii="Times New Roman" w:hAnsi="Times New Roman"/>
        </w:rPr>
        <w:t xml:space="preserve"> The Issuer is not obliged, and undertakes no responsibility to any person, to update or inform any person of any changes to the figures after</w:t>
      </w:r>
      <w:r>
        <w:rPr>
          <w:rFonts w:ascii="Times New Roman" w:hAnsi="Times New Roman"/>
        </w:rPr>
        <w:t xml:space="preserve"> </w:t>
      </w:r>
      <w:r w:rsidR="00B77BCF" w:rsidRPr="00B77BCF">
        <w:rPr>
          <w:rFonts w:ascii="Times New Roman" w:hAnsi="Times New Roman"/>
        </w:rPr>
        <w:t>19 December 2024</w:t>
      </w:r>
    </w:p>
  </w:footnote>
  <w:footnote w:id="4">
    <w:p w14:paraId="37F9BD5C" w14:textId="77777777" w:rsidR="00A80E98" w:rsidRPr="00B77BCF" w:rsidRDefault="00A80E98" w:rsidP="00062BE1">
      <w:pPr>
        <w:pStyle w:val="FootnoteText"/>
        <w:adjustRightInd w:val="0"/>
        <w:spacing w:after="0" w:line="290" w:lineRule="auto"/>
        <w:jc w:val="both"/>
        <w:rPr>
          <w:lang w:val="en-US"/>
        </w:rPr>
      </w:pPr>
      <w:r>
        <w:rPr>
          <w:rStyle w:val="FootnoteReference"/>
        </w:rPr>
        <w:footnoteRef/>
      </w:r>
      <w:r>
        <w:t xml:space="preserve"> </w:t>
      </w:r>
      <w:r w:rsidRPr="00536628">
        <w:rPr>
          <w:rFonts w:ascii="Times New Roman" w:hAnsi="Times New Roman"/>
        </w:rPr>
        <w:t xml:space="preserve">Please note that the Management Fee may be increased up to a maximum </w:t>
      </w:r>
      <w:r>
        <w:rPr>
          <w:rFonts w:ascii="Times New Roman" w:hAnsi="Times New Roman"/>
        </w:rPr>
        <w:t xml:space="preserve">of 3% p.a. </w:t>
      </w:r>
      <w:r w:rsidRPr="00536628">
        <w:rPr>
          <w:rFonts w:ascii="Times New Roman" w:hAnsi="Times New Roman"/>
        </w:rPr>
        <w:t xml:space="preserve">on giving one month’s notice to investors. </w:t>
      </w:r>
      <w:r>
        <w:rPr>
          <w:rFonts w:ascii="Times New Roman" w:hAnsi="Times New Roman"/>
        </w:rPr>
        <w:t xml:space="preserve">Any increase in the Management Fee will be announced on the SGXNET. </w:t>
      </w:r>
      <w:r w:rsidRPr="00536628">
        <w:rPr>
          <w:rFonts w:ascii="Times New Roman" w:hAnsi="Times New Roman"/>
        </w:rPr>
        <w:t xml:space="preserve">Please refer to the section of the </w:t>
      </w:r>
      <w:r>
        <w:rPr>
          <w:rFonts w:ascii="Times New Roman" w:hAnsi="Times New Roman"/>
        </w:rPr>
        <w:t>Supplemental</w:t>
      </w:r>
      <w:r w:rsidRPr="00536628">
        <w:rPr>
          <w:rFonts w:ascii="Times New Roman" w:hAnsi="Times New Roman"/>
        </w:rPr>
        <w:t xml:space="preserve"> Listing Document entitled “Fees and </w:t>
      </w:r>
      <w:r>
        <w:rPr>
          <w:rFonts w:ascii="Times New Roman" w:hAnsi="Times New Roman"/>
        </w:rPr>
        <w:t>Charges</w:t>
      </w:r>
      <w:r w:rsidRPr="00536628">
        <w:rPr>
          <w:rFonts w:ascii="Times New Roman" w:hAnsi="Times New Roman"/>
        </w:rPr>
        <w:t xml:space="preserve">” for </w:t>
      </w:r>
      <w:r w:rsidRPr="00B77BCF">
        <w:rPr>
          <w:rFonts w:ascii="Times New Roman" w:hAnsi="Times New Roman"/>
        </w:rPr>
        <w:t>further details of the fees and charges payable and the maximum of such fees as well as other ongoing expenses that may be borne by the Certificates.</w:t>
      </w:r>
    </w:p>
  </w:footnote>
  <w:footnote w:id="5">
    <w:p w14:paraId="02E23C28" w14:textId="622EF151" w:rsidR="00A80E98" w:rsidRPr="00961E9E" w:rsidRDefault="00A80E98" w:rsidP="00961E9E">
      <w:pPr>
        <w:keepLines/>
        <w:spacing w:after="0" w:line="240" w:lineRule="auto"/>
        <w:jc w:val="both"/>
        <w:rPr>
          <w:rFonts w:ascii="Times New Roman" w:hAnsi="Times New Roman"/>
          <w:sz w:val="20"/>
          <w:szCs w:val="20"/>
        </w:rPr>
      </w:pPr>
      <w:r w:rsidRPr="00B77BCF">
        <w:rPr>
          <w:rStyle w:val="FootnoteReference"/>
        </w:rPr>
        <w:footnoteRef/>
      </w:r>
      <w:r w:rsidRPr="00B77BCF">
        <w:t xml:space="preserve"> </w:t>
      </w:r>
      <w:r w:rsidRPr="00B77BCF">
        <w:rPr>
          <w:rFonts w:ascii="Times New Roman" w:hAnsi="Times New Roman"/>
          <w:sz w:val="20"/>
          <w:szCs w:val="20"/>
        </w:rPr>
        <w:t>These costs are embedded within the</w:t>
      </w:r>
      <w:r w:rsidR="00B77BCF" w:rsidRPr="00B77BCF">
        <w:rPr>
          <w:rFonts w:ascii="Times New Roman" w:hAnsi="Times New Roman"/>
          <w:sz w:val="20"/>
          <w:szCs w:val="20"/>
          <w:lang w:val="en-CA"/>
        </w:rPr>
        <w:t xml:space="preserve"> </w:t>
      </w:r>
      <w:r w:rsidRPr="00B77BCF">
        <w:rPr>
          <w:rFonts w:ascii="Times New Roman" w:hAnsi="Times New Roman"/>
          <w:sz w:val="20"/>
          <w:szCs w:val="20"/>
          <w:lang w:val="en-CA"/>
        </w:rPr>
        <w:t xml:space="preserve">Leverage Inverse </w:t>
      </w:r>
      <w:r w:rsidRPr="00B77BCF">
        <w:rPr>
          <w:rFonts w:ascii="Times New Roman" w:hAnsi="Times New Roman"/>
          <w:sz w:val="20"/>
          <w:szCs w:val="20"/>
        </w:rPr>
        <w:t>Strategy.</w:t>
      </w:r>
      <w:r w:rsidRPr="00B77BCF">
        <w:rPr>
          <w:rFonts w:ascii="Times New Roman" w:hAnsi="Times New Roman"/>
          <w:sz w:val="20"/>
          <w:szCs w:val="20"/>
          <w:lang w:val="en-CA"/>
        </w:rPr>
        <w:t xml:space="preserve"> </w:t>
      </w:r>
      <w:r w:rsidRPr="00B77BCF">
        <w:rPr>
          <w:rFonts w:ascii="Times New Roman" w:hAnsi="Times New Roman"/>
          <w:sz w:val="20"/>
          <w:szCs w:val="20"/>
        </w:rPr>
        <w:t>Please note that the Stock Borrowing Cost may be changed on giving 5 Business Days’ notice to investors. Any change in the Stock Borrowing Cost will be announced on the SGXNET</w:t>
      </w:r>
      <w:r w:rsidR="00B77BCF" w:rsidRPr="00B77BCF">
        <w:rPr>
          <w:rFonts w:ascii="Times New Roman" w:hAnsi="Times New Roman"/>
          <w:sz w:val="20"/>
          <w:szCs w:val="20"/>
        </w:rPr>
        <w:t>.</w:t>
      </w:r>
    </w:p>
  </w:footnote>
  <w:footnote w:id="6">
    <w:p w14:paraId="3C2A73D1" w14:textId="77777777" w:rsidR="00A80E98" w:rsidRPr="00C52B5C" w:rsidRDefault="00A80E98">
      <w:pPr>
        <w:pStyle w:val="FootnoteText"/>
        <w:rPr>
          <w:lang w:val="en-US"/>
        </w:rPr>
      </w:pPr>
      <w:r>
        <w:rPr>
          <w:rStyle w:val="FootnoteReference"/>
        </w:rPr>
        <w:footnoteRef/>
      </w:r>
      <w:r>
        <w:t xml:space="preserve"> </w:t>
      </w:r>
      <w:r w:rsidRPr="001D13AB">
        <w:rPr>
          <w:rFonts w:ascii="Times New Roman" w:hAnsi="Times New Roman"/>
        </w:rPr>
        <w:t>The</w:t>
      </w:r>
      <w:r w:rsidRPr="001D13AB">
        <w:rPr>
          <w:rFonts w:ascii="Times New Roman" w:hAnsi="Times New Roman"/>
          <w:lang w:val="en-US"/>
        </w:rPr>
        <w:t xml:space="preserve"> illustrative examples are not exhaustive.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F2E1" w14:textId="77777777" w:rsidR="00A80E98" w:rsidRDefault="00A80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2BCD" w14:textId="77777777" w:rsidR="00A80E98" w:rsidRDefault="00A80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56A9" w14:textId="77777777" w:rsidR="00A80E98" w:rsidRDefault="00A80E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hybridMultilevel"/>
    <w:tmpl w:val="A9A46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3F2E2F"/>
    <w:multiLevelType w:val="multilevel"/>
    <w:tmpl w:val="7BDADB82"/>
    <w:styleLink w:val="Style-Letter"/>
    <w:lvl w:ilvl="0">
      <w:start w:val="1"/>
      <w:numFmt w:val="decimal"/>
      <w:pStyle w:val="LetterH1"/>
      <w:lvlText w:val="%1."/>
      <w:lvlJc w:val="left"/>
      <w:pPr>
        <w:tabs>
          <w:tab w:val="num" w:pos="720"/>
        </w:tabs>
        <w:ind w:left="720" w:hanging="720"/>
      </w:pPr>
      <w:rPr>
        <w:rFonts w:ascii="Arial" w:eastAsia="SimSun" w:hAnsi="Arial"/>
        <w:spacing w:val="0"/>
        <w:w w:val="100"/>
        <w:position w:val="0"/>
        <w:sz w:val="20"/>
        <w:szCs w:val="20"/>
      </w:rPr>
    </w:lvl>
    <w:lvl w:ilvl="1">
      <w:start w:val="1"/>
      <w:numFmt w:val="lowerLetter"/>
      <w:pStyle w:val="LetterH2"/>
      <w:lvlText w:val="(%2)"/>
      <w:lvlJc w:val="left"/>
      <w:pPr>
        <w:tabs>
          <w:tab w:val="num" w:pos="1440"/>
        </w:tabs>
        <w:ind w:left="1440" w:hanging="720"/>
      </w:pPr>
      <w:rPr>
        <w:rFonts w:ascii="Arial" w:eastAsia="SimSun" w:hAnsi="Arial" w:hint="default"/>
        <w:b w:val="0"/>
        <w:i w:val="0"/>
        <w:spacing w:val="0"/>
        <w:w w:val="100"/>
        <w:position w:val="0"/>
        <w:sz w:val="20"/>
        <w:szCs w:val="20"/>
      </w:rPr>
    </w:lvl>
    <w:lvl w:ilvl="2">
      <w:start w:val="1"/>
      <w:numFmt w:val="lowerRoman"/>
      <w:pStyle w:val="LetterH3"/>
      <w:lvlText w:val="(%3)"/>
      <w:lvlJc w:val="left"/>
      <w:pPr>
        <w:tabs>
          <w:tab w:val="num" w:pos="2160"/>
        </w:tabs>
        <w:ind w:left="2160" w:hanging="720"/>
      </w:pPr>
      <w:rPr>
        <w:rFonts w:ascii="Arial" w:eastAsia="SimSun" w:hAnsi="Arial" w:hint="default"/>
        <w:b w:val="0"/>
        <w:i w:val="0"/>
        <w:spacing w:val="0"/>
        <w:w w:val="100"/>
        <w:position w:val="0"/>
        <w:sz w:val="20"/>
        <w:szCs w:val="20"/>
      </w:rPr>
    </w:lvl>
    <w:lvl w:ilvl="3">
      <w:start w:val="1"/>
      <w:numFmt w:val="upperLetter"/>
      <w:pStyle w:val="LetterH4"/>
      <w:lvlText w:val="(%4)"/>
      <w:lvlJc w:val="left"/>
      <w:pPr>
        <w:tabs>
          <w:tab w:val="num" w:pos="2880"/>
        </w:tabs>
        <w:ind w:left="2880" w:hanging="720"/>
      </w:pPr>
      <w:rPr>
        <w:rFonts w:ascii="Arial" w:eastAsia="SimSun" w:hAnsi="Arial" w:hint="default"/>
        <w:b w:val="0"/>
        <w:i w:val="0"/>
        <w:spacing w:val="0"/>
        <w:w w:val="100"/>
        <w:position w:val="0"/>
        <w:sz w:val="20"/>
        <w:szCs w:val="20"/>
      </w:rPr>
    </w:lvl>
    <w:lvl w:ilvl="4">
      <w:start w:val="1"/>
      <w:numFmt w:val="upperRoman"/>
      <w:pStyle w:val="LetterH5"/>
      <w:lvlText w:val="(%5)"/>
      <w:lvlJc w:val="left"/>
      <w:pPr>
        <w:tabs>
          <w:tab w:val="num" w:pos="3600"/>
        </w:tabs>
        <w:ind w:left="3600" w:hanging="720"/>
      </w:pPr>
      <w:rPr>
        <w:rFonts w:ascii="Arial" w:eastAsia="SimSun" w:hAnsi="Arial" w:hint="default"/>
        <w:b w:val="0"/>
        <w:i w:val="0"/>
        <w:spacing w:val="0"/>
        <w:w w:val="100"/>
        <w:position w:val="0"/>
        <w:sz w:val="20"/>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 w15:restartNumberingAfterBreak="0">
    <w:nsid w:val="07D23CFD"/>
    <w:multiLevelType w:val="hybridMultilevel"/>
    <w:tmpl w:val="6EAEA630"/>
    <w:lvl w:ilvl="0" w:tplc="0A8AC32C">
      <w:start w:val="1"/>
      <w:numFmt w:val="bullet"/>
      <w:lvlText w:val=""/>
      <w:lvlJc w:val="left"/>
      <w:pPr>
        <w:tabs>
          <w:tab w:val="num" w:pos="360"/>
        </w:tabs>
        <w:ind w:left="360" w:hanging="360"/>
      </w:pPr>
      <w:rPr>
        <w:rFonts w:ascii="Symbol" w:hAnsi="Symbol" w:hint="default"/>
        <w:sz w:val="16"/>
        <w:szCs w:val="16"/>
      </w:rPr>
    </w:lvl>
    <w:lvl w:ilvl="1" w:tplc="F1AE68CA">
      <w:start w:val="4"/>
      <w:numFmt w:val="bullet"/>
      <w:lvlText w:val="-"/>
      <w:lvlJc w:val="left"/>
      <w:pPr>
        <w:tabs>
          <w:tab w:val="num" w:pos="1080"/>
        </w:tabs>
        <w:ind w:left="1080" w:hanging="360"/>
      </w:pPr>
      <w:rPr>
        <w:rFonts w:ascii="Times New Roman" w:eastAsia="SimHei"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B711594"/>
    <w:multiLevelType w:val="hybridMultilevel"/>
    <w:tmpl w:val="E758AE4E"/>
    <w:lvl w:ilvl="0" w:tplc="FBFA31D0">
      <w:numFmt w:val="bullet"/>
      <w:lvlText w:val="•"/>
      <w:lvlJc w:val="left"/>
      <w:pPr>
        <w:ind w:left="480" w:hanging="48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BB843A7"/>
    <w:multiLevelType w:val="hybridMultilevel"/>
    <w:tmpl w:val="7E84F4A0"/>
    <w:lvl w:ilvl="0" w:tplc="2182D3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C749D"/>
    <w:multiLevelType w:val="hybridMultilevel"/>
    <w:tmpl w:val="16B43BFA"/>
    <w:lvl w:ilvl="0" w:tplc="FBFA31D0">
      <w:numFmt w:val="bullet"/>
      <w:lvlText w:val="•"/>
      <w:lvlJc w:val="left"/>
      <w:pPr>
        <w:ind w:left="720" w:hanging="360"/>
      </w:pPr>
      <w:rPr>
        <w:rFonts w:ascii="Arial" w:eastAsia="PMingLiU" w:hAnsi="Arial" w:cs="Times New Roman"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1CE52FC7"/>
    <w:multiLevelType w:val="hybridMultilevel"/>
    <w:tmpl w:val="53E01560"/>
    <w:lvl w:ilvl="0" w:tplc="FBFA31D0">
      <w:numFmt w:val="bullet"/>
      <w:lvlText w:val="•"/>
      <w:lvlJc w:val="left"/>
      <w:pPr>
        <w:ind w:left="480" w:hanging="48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0D4127A"/>
    <w:multiLevelType w:val="multilevel"/>
    <w:tmpl w:val="720217D2"/>
    <w:lvl w:ilvl="0">
      <w:start w:val="1"/>
      <w:numFmt w:val="decimal"/>
      <w:pStyle w:val="Heading1"/>
      <w:lvlText w:val="%1."/>
      <w:lvlJc w:val="left"/>
      <w:pPr>
        <w:tabs>
          <w:tab w:val="num" w:pos="720"/>
        </w:tabs>
        <w:ind w:left="720" w:hanging="720"/>
      </w:pPr>
      <w:rPr>
        <w:rFonts w:ascii="Arial Bold" w:eastAsia="SimSun" w:hAnsi="Arial Bold" w:hint="default"/>
        <w:b/>
        <w:i w:val="0"/>
        <w:sz w:val="22"/>
        <w:szCs w:val="22"/>
      </w:rPr>
    </w:lvl>
    <w:lvl w:ilvl="1">
      <w:start w:val="1"/>
      <w:numFmt w:val="decimal"/>
      <w:pStyle w:val="Heading2"/>
      <w:lvlText w:val="%1.%2"/>
      <w:lvlJc w:val="left"/>
      <w:pPr>
        <w:tabs>
          <w:tab w:val="num" w:pos="720"/>
        </w:tabs>
        <w:ind w:left="720" w:hanging="720"/>
      </w:pPr>
      <w:rPr>
        <w:rFonts w:ascii="Arial Bold" w:eastAsia="SimSun" w:hAnsi="Arial Bold" w:hint="default"/>
        <w:b/>
        <w:i w:val="0"/>
        <w:sz w:val="21"/>
        <w:szCs w:val="21"/>
      </w:rPr>
    </w:lvl>
    <w:lvl w:ilvl="2">
      <w:start w:val="1"/>
      <w:numFmt w:val="decimal"/>
      <w:pStyle w:val="Heading3"/>
      <w:lvlText w:val="%1.%2.%3"/>
      <w:lvlJc w:val="left"/>
      <w:pPr>
        <w:tabs>
          <w:tab w:val="num" w:pos="1440"/>
        </w:tabs>
        <w:ind w:left="1440" w:hanging="720"/>
      </w:pPr>
      <w:rPr>
        <w:rFonts w:ascii="Arial Bold" w:eastAsia="SimSun" w:hAnsi="Arial Bold" w:hint="default"/>
        <w:b/>
        <w:i w:val="0"/>
        <w:sz w:val="17"/>
        <w:szCs w:val="17"/>
      </w:rPr>
    </w:lvl>
    <w:lvl w:ilvl="3">
      <w:start w:val="1"/>
      <w:numFmt w:val="lowerRoman"/>
      <w:pStyle w:val="Heading4"/>
      <w:lvlText w:val="(%4)"/>
      <w:lvlJc w:val="left"/>
      <w:pPr>
        <w:tabs>
          <w:tab w:val="num" w:pos="2160"/>
        </w:tabs>
        <w:ind w:left="2160" w:hanging="720"/>
      </w:pPr>
      <w:rPr>
        <w:rFonts w:ascii="Arial" w:eastAsia="SimSun" w:hAnsi="Arial" w:hint="default"/>
        <w:b w:val="0"/>
        <w:i w:val="0"/>
        <w:sz w:val="20"/>
        <w:szCs w:val="20"/>
      </w:rPr>
    </w:lvl>
    <w:lvl w:ilvl="4">
      <w:start w:val="1"/>
      <w:numFmt w:val="lowerLetter"/>
      <w:pStyle w:val="Heading5"/>
      <w:lvlText w:val="(%5)"/>
      <w:lvlJc w:val="left"/>
      <w:pPr>
        <w:tabs>
          <w:tab w:val="num" w:pos="2592"/>
        </w:tabs>
        <w:ind w:left="2592" w:hanging="432"/>
      </w:pPr>
      <w:rPr>
        <w:rFonts w:ascii="Arial" w:eastAsia="SimSun" w:hAnsi="Arial" w:hint="default"/>
        <w:b w:val="0"/>
        <w:i w:val="0"/>
        <w:sz w:val="20"/>
        <w:szCs w:val="20"/>
      </w:rPr>
    </w:lvl>
    <w:lvl w:ilvl="5">
      <w:start w:val="1"/>
      <w:numFmt w:val="upperRoman"/>
      <w:pStyle w:val="Heading6"/>
      <w:lvlText w:val="(%6)"/>
      <w:lvlJc w:val="left"/>
      <w:pPr>
        <w:tabs>
          <w:tab w:val="num" w:pos="3168"/>
        </w:tabs>
        <w:ind w:left="3168" w:hanging="576"/>
      </w:pPr>
      <w:rPr>
        <w:rFonts w:ascii="Arial" w:eastAsia="SimSun" w:hAnsi="Arial" w:hint="default"/>
        <w:b w:val="0"/>
        <w:i w:val="0"/>
        <w:sz w:val="20"/>
        <w:szCs w:val="20"/>
      </w:rPr>
    </w:lvl>
    <w:lvl w:ilvl="6">
      <w:start w:val="1"/>
      <w:numFmt w:val="upperLetter"/>
      <w:pStyle w:val="Heading7"/>
      <w:lvlText w:val="(%7)"/>
      <w:lvlJc w:val="left"/>
      <w:pPr>
        <w:tabs>
          <w:tab w:val="num" w:pos="3744"/>
        </w:tabs>
        <w:ind w:left="3744" w:hanging="576"/>
      </w:pPr>
      <w:rPr>
        <w:rFonts w:ascii="Arial" w:eastAsia="SimSun" w:hAnsi="Arial" w:hint="default"/>
        <w:b w:val="0"/>
        <w:i w:val="0"/>
        <w:sz w:val="20"/>
        <w:szCs w:val="20"/>
      </w:rPr>
    </w:lvl>
    <w:lvl w:ilvl="7">
      <w:start w:val="1"/>
      <w:numFmt w:val="decimal"/>
      <w:pStyle w:val="Heading8"/>
      <w:lvlText w:val="(%8)"/>
      <w:lvlJc w:val="left"/>
      <w:pPr>
        <w:tabs>
          <w:tab w:val="num" w:pos="4320"/>
        </w:tabs>
        <w:ind w:left="4320" w:hanging="576"/>
      </w:pPr>
      <w:rPr>
        <w:rFonts w:ascii="Arial" w:eastAsia="SimSun" w:hAnsi="Arial" w:hint="default"/>
        <w:b w:val="0"/>
        <w:i w:val="0"/>
        <w:sz w:val="20"/>
        <w:szCs w:val="20"/>
      </w:rPr>
    </w:lvl>
    <w:lvl w:ilvl="8">
      <w:start w:val="1"/>
      <w:numFmt w:val="lowerLetter"/>
      <w:pStyle w:val="Heading9"/>
      <w:lvlText w:val="%9)"/>
      <w:lvlJc w:val="left"/>
      <w:pPr>
        <w:tabs>
          <w:tab w:val="num" w:pos="4896"/>
        </w:tabs>
        <w:ind w:left="4896" w:hanging="576"/>
      </w:pPr>
      <w:rPr>
        <w:rFonts w:ascii="Arial" w:eastAsia="SimSun" w:hAnsi="Arial" w:hint="default"/>
        <w:b w:val="0"/>
        <w:i w:val="0"/>
        <w:sz w:val="20"/>
        <w:szCs w:val="20"/>
      </w:rPr>
    </w:lvl>
  </w:abstractNum>
  <w:abstractNum w:abstractNumId="8" w15:restartNumberingAfterBreak="0">
    <w:nsid w:val="2B53530C"/>
    <w:multiLevelType w:val="hybridMultilevel"/>
    <w:tmpl w:val="01EE8796"/>
    <w:lvl w:ilvl="0" w:tplc="F0F81506">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BF17960"/>
    <w:multiLevelType w:val="hybridMultilevel"/>
    <w:tmpl w:val="7252576E"/>
    <w:lvl w:ilvl="0" w:tplc="92568CC2">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B866D9"/>
    <w:multiLevelType w:val="hybridMultilevel"/>
    <w:tmpl w:val="424482F6"/>
    <w:lvl w:ilvl="0" w:tplc="05D0570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66C02FB"/>
    <w:multiLevelType w:val="hybridMultilevel"/>
    <w:tmpl w:val="3D985DB8"/>
    <w:lvl w:ilvl="0" w:tplc="B90C8B62">
      <w:start w:val="1"/>
      <w:numFmt w:val="upp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8D8087D"/>
    <w:multiLevelType w:val="hybridMultilevel"/>
    <w:tmpl w:val="A9A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5FCE"/>
    <w:multiLevelType w:val="hybridMultilevel"/>
    <w:tmpl w:val="7C08AE7C"/>
    <w:lvl w:ilvl="0" w:tplc="7DD25D42">
      <w:start w:val="1"/>
      <w:numFmt w:val="lowerRoman"/>
      <w:lvlText w:val="(%1)"/>
      <w:lvlJc w:val="left"/>
      <w:pPr>
        <w:tabs>
          <w:tab w:val="num" w:pos="900"/>
        </w:tabs>
        <w:ind w:left="900" w:hanging="720"/>
      </w:pPr>
      <w:rPr>
        <w:rFonts w:hint="default"/>
        <w:lang w:val="en-C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23206"/>
    <w:multiLevelType w:val="hybridMultilevel"/>
    <w:tmpl w:val="62501C18"/>
    <w:lvl w:ilvl="0" w:tplc="982430A0">
      <w:start w:val="2"/>
      <w:numFmt w:val="bullet"/>
      <w:lvlText w:val="-"/>
      <w:lvlJc w:val="left"/>
      <w:pPr>
        <w:tabs>
          <w:tab w:val="num" w:pos="1080"/>
        </w:tabs>
        <w:ind w:left="1080" w:hanging="360"/>
      </w:pPr>
      <w:rPr>
        <w:rFonts w:ascii="Arial" w:eastAsia="SimSu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4FA7990"/>
    <w:multiLevelType w:val="hybridMultilevel"/>
    <w:tmpl w:val="C78A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F503B"/>
    <w:multiLevelType w:val="multilevel"/>
    <w:tmpl w:val="1F2E701C"/>
    <w:styleLink w:val="Style-Parties"/>
    <w:lvl w:ilvl="0">
      <w:start w:val="1"/>
      <w:numFmt w:val="decimal"/>
      <w:pStyle w:val="Parties"/>
      <w:lvlText w:val="(%1)"/>
      <w:lvlJc w:val="left"/>
      <w:pPr>
        <w:tabs>
          <w:tab w:val="num" w:pos="720"/>
        </w:tabs>
        <w:ind w:left="720" w:hanging="720"/>
      </w:pPr>
      <w:rPr>
        <w:rFonts w:ascii="Arial Bold" w:eastAsia="SimSun" w:hAnsi="Arial Bold" w:hint="default"/>
        <w:b/>
        <w:i w:val="0"/>
        <w:sz w:val="20"/>
        <w:szCs w:val="2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4E1C57AA"/>
    <w:multiLevelType w:val="hybridMultilevel"/>
    <w:tmpl w:val="1668D510"/>
    <w:lvl w:ilvl="0" w:tplc="3E1E4DEE">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A0085E"/>
    <w:multiLevelType w:val="hybridMultilevel"/>
    <w:tmpl w:val="2DAEC854"/>
    <w:lvl w:ilvl="0" w:tplc="BB3ED5B8">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8A8662A"/>
    <w:multiLevelType w:val="hybridMultilevel"/>
    <w:tmpl w:val="D8EC79C2"/>
    <w:lvl w:ilvl="0" w:tplc="FFFFFFFF">
      <w:start w:val="1"/>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5D61251D"/>
    <w:multiLevelType w:val="hybridMultilevel"/>
    <w:tmpl w:val="11E86308"/>
    <w:lvl w:ilvl="0" w:tplc="FBFA31D0">
      <w:numFmt w:val="bullet"/>
      <w:lvlText w:val="•"/>
      <w:lvlJc w:val="left"/>
      <w:pPr>
        <w:ind w:left="480" w:hanging="48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F3F35E8"/>
    <w:multiLevelType w:val="hybridMultilevel"/>
    <w:tmpl w:val="A4F02728"/>
    <w:lvl w:ilvl="0" w:tplc="4142D804">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EA2FF4"/>
    <w:multiLevelType w:val="multilevel"/>
    <w:tmpl w:val="E4227EBA"/>
    <w:styleLink w:val="Style-Appendix"/>
    <w:lvl w:ilvl="0">
      <w:start w:val="1"/>
      <w:numFmt w:val="upperLetter"/>
      <w:pStyle w:val="Appendix-1Title"/>
      <w:suff w:val="space"/>
      <w:lvlText w:val="Appendix %1"/>
      <w:lvlJc w:val="left"/>
      <w:pPr>
        <w:ind w:left="0" w:firstLine="0"/>
      </w:pPr>
      <w:rPr>
        <w:rFonts w:ascii="Arial Bold" w:eastAsia="SimSun" w:hAnsi="Arial Bold" w:hint="default"/>
        <w:b/>
        <w:i w:val="0"/>
        <w:sz w:val="22"/>
        <w:szCs w:val="22"/>
      </w:rPr>
    </w:lvl>
    <w:lvl w:ilvl="1">
      <w:start w:val="1"/>
      <w:numFmt w:val="decimal"/>
      <w:pStyle w:val="Appendix-2Title"/>
      <w:suff w:val="space"/>
      <w:lvlText w:val="Part %2"/>
      <w:lvlJc w:val="left"/>
      <w:pPr>
        <w:ind w:left="0" w:firstLine="0"/>
      </w:pPr>
      <w:rPr>
        <w:rFonts w:ascii="Arial Bold" w:eastAsia="SimSun" w:hAnsi="Arial Bold" w:hint="default"/>
        <w:b/>
        <w:i w:val="0"/>
        <w:sz w:val="21"/>
        <w:szCs w:val="21"/>
      </w:rPr>
    </w:lvl>
    <w:lvl w:ilvl="2">
      <w:start w:val="1"/>
      <w:numFmt w:val="decimal"/>
      <w:pStyle w:val="Appendix-3Title"/>
      <w:suff w:val="space"/>
      <w:lvlText w:val="%2.%3"/>
      <w:lvlJc w:val="left"/>
      <w:pPr>
        <w:ind w:left="0" w:firstLine="0"/>
      </w:pPr>
      <w:rPr>
        <w:rFonts w:ascii="Arial Bold" w:eastAsia="SimSun" w:hAnsi="Arial Bold" w:hint="default"/>
        <w:b/>
        <w:i w:val="0"/>
        <w:sz w:val="21"/>
        <w:szCs w:val="21"/>
      </w:rPr>
    </w:lvl>
    <w:lvl w:ilvl="3">
      <w:start w:val="1"/>
      <w:numFmt w:val="decimal"/>
      <w:lvlRestart w:val="1"/>
      <w:pStyle w:val="AppendixH1"/>
      <w:lvlText w:val="%4."/>
      <w:lvlJc w:val="left"/>
      <w:pPr>
        <w:tabs>
          <w:tab w:val="num" w:pos="720"/>
        </w:tabs>
        <w:ind w:left="720" w:hanging="720"/>
      </w:pPr>
      <w:rPr>
        <w:rFonts w:ascii="Arial Bold" w:eastAsia="SimSun" w:hAnsi="Arial Bold" w:hint="default"/>
        <w:b/>
        <w:i w:val="0"/>
        <w:sz w:val="22"/>
        <w:szCs w:val="22"/>
      </w:rPr>
    </w:lvl>
    <w:lvl w:ilvl="4">
      <w:start w:val="1"/>
      <w:numFmt w:val="decimal"/>
      <w:pStyle w:val="AppendixH2"/>
      <w:lvlText w:val="%4.%5"/>
      <w:lvlJc w:val="left"/>
      <w:pPr>
        <w:tabs>
          <w:tab w:val="num" w:pos="720"/>
        </w:tabs>
        <w:ind w:left="720" w:hanging="720"/>
      </w:pPr>
      <w:rPr>
        <w:rFonts w:ascii="Arial Bold" w:eastAsia="SimSun" w:hAnsi="Arial Bold" w:hint="default"/>
        <w:b/>
        <w:i w:val="0"/>
        <w:sz w:val="21"/>
        <w:szCs w:val="21"/>
      </w:rPr>
    </w:lvl>
    <w:lvl w:ilvl="5">
      <w:start w:val="1"/>
      <w:numFmt w:val="decimal"/>
      <w:pStyle w:val="AppendixH3"/>
      <w:lvlText w:val="%4.%5.%6"/>
      <w:lvlJc w:val="left"/>
      <w:pPr>
        <w:tabs>
          <w:tab w:val="num" w:pos="1440"/>
        </w:tabs>
        <w:ind w:left="1440" w:hanging="720"/>
      </w:pPr>
      <w:rPr>
        <w:rFonts w:ascii="Arial Bold" w:eastAsia="SimSun" w:hAnsi="Arial Bold" w:hint="default"/>
        <w:b/>
        <w:i w:val="0"/>
        <w:sz w:val="17"/>
        <w:szCs w:val="17"/>
      </w:rPr>
    </w:lvl>
    <w:lvl w:ilvl="6">
      <w:start w:val="1"/>
      <w:numFmt w:val="lowerRoman"/>
      <w:pStyle w:val="AppendixH4"/>
      <w:lvlText w:val="(%7)"/>
      <w:lvlJc w:val="left"/>
      <w:pPr>
        <w:tabs>
          <w:tab w:val="num" w:pos="2160"/>
        </w:tabs>
        <w:ind w:left="2160" w:hanging="720"/>
      </w:pPr>
      <w:rPr>
        <w:rFonts w:ascii="Arial" w:eastAsia="SimSun" w:hAnsi="Arial" w:hint="default"/>
        <w:b w:val="0"/>
        <w:i w:val="0"/>
        <w:sz w:val="20"/>
        <w:szCs w:val="20"/>
      </w:rPr>
    </w:lvl>
    <w:lvl w:ilvl="7">
      <w:start w:val="1"/>
      <w:numFmt w:val="lowerLetter"/>
      <w:pStyle w:val="AppendixH5"/>
      <w:lvlText w:val="(%8)"/>
      <w:lvlJc w:val="left"/>
      <w:pPr>
        <w:tabs>
          <w:tab w:val="num" w:pos="2592"/>
        </w:tabs>
        <w:ind w:left="2592" w:hanging="432"/>
      </w:pPr>
      <w:rPr>
        <w:rFonts w:ascii="Arial" w:eastAsia="SimSun" w:hAnsi="Arial" w:hint="default"/>
        <w:b w:val="0"/>
        <w:i w:val="0"/>
        <w:sz w:val="20"/>
        <w:szCs w:val="20"/>
      </w:rPr>
    </w:lvl>
    <w:lvl w:ilvl="8">
      <w:start w:val="1"/>
      <w:numFmt w:val="upperRoman"/>
      <w:pStyle w:val="AppendixH6"/>
      <w:lvlText w:val="(%9)"/>
      <w:lvlJc w:val="left"/>
      <w:pPr>
        <w:tabs>
          <w:tab w:val="num" w:pos="3168"/>
        </w:tabs>
        <w:ind w:left="3168" w:hanging="576"/>
      </w:pPr>
      <w:rPr>
        <w:rFonts w:ascii="Arial" w:eastAsia="SimSun" w:hAnsi="Arial" w:hint="default"/>
        <w:b w:val="0"/>
        <w:i w:val="0"/>
        <w:sz w:val="20"/>
        <w:szCs w:val="20"/>
      </w:rPr>
    </w:lvl>
  </w:abstractNum>
  <w:abstractNum w:abstractNumId="23" w15:restartNumberingAfterBreak="0">
    <w:nsid w:val="64671DF0"/>
    <w:multiLevelType w:val="multilevel"/>
    <w:tmpl w:val="8278B326"/>
    <w:lvl w:ilvl="0">
      <w:start w:val="1"/>
      <w:numFmt w:val="bullet"/>
      <w:pStyle w:val="Bulle"/>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651651BD"/>
    <w:multiLevelType w:val="hybridMultilevel"/>
    <w:tmpl w:val="2E12B76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66F104C6"/>
    <w:multiLevelType w:val="hybridMultilevel"/>
    <w:tmpl w:val="9196B7B8"/>
    <w:lvl w:ilvl="0" w:tplc="FBFA31D0">
      <w:numFmt w:val="bullet"/>
      <w:lvlText w:val="•"/>
      <w:lvlJc w:val="left"/>
      <w:pPr>
        <w:ind w:left="480" w:hanging="48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A4E0C90"/>
    <w:multiLevelType w:val="multilevel"/>
    <w:tmpl w:val="15664E6E"/>
    <w:styleLink w:val="Style-Recitals"/>
    <w:lvl w:ilvl="0">
      <w:start w:val="1"/>
      <w:numFmt w:val="upperLetter"/>
      <w:pStyle w:val="Recitals"/>
      <w:lvlText w:val="(%1)"/>
      <w:lvlJc w:val="left"/>
      <w:pPr>
        <w:tabs>
          <w:tab w:val="num" w:pos="720"/>
        </w:tabs>
        <w:ind w:left="720" w:hanging="720"/>
      </w:pPr>
      <w:rPr>
        <w:rFonts w:ascii="Arial Bold" w:eastAsia="SimSun" w:hAnsi="Arial Bold" w:hint="default"/>
        <w:b/>
        <w:i w:val="0"/>
        <w:sz w:val="20"/>
        <w:szCs w:val="2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7" w15:restartNumberingAfterBreak="0">
    <w:nsid w:val="6F8D3510"/>
    <w:multiLevelType w:val="hybridMultilevel"/>
    <w:tmpl w:val="E334C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82E16"/>
    <w:multiLevelType w:val="hybridMultilevel"/>
    <w:tmpl w:val="9A8671C6"/>
    <w:lvl w:ilvl="0" w:tplc="FBFA31D0">
      <w:numFmt w:val="bullet"/>
      <w:lvlText w:val="•"/>
      <w:lvlJc w:val="left"/>
      <w:pPr>
        <w:ind w:left="480" w:hanging="480"/>
      </w:pPr>
      <w:rPr>
        <w:rFonts w:ascii="Arial" w:eastAsia="PMingLiU" w:hAnsi="Arial"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73C77183"/>
    <w:multiLevelType w:val="hybridMultilevel"/>
    <w:tmpl w:val="0BD2B88E"/>
    <w:lvl w:ilvl="0" w:tplc="C1C2C446">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AB67DB"/>
    <w:multiLevelType w:val="multilevel"/>
    <w:tmpl w:val="F69EAB98"/>
    <w:styleLink w:val="Style-Schedule"/>
    <w:lvl w:ilvl="0">
      <w:start w:val="1"/>
      <w:numFmt w:val="decimal"/>
      <w:pStyle w:val="Schedule-1Title"/>
      <w:suff w:val="space"/>
      <w:lvlText w:val="Schedule %1"/>
      <w:lvlJc w:val="left"/>
      <w:pPr>
        <w:ind w:left="0" w:firstLine="0"/>
      </w:pPr>
      <w:rPr>
        <w:rFonts w:ascii="Arial" w:hAnsi="Arial" w:hint="default"/>
        <w:b/>
        <w:i w:val="0"/>
        <w:sz w:val="22"/>
        <w:szCs w:val="22"/>
      </w:rPr>
    </w:lvl>
    <w:lvl w:ilvl="1">
      <w:start w:val="1"/>
      <w:numFmt w:val="decimal"/>
      <w:pStyle w:val="Schedule-2Title"/>
      <w:suff w:val="space"/>
      <w:lvlText w:val="Part %2"/>
      <w:lvlJc w:val="left"/>
      <w:pPr>
        <w:ind w:left="0" w:firstLine="0"/>
      </w:pPr>
      <w:rPr>
        <w:rFonts w:ascii="Arial Bold" w:eastAsia="SimSun" w:hAnsi="Arial Bold" w:hint="default"/>
        <w:b/>
        <w:i w:val="0"/>
        <w:sz w:val="20"/>
        <w:szCs w:val="20"/>
      </w:rPr>
    </w:lvl>
    <w:lvl w:ilvl="2">
      <w:start w:val="1"/>
      <w:numFmt w:val="decimal"/>
      <w:pStyle w:val="Schedule-3Title"/>
      <w:lvlText w:val="%2.%3"/>
      <w:lvlJc w:val="left"/>
      <w:pPr>
        <w:tabs>
          <w:tab w:val="num" w:pos="0"/>
        </w:tabs>
        <w:ind w:left="720" w:hanging="720"/>
      </w:pPr>
      <w:rPr>
        <w:rFonts w:hint="default"/>
        <w:b/>
        <w:i w:val="0"/>
        <w:sz w:val="20"/>
        <w:szCs w:val="20"/>
      </w:rPr>
    </w:lvl>
    <w:lvl w:ilvl="3">
      <w:start w:val="1"/>
      <w:numFmt w:val="decimal"/>
      <w:lvlRestart w:val="1"/>
      <w:pStyle w:val="ScheduleH1"/>
      <w:lvlText w:val="%4"/>
      <w:lvlJc w:val="left"/>
      <w:pPr>
        <w:tabs>
          <w:tab w:val="num" w:pos="0"/>
        </w:tabs>
        <w:ind w:left="720" w:hanging="720"/>
      </w:pPr>
      <w:rPr>
        <w:rFonts w:hint="default"/>
        <w:b/>
        <w:i w:val="0"/>
        <w:sz w:val="22"/>
        <w:szCs w:val="22"/>
      </w:rPr>
    </w:lvl>
    <w:lvl w:ilvl="4">
      <w:start w:val="1"/>
      <w:numFmt w:val="decimal"/>
      <w:pStyle w:val="ScheduleH2"/>
      <w:lvlText w:val="%4.%5"/>
      <w:lvlJc w:val="left"/>
      <w:pPr>
        <w:tabs>
          <w:tab w:val="num" w:pos="0"/>
        </w:tabs>
        <w:ind w:left="720" w:hanging="720"/>
      </w:pPr>
      <w:rPr>
        <w:rFonts w:hint="default"/>
        <w:b/>
        <w:i w:val="0"/>
        <w:sz w:val="21"/>
        <w:szCs w:val="21"/>
      </w:rPr>
    </w:lvl>
    <w:lvl w:ilvl="5">
      <w:start w:val="1"/>
      <w:numFmt w:val="decimal"/>
      <w:pStyle w:val="ScheduleH3"/>
      <w:lvlText w:val="%4.%5.%6"/>
      <w:lvlJc w:val="left"/>
      <w:pPr>
        <w:tabs>
          <w:tab w:val="num" w:pos="1440"/>
        </w:tabs>
        <w:ind w:left="1440" w:hanging="720"/>
      </w:pPr>
      <w:rPr>
        <w:rFonts w:hint="default"/>
        <w:b/>
        <w:i w:val="0"/>
        <w:sz w:val="17"/>
        <w:szCs w:val="17"/>
      </w:rPr>
    </w:lvl>
    <w:lvl w:ilvl="6">
      <w:start w:val="1"/>
      <w:numFmt w:val="lowerRoman"/>
      <w:pStyle w:val="ScheduleH4"/>
      <w:lvlText w:val="(%7)"/>
      <w:lvlJc w:val="left"/>
      <w:pPr>
        <w:tabs>
          <w:tab w:val="num" w:pos="2160"/>
        </w:tabs>
        <w:ind w:left="2160" w:hanging="576"/>
      </w:pPr>
      <w:rPr>
        <w:rFonts w:hint="default"/>
        <w:sz w:val="17"/>
        <w:szCs w:val="17"/>
      </w:rPr>
    </w:lvl>
    <w:lvl w:ilvl="7">
      <w:start w:val="1"/>
      <w:numFmt w:val="lowerLetter"/>
      <w:pStyle w:val="ScheduleH5"/>
      <w:lvlText w:val="(%8)"/>
      <w:lvlJc w:val="left"/>
      <w:pPr>
        <w:tabs>
          <w:tab w:val="num" w:pos="2592"/>
        </w:tabs>
        <w:ind w:left="2592" w:hanging="432"/>
      </w:pPr>
      <w:rPr>
        <w:rFonts w:hint="default"/>
        <w:sz w:val="17"/>
        <w:szCs w:val="17"/>
      </w:rPr>
    </w:lvl>
    <w:lvl w:ilvl="8">
      <w:start w:val="1"/>
      <w:numFmt w:val="upperRoman"/>
      <w:pStyle w:val="ScheduleH6"/>
      <w:lvlText w:val="(%9)"/>
      <w:lvlJc w:val="left"/>
      <w:pPr>
        <w:tabs>
          <w:tab w:val="num" w:pos="3168"/>
        </w:tabs>
        <w:ind w:left="3168" w:hanging="576"/>
      </w:pPr>
      <w:rPr>
        <w:rFonts w:hint="default"/>
        <w:sz w:val="17"/>
        <w:szCs w:val="17"/>
      </w:rPr>
    </w:lvl>
  </w:abstractNum>
  <w:abstractNum w:abstractNumId="31" w15:restartNumberingAfterBreak="0">
    <w:nsid w:val="78F344D4"/>
    <w:multiLevelType w:val="hybridMultilevel"/>
    <w:tmpl w:val="E5D2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868353">
    <w:abstractNumId w:val="7"/>
  </w:num>
  <w:num w:numId="2" w16cid:durableId="41682662">
    <w:abstractNumId w:val="22"/>
  </w:num>
  <w:num w:numId="3" w16cid:durableId="64571583">
    <w:abstractNumId w:val="1"/>
  </w:num>
  <w:num w:numId="4" w16cid:durableId="398140644">
    <w:abstractNumId w:val="16"/>
  </w:num>
  <w:num w:numId="5" w16cid:durableId="1459105281">
    <w:abstractNumId w:val="26"/>
  </w:num>
  <w:num w:numId="6" w16cid:durableId="1202010312">
    <w:abstractNumId w:val="30"/>
    <w:lvlOverride w:ilvl="0">
      <w:lvl w:ilvl="0">
        <w:start w:val="1"/>
        <w:numFmt w:val="decimal"/>
        <w:pStyle w:val="Schedule-1Title"/>
        <w:suff w:val="space"/>
        <w:lvlText w:val="Schedule %1"/>
        <w:lvlJc w:val="left"/>
        <w:pPr>
          <w:ind w:left="0" w:firstLine="0"/>
        </w:pPr>
        <w:rPr>
          <w:rFonts w:ascii="Arial Bold" w:eastAsia="SimSun" w:hAnsi="Arial Bold" w:hint="default"/>
          <w:b/>
          <w:i w:val="0"/>
          <w:sz w:val="22"/>
          <w:szCs w:val="22"/>
        </w:rPr>
      </w:lvl>
    </w:lvlOverride>
    <w:lvlOverride w:ilvl="1">
      <w:lvl w:ilvl="1">
        <w:start w:val="1"/>
        <w:numFmt w:val="decimal"/>
        <w:pStyle w:val="Schedule-2Title"/>
        <w:suff w:val="space"/>
        <w:lvlText w:val="Part %2"/>
        <w:lvlJc w:val="left"/>
        <w:pPr>
          <w:ind w:left="0" w:firstLine="0"/>
        </w:pPr>
        <w:rPr>
          <w:rFonts w:ascii="Arial Bold" w:eastAsia="SimSun" w:hAnsi="Arial Bold" w:hint="default"/>
          <w:b/>
          <w:i w:val="0"/>
          <w:sz w:val="21"/>
          <w:szCs w:val="21"/>
        </w:rPr>
      </w:lvl>
    </w:lvlOverride>
    <w:lvlOverride w:ilvl="2">
      <w:lvl w:ilvl="2">
        <w:start w:val="1"/>
        <w:numFmt w:val="decimal"/>
        <w:pStyle w:val="Schedule-3Title"/>
        <w:suff w:val="space"/>
        <w:lvlText w:val="%2.%3"/>
        <w:lvlJc w:val="left"/>
        <w:pPr>
          <w:ind w:left="720" w:hanging="720"/>
        </w:pPr>
        <w:rPr>
          <w:rFonts w:ascii="Arial Bold" w:eastAsia="SimSun" w:hAnsi="Arial Bold" w:hint="default"/>
          <w:b/>
          <w:i w:val="0"/>
          <w:sz w:val="21"/>
          <w:szCs w:val="21"/>
        </w:rPr>
      </w:lvl>
    </w:lvlOverride>
    <w:lvlOverride w:ilvl="3">
      <w:lvl w:ilvl="3">
        <w:start w:val="1"/>
        <w:numFmt w:val="decimal"/>
        <w:lvlRestart w:val="1"/>
        <w:pStyle w:val="ScheduleH1"/>
        <w:lvlText w:val="%4."/>
        <w:lvlJc w:val="left"/>
        <w:pPr>
          <w:tabs>
            <w:tab w:val="num" w:pos="0"/>
          </w:tabs>
          <w:ind w:left="720" w:hanging="720"/>
        </w:pPr>
        <w:rPr>
          <w:rFonts w:ascii="Arial Bold" w:eastAsia="SimSun" w:hAnsi="Arial Bold" w:hint="default"/>
          <w:b/>
          <w:i w:val="0"/>
          <w:sz w:val="22"/>
          <w:szCs w:val="22"/>
        </w:rPr>
      </w:lvl>
    </w:lvlOverride>
    <w:lvlOverride w:ilvl="4">
      <w:lvl w:ilvl="4">
        <w:start w:val="1"/>
        <w:numFmt w:val="decimal"/>
        <w:pStyle w:val="ScheduleH2"/>
        <w:lvlText w:val="%4.%5"/>
        <w:lvlJc w:val="left"/>
        <w:pPr>
          <w:tabs>
            <w:tab w:val="num" w:pos="0"/>
          </w:tabs>
          <w:ind w:left="720" w:hanging="720"/>
        </w:pPr>
        <w:rPr>
          <w:rFonts w:ascii="Arial Bold" w:eastAsia="SimSun" w:hAnsi="Arial Bold" w:hint="default"/>
          <w:b/>
          <w:i w:val="0"/>
          <w:sz w:val="21"/>
          <w:szCs w:val="21"/>
        </w:rPr>
      </w:lvl>
    </w:lvlOverride>
    <w:lvlOverride w:ilvl="5">
      <w:lvl w:ilvl="5">
        <w:start w:val="1"/>
        <w:numFmt w:val="decimal"/>
        <w:pStyle w:val="ScheduleH3"/>
        <w:lvlText w:val="%4.%5.%6"/>
        <w:lvlJc w:val="left"/>
        <w:pPr>
          <w:tabs>
            <w:tab w:val="num" w:pos="1440"/>
          </w:tabs>
          <w:ind w:left="1440" w:hanging="720"/>
        </w:pPr>
        <w:rPr>
          <w:rFonts w:ascii="Arial Bold" w:eastAsia="SimSun" w:hAnsi="Arial Bold" w:hint="default"/>
          <w:b/>
          <w:i w:val="0"/>
          <w:sz w:val="17"/>
          <w:szCs w:val="17"/>
        </w:rPr>
      </w:lvl>
    </w:lvlOverride>
    <w:lvlOverride w:ilvl="6">
      <w:lvl w:ilvl="6">
        <w:start w:val="1"/>
        <w:numFmt w:val="lowerRoman"/>
        <w:pStyle w:val="ScheduleH4"/>
        <w:lvlText w:val="(%7)"/>
        <w:lvlJc w:val="left"/>
        <w:pPr>
          <w:tabs>
            <w:tab w:val="num" w:pos="2160"/>
          </w:tabs>
          <w:ind w:left="2160" w:hanging="720"/>
        </w:pPr>
        <w:rPr>
          <w:rFonts w:ascii="Arial" w:eastAsia="SimSun" w:hAnsi="Arial" w:hint="default"/>
          <w:b w:val="0"/>
          <w:i w:val="0"/>
          <w:sz w:val="20"/>
          <w:szCs w:val="20"/>
        </w:rPr>
      </w:lvl>
    </w:lvlOverride>
    <w:lvlOverride w:ilvl="7">
      <w:lvl w:ilvl="7">
        <w:start w:val="1"/>
        <w:numFmt w:val="lowerLetter"/>
        <w:pStyle w:val="ScheduleH5"/>
        <w:lvlText w:val="(%8)"/>
        <w:lvlJc w:val="left"/>
        <w:pPr>
          <w:tabs>
            <w:tab w:val="num" w:pos="2592"/>
          </w:tabs>
          <w:ind w:left="2592" w:hanging="432"/>
        </w:pPr>
        <w:rPr>
          <w:rFonts w:ascii="Arial" w:eastAsia="SimSun" w:hAnsi="Arial" w:hint="default"/>
          <w:b w:val="0"/>
          <w:i w:val="0"/>
          <w:sz w:val="20"/>
          <w:szCs w:val="20"/>
        </w:rPr>
      </w:lvl>
    </w:lvlOverride>
    <w:lvlOverride w:ilvl="8">
      <w:lvl w:ilvl="8">
        <w:start w:val="1"/>
        <w:numFmt w:val="upperRoman"/>
        <w:pStyle w:val="ScheduleH6"/>
        <w:lvlText w:val="(%9)"/>
        <w:lvlJc w:val="left"/>
        <w:pPr>
          <w:tabs>
            <w:tab w:val="num" w:pos="3168"/>
          </w:tabs>
          <w:ind w:left="3168" w:hanging="576"/>
        </w:pPr>
        <w:rPr>
          <w:rFonts w:ascii="Arial" w:eastAsia="SimSun" w:hAnsi="Arial" w:hint="default"/>
          <w:b w:val="0"/>
          <w:i w:val="0"/>
          <w:sz w:val="20"/>
          <w:szCs w:val="20"/>
        </w:rPr>
      </w:lvl>
    </w:lvlOverride>
  </w:num>
  <w:num w:numId="7" w16cid:durableId="207886266">
    <w:abstractNumId w:val="8"/>
  </w:num>
  <w:num w:numId="8" w16cid:durableId="727998246">
    <w:abstractNumId w:val="10"/>
  </w:num>
  <w:num w:numId="9" w16cid:durableId="351881635">
    <w:abstractNumId w:val="2"/>
  </w:num>
  <w:num w:numId="10" w16cid:durableId="929237775">
    <w:abstractNumId w:val="14"/>
  </w:num>
  <w:num w:numId="11" w16cid:durableId="1058090555">
    <w:abstractNumId w:val="11"/>
  </w:num>
  <w:num w:numId="12" w16cid:durableId="1303120661">
    <w:abstractNumId w:val="12"/>
  </w:num>
  <w:num w:numId="13" w16cid:durableId="654724526">
    <w:abstractNumId w:val="15"/>
  </w:num>
  <w:num w:numId="14" w16cid:durableId="1966346059">
    <w:abstractNumId w:val="31"/>
  </w:num>
  <w:num w:numId="15" w16cid:durableId="1736581830">
    <w:abstractNumId w:val="13"/>
  </w:num>
  <w:num w:numId="16" w16cid:durableId="342558455">
    <w:abstractNumId w:val="17"/>
  </w:num>
  <w:num w:numId="17" w16cid:durableId="575941394">
    <w:abstractNumId w:val="9"/>
  </w:num>
  <w:num w:numId="18" w16cid:durableId="1111437864">
    <w:abstractNumId w:val="29"/>
  </w:num>
  <w:num w:numId="19" w16cid:durableId="22757488">
    <w:abstractNumId w:val="18"/>
  </w:num>
  <w:num w:numId="20" w16cid:durableId="80033846">
    <w:abstractNumId w:val="6"/>
  </w:num>
  <w:num w:numId="21" w16cid:durableId="1098254660">
    <w:abstractNumId w:val="25"/>
  </w:num>
  <w:num w:numId="22" w16cid:durableId="2124183545">
    <w:abstractNumId w:val="20"/>
  </w:num>
  <w:num w:numId="23" w16cid:durableId="114637996">
    <w:abstractNumId w:val="28"/>
  </w:num>
  <w:num w:numId="24" w16cid:durableId="1289121333">
    <w:abstractNumId w:val="0"/>
  </w:num>
  <w:num w:numId="25" w16cid:durableId="200435185">
    <w:abstractNumId w:val="3"/>
  </w:num>
  <w:num w:numId="26" w16cid:durableId="329211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7283207">
    <w:abstractNumId w:val="23"/>
  </w:num>
  <w:num w:numId="28" w16cid:durableId="440882516">
    <w:abstractNumId w:val="19"/>
  </w:num>
  <w:num w:numId="29" w16cid:durableId="2043628536">
    <w:abstractNumId w:val="30"/>
  </w:num>
  <w:num w:numId="30" w16cid:durableId="2093578863">
    <w:abstractNumId w:val="21"/>
  </w:num>
  <w:num w:numId="31" w16cid:durableId="126049931">
    <w:abstractNumId w:val="27"/>
  </w:num>
  <w:num w:numId="32" w16cid:durableId="2275629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99189021">
    <w:abstractNumId w:val="24"/>
  </w:num>
  <w:num w:numId="34" w16cid:durableId="72418498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FD"/>
    <w:rsid w:val="000003A4"/>
    <w:rsid w:val="00000698"/>
    <w:rsid w:val="00000A36"/>
    <w:rsid w:val="00000E10"/>
    <w:rsid w:val="000011DB"/>
    <w:rsid w:val="000014BB"/>
    <w:rsid w:val="00001A56"/>
    <w:rsid w:val="00001C3A"/>
    <w:rsid w:val="00001F04"/>
    <w:rsid w:val="00002547"/>
    <w:rsid w:val="000031E3"/>
    <w:rsid w:val="0000339C"/>
    <w:rsid w:val="000036CE"/>
    <w:rsid w:val="0000388D"/>
    <w:rsid w:val="00004640"/>
    <w:rsid w:val="000049F7"/>
    <w:rsid w:val="00004D32"/>
    <w:rsid w:val="00004DE5"/>
    <w:rsid w:val="000054DB"/>
    <w:rsid w:val="0000554B"/>
    <w:rsid w:val="000060C2"/>
    <w:rsid w:val="00006607"/>
    <w:rsid w:val="00006E35"/>
    <w:rsid w:val="00007D75"/>
    <w:rsid w:val="000100B0"/>
    <w:rsid w:val="000104FF"/>
    <w:rsid w:val="000105AD"/>
    <w:rsid w:val="000107F2"/>
    <w:rsid w:val="000107FF"/>
    <w:rsid w:val="0001082D"/>
    <w:rsid w:val="0001171B"/>
    <w:rsid w:val="00011771"/>
    <w:rsid w:val="00011BCD"/>
    <w:rsid w:val="00011CC2"/>
    <w:rsid w:val="00011D76"/>
    <w:rsid w:val="00011F0D"/>
    <w:rsid w:val="00012066"/>
    <w:rsid w:val="00012C28"/>
    <w:rsid w:val="000130B6"/>
    <w:rsid w:val="0001345F"/>
    <w:rsid w:val="00013773"/>
    <w:rsid w:val="00013D0E"/>
    <w:rsid w:val="00013F12"/>
    <w:rsid w:val="000143D8"/>
    <w:rsid w:val="0001480C"/>
    <w:rsid w:val="00014D82"/>
    <w:rsid w:val="00015154"/>
    <w:rsid w:val="00015286"/>
    <w:rsid w:val="00015A5A"/>
    <w:rsid w:val="00015C32"/>
    <w:rsid w:val="00015FBF"/>
    <w:rsid w:val="00015FDE"/>
    <w:rsid w:val="000160C1"/>
    <w:rsid w:val="00017D25"/>
    <w:rsid w:val="00017F97"/>
    <w:rsid w:val="000204BC"/>
    <w:rsid w:val="0002056C"/>
    <w:rsid w:val="00020712"/>
    <w:rsid w:val="000207C7"/>
    <w:rsid w:val="0002103F"/>
    <w:rsid w:val="00021395"/>
    <w:rsid w:val="0002197C"/>
    <w:rsid w:val="00021B1D"/>
    <w:rsid w:val="00022002"/>
    <w:rsid w:val="00022097"/>
    <w:rsid w:val="000222E0"/>
    <w:rsid w:val="00022606"/>
    <w:rsid w:val="0002277B"/>
    <w:rsid w:val="00022BD5"/>
    <w:rsid w:val="00022CEA"/>
    <w:rsid w:val="0002329C"/>
    <w:rsid w:val="000235D5"/>
    <w:rsid w:val="0002386A"/>
    <w:rsid w:val="000238AE"/>
    <w:rsid w:val="000238FE"/>
    <w:rsid w:val="00023B51"/>
    <w:rsid w:val="000241EF"/>
    <w:rsid w:val="000242B2"/>
    <w:rsid w:val="00024489"/>
    <w:rsid w:val="00024920"/>
    <w:rsid w:val="00025A1C"/>
    <w:rsid w:val="000264A9"/>
    <w:rsid w:val="00026A46"/>
    <w:rsid w:val="00027074"/>
    <w:rsid w:val="0002765B"/>
    <w:rsid w:val="000277BE"/>
    <w:rsid w:val="00027A21"/>
    <w:rsid w:val="000306B4"/>
    <w:rsid w:val="000312F7"/>
    <w:rsid w:val="00031B67"/>
    <w:rsid w:val="00032AA2"/>
    <w:rsid w:val="00033098"/>
    <w:rsid w:val="00033B15"/>
    <w:rsid w:val="00033D96"/>
    <w:rsid w:val="00033F71"/>
    <w:rsid w:val="000340BC"/>
    <w:rsid w:val="0003469B"/>
    <w:rsid w:val="00034848"/>
    <w:rsid w:val="000348DB"/>
    <w:rsid w:val="00034A54"/>
    <w:rsid w:val="00034A6F"/>
    <w:rsid w:val="00034BDA"/>
    <w:rsid w:val="00035077"/>
    <w:rsid w:val="00035382"/>
    <w:rsid w:val="00035492"/>
    <w:rsid w:val="00035A70"/>
    <w:rsid w:val="00035B25"/>
    <w:rsid w:val="00035CCA"/>
    <w:rsid w:val="000365C6"/>
    <w:rsid w:val="00036A9E"/>
    <w:rsid w:val="00037270"/>
    <w:rsid w:val="000374E2"/>
    <w:rsid w:val="000377FA"/>
    <w:rsid w:val="0004020E"/>
    <w:rsid w:val="00040D0C"/>
    <w:rsid w:val="00041D53"/>
    <w:rsid w:val="00041DD0"/>
    <w:rsid w:val="00041F22"/>
    <w:rsid w:val="0004242B"/>
    <w:rsid w:val="00042675"/>
    <w:rsid w:val="000426FB"/>
    <w:rsid w:val="00042873"/>
    <w:rsid w:val="00042B4E"/>
    <w:rsid w:val="00042CF6"/>
    <w:rsid w:val="00043684"/>
    <w:rsid w:val="00043C6D"/>
    <w:rsid w:val="00043FCE"/>
    <w:rsid w:val="00044249"/>
    <w:rsid w:val="0004431F"/>
    <w:rsid w:val="00044798"/>
    <w:rsid w:val="000447A8"/>
    <w:rsid w:val="00044BC7"/>
    <w:rsid w:val="00044EF6"/>
    <w:rsid w:val="0004515A"/>
    <w:rsid w:val="00045759"/>
    <w:rsid w:val="00046856"/>
    <w:rsid w:val="00046BBB"/>
    <w:rsid w:val="00046C00"/>
    <w:rsid w:val="00046E73"/>
    <w:rsid w:val="00047701"/>
    <w:rsid w:val="000479A9"/>
    <w:rsid w:val="000479BB"/>
    <w:rsid w:val="00047F51"/>
    <w:rsid w:val="00047F5A"/>
    <w:rsid w:val="00050129"/>
    <w:rsid w:val="00050585"/>
    <w:rsid w:val="000507AD"/>
    <w:rsid w:val="000513A4"/>
    <w:rsid w:val="000515A8"/>
    <w:rsid w:val="00051713"/>
    <w:rsid w:val="00051C2D"/>
    <w:rsid w:val="00051D03"/>
    <w:rsid w:val="00051D59"/>
    <w:rsid w:val="00052571"/>
    <w:rsid w:val="000527EE"/>
    <w:rsid w:val="0005325E"/>
    <w:rsid w:val="000533AD"/>
    <w:rsid w:val="00053562"/>
    <w:rsid w:val="000535DC"/>
    <w:rsid w:val="000539BA"/>
    <w:rsid w:val="00053C60"/>
    <w:rsid w:val="00053C96"/>
    <w:rsid w:val="00053E25"/>
    <w:rsid w:val="00053FEA"/>
    <w:rsid w:val="000541B2"/>
    <w:rsid w:val="0005434F"/>
    <w:rsid w:val="00054603"/>
    <w:rsid w:val="00054D38"/>
    <w:rsid w:val="00054D68"/>
    <w:rsid w:val="00054D6E"/>
    <w:rsid w:val="000563D1"/>
    <w:rsid w:val="00056509"/>
    <w:rsid w:val="000569AB"/>
    <w:rsid w:val="00056EC5"/>
    <w:rsid w:val="00056EF8"/>
    <w:rsid w:val="00057379"/>
    <w:rsid w:val="000579F1"/>
    <w:rsid w:val="000603F7"/>
    <w:rsid w:val="00060B16"/>
    <w:rsid w:val="00060E5F"/>
    <w:rsid w:val="000610EF"/>
    <w:rsid w:val="000611F5"/>
    <w:rsid w:val="00061252"/>
    <w:rsid w:val="000612AD"/>
    <w:rsid w:val="00061624"/>
    <w:rsid w:val="00061787"/>
    <w:rsid w:val="00061AE7"/>
    <w:rsid w:val="00062BE1"/>
    <w:rsid w:val="000635AE"/>
    <w:rsid w:val="00063DA7"/>
    <w:rsid w:val="00064022"/>
    <w:rsid w:val="0006407A"/>
    <w:rsid w:val="00064129"/>
    <w:rsid w:val="000642D9"/>
    <w:rsid w:val="000647AE"/>
    <w:rsid w:val="00064B0F"/>
    <w:rsid w:val="00064FEE"/>
    <w:rsid w:val="00065410"/>
    <w:rsid w:val="000655B0"/>
    <w:rsid w:val="0006566C"/>
    <w:rsid w:val="0006622A"/>
    <w:rsid w:val="000668E1"/>
    <w:rsid w:val="00066A5B"/>
    <w:rsid w:val="00066AEE"/>
    <w:rsid w:val="00066F4A"/>
    <w:rsid w:val="0006722E"/>
    <w:rsid w:val="0006728A"/>
    <w:rsid w:val="00067343"/>
    <w:rsid w:val="0006765A"/>
    <w:rsid w:val="00067CA3"/>
    <w:rsid w:val="00070650"/>
    <w:rsid w:val="0007071F"/>
    <w:rsid w:val="00070830"/>
    <w:rsid w:val="00070AA7"/>
    <w:rsid w:val="00070E90"/>
    <w:rsid w:val="000711D5"/>
    <w:rsid w:val="00071F14"/>
    <w:rsid w:val="000725D5"/>
    <w:rsid w:val="00072871"/>
    <w:rsid w:val="00072C05"/>
    <w:rsid w:val="00072D7C"/>
    <w:rsid w:val="00072FBD"/>
    <w:rsid w:val="000737C2"/>
    <w:rsid w:val="0007389F"/>
    <w:rsid w:val="00073D87"/>
    <w:rsid w:val="000747AD"/>
    <w:rsid w:val="00075345"/>
    <w:rsid w:val="00075CB5"/>
    <w:rsid w:val="00076B86"/>
    <w:rsid w:val="000772B7"/>
    <w:rsid w:val="000774B7"/>
    <w:rsid w:val="000776A7"/>
    <w:rsid w:val="00077AD9"/>
    <w:rsid w:val="00077D19"/>
    <w:rsid w:val="000803F6"/>
    <w:rsid w:val="00080636"/>
    <w:rsid w:val="00081448"/>
    <w:rsid w:val="00081934"/>
    <w:rsid w:val="00081964"/>
    <w:rsid w:val="00081C55"/>
    <w:rsid w:val="00081FF5"/>
    <w:rsid w:val="00082815"/>
    <w:rsid w:val="000828BA"/>
    <w:rsid w:val="0008416C"/>
    <w:rsid w:val="000842CA"/>
    <w:rsid w:val="00084F2E"/>
    <w:rsid w:val="00085048"/>
    <w:rsid w:val="000854C5"/>
    <w:rsid w:val="00086755"/>
    <w:rsid w:val="00086D11"/>
    <w:rsid w:val="00087014"/>
    <w:rsid w:val="00087514"/>
    <w:rsid w:val="00090F73"/>
    <w:rsid w:val="0009109C"/>
    <w:rsid w:val="000911B8"/>
    <w:rsid w:val="000916AD"/>
    <w:rsid w:val="00091A1F"/>
    <w:rsid w:val="00091D1E"/>
    <w:rsid w:val="000924F4"/>
    <w:rsid w:val="0009326A"/>
    <w:rsid w:val="000933BA"/>
    <w:rsid w:val="00094812"/>
    <w:rsid w:val="00094880"/>
    <w:rsid w:val="00094BF3"/>
    <w:rsid w:val="00094E2C"/>
    <w:rsid w:val="000956B8"/>
    <w:rsid w:val="000959CE"/>
    <w:rsid w:val="0009630B"/>
    <w:rsid w:val="000A037F"/>
    <w:rsid w:val="000A0842"/>
    <w:rsid w:val="000A0FED"/>
    <w:rsid w:val="000A1D3D"/>
    <w:rsid w:val="000A208C"/>
    <w:rsid w:val="000A2697"/>
    <w:rsid w:val="000A2B60"/>
    <w:rsid w:val="000A376C"/>
    <w:rsid w:val="000A3F58"/>
    <w:rsid w:val="000A4B4F"/>
    <w:rsid w:val="000A4B66"/>
    <w:rsid w:val="000A508A"/>
    <w:rsid w:val="000A5698"/>
    <w:rsid w:val="000A5740"/>
    <w:rsid w:val="000A5A78"/>
    <w:rsid w:val="000A5CBB"/>
    <w:rsid w:val="000A5F2B"/>
    <w:rsid w:val="000A604B"/>
    <w:rsid w:val="000A6427"/>
    <w:rsid w:val="000A64AB"/>
    <w:rsid w:val="000A725A"/>
    <w:rsid w:val="000A775D"/>
    <w:rsid w:val="000A7AA6"/>
    <w:rsid w:val="000A7ED1"/>
    <w:rsid w:val="000B0536"/>
    <w:rsid w:val="000B0726"/>
    <w:rsid w:val="000B0EB9"/>
    <w:rsid w:val="000B12EB"/>
    <w:rsid w:val="000B14A1"/>
    <w:rsid w:val="000B177F"/>
    <w:rsid w:val="000B17FC"/>
    <w:rsid w:val="000B1EB6"/>
    <w:rsid w:val="000B278F"/>
    <w:rsid w:val="000B28EC"/>
    <w:rsid w:val="000B2D5C"/>
    <w:rsid w:val="000B2F52"/>
    <w:rsid w:val="000B3A45"/>
    <w:rsid w:val="000B3B32"/>
    <w:rsid w:val="000B3BE2"/>
    <w:rsid w:val="000B41BA"/>
    <w:rsid w:val="000B4279"/>
    <w:rsid w:val="000B456B"/>
    <w:rsid w:val="000B497F"/>
    <w:rsid w:val="000B4ABD"/>
    <w:rsid w:val="000B6089"/>
    <w:rsid w:val="000B674D"/>
    <w:rsid w:val="000B76B8"/>
    <w:rsid w:val="000B77CD"/>
    <w:rsid w:val="000B77FD"/>
    <w:rsid w:val="000B7BA1"/>
    <w:rsid w:val="000B7C77"/>
    <w:rsid w:val="000B7E74"/>
    <w:rsid w:val="000C079B"/>
    <w:rsid w:val="000C0CDA"/>
    <w:rsid w:val="000C16AD"/>
    <w:rsid w:val="000C16CC"/>
    <w:rsid w:val="000C1916"/>
    <w:rsid w:val="000C1981"/>
    <w:rsid w:val="000C230C"/>
    <w:rsid w:val="000C25F7"/>
    <w:rsid w:val="000C2619"/>
    <w:rsid w:val="000C26EF"/>
    <w:rsid w:val="000C2951"/>
    <w:rsid w:val="000C31E3"/>
    <w:rsid w:val="000C3311"/>
    <w:rsid w:val="000C3907"/>
    <w:rsid w:val="000C3EA3"/>
    <w:rsid w:val="000C4242"/>
    <w:rsid w:val="000C506F"/>
    <w:rsid w:val="000C548D"/>
    <w:rsid w:val="000C5AE0"/>
    <w:rsid w:val="000C71A8"/>
    <w:rsid w:val="000C71C3"/>
    <w:rsid w:val="000C7A1C"/>
    <w:rsid w:val="000D02E3"/>
    <w:rsid w:val="000D03B1"/>
    <w:rsid w:val="000D1026"/>
    <w:rsid w:val="000D17C3"/>
    <w:rsid w:val="000D18CC"/>
    <w:rsid w:val="000D1D56"/>
    <w:rsid w:val="000D20C1"/>
    <w:rsid w:val="000D2AEA"/>
    <w:rsid w:val="000D3394"/>
    <w:rsid w:val="000D38D4"/>
    <w:rsid w:val="000D3AD4"/>
    <w:rsid w:val="000D3ADE"/>
    <w:rsid w:val="000D3D6D"/>
    <w:rsid w:val="000D44AA"/>
    <w:rsid w:val="000D4A5C"/>
    <w:rsid w:val="000D4CBB"/>
    <w:rsid w:val="000D4CF3"/>
    <w:rsid w:val="000D4DC9"/>
    <w:rsid w:val="000D536E"/>
    <w:rsid w:val="000D56FC"/>
    <w:rsid w:val="000D58C5"/>
    <w:rsid w:val="000D5E51"/>
    <w:rsid w:val="000D6448"/>
    <w:rsid w:val="000D64A0"/>
    <w:rsid w:val="000D6AAD"/>
    <w:rsid w:val="000D6AB6"/>
    <w:rsid w:val="000D6F97"/>
    <w:rsid w:val="000D7A90"/>
    <w:rsid w:val="000D7DAF"/>
    <w:rsid w:val="000D7FAE"/>
    <w:rsid w:val="000E01F2"/>
    <w:rsid w:val="000E0419"/>
    <w:rsid w:val="000E0B3B"/>
    <w:rsid w:val="000E0CA6"/>
    <w:rsid w:val="000E1238"/>
    <w:rsid w:val="000E1C82"/>
    <w:rsid w:val="000E2470"/>
    <w:rsid w:val="000E25C4"/>
    <w:rsid w:val="000E2870"/>
    <w:rsid w:val="000E31AF"/>
    <w:rsid w:val="000E3544"/>
    <w:rsid w:val="000E35D3"/>
    <w:rsid w:val="000E36E6"/>
    <w:rsid w:val="000E3830"/>
    <w:rsid w:val="000E3AF9"/>
    <w:rsid w:val="000E3CCA"/>
    <w:rsid w:val="000E3EB8"/>
    <w:rsid w:val="000E406B"/>
    <w:rsid w:val="000E45F6"/>
    <w:rsid w:val="000E46BE"/>
    <w:rsid w:val="000E48CD"/>
    <w:rsid w:val="000E50AA"/>
    <w:rsid w:val="000E51FE"/>
    <w:rsid w:val="000E55C8"/>
    <w:rsid w:val="000E5735"/>
    <w:rsid w:val="000E6361"/>
    <w:rsid w:val="000E7F3D"/>
    <w:rsid w:val="000F0250"/>
    <w:rsid w:val="000F0BE0"/>
    <w:rsid w:val="000F0C67"/>
    <w:rsid w:val="000F0CD4"/>
    <w:rsid w:val="000F10BD"/>
    <w:rsid w:val="000F11A0"/>
    <w:rsid w:val="000F12D9"/>
    <w:rsid w:val="000F14D7"/>
    <w:rsid w:val="000F1702"/>
    <w:rsid w:val="000F1C4F"/>
    <w:rsid w:val="000F1CD7"/>
    <w:rsid w:val="000F2687"/>
    <w:rsid w:val="000F2883"/>
    <w:rsid w:val="000F35E0"/>
    <w:rsid w:val="000F37A7"/>
    <w:rsid w:val="000F3B75"/>
    <w:rsid w:val="000F4663"/>
    <w:rsid w:val="000F472B"/>
    <w:rsid w:val="000F494D"/>
    <w:rsid w:val="000F4965"/>
    <w:rsid w:val="000F4C13"/>
    <w:rsid w:val="000F5C8D"/>
    <w:rsid w:val="000F6026"/>
    <w:rsid w:val="000F73F7"/>
    <w:rsid w:val="000F76BC"/>
    <w:rsid w:val="000F7ADC"/>
    <w:rsid w:val="000F7EAD"/>
    <w:rsid w:val="000F7F85"/>
    <w:rsid w:val="00100016"/>
    <w:rsid w:val="0010002C"/>
    <w:rsid w:val="001003CA"/>
    <w:rsid w:val="001004D8"/>
    <w:rsid w:val="001006DA"/>
    <w:rsid w:val="001009B8"/>
    <w:rsid w:val="00100DC0"/>
    <w:rsid w:val="001010DF"/>
    <w:rsid w:val="00101455"/>
    <w:rsid w:val="00101457"/>
    <w:rsid w:val="00101487"/>
    <w:rsid w:val="0010164D"/>
    <w:rsid w:val="001020C3"/>
    <w:rsid w:val="001020FA"/>
    <w:rsid w:val="001028C2"/>
    <w:rsid w:val="00102A2B"/>
    <w:rsid w:val="00103026"/>
    <w:rsid w:val="0010306A"/>
    <w:rsid w:val="0010318E"/>
    <w:rsid w:val="0010390D"/>
    <w:rsid w:val="00103DDB"/>
    <w:rsid w:val="0010458A"/>
    <w:rsid w:val="001045C3"/>
    <w:rsid w:val="00104994"/>
    <w:rsid w:val="00105439"/>
    <w:rsid w:val="00105C71"/>
    <w:rsid w:val="00106D67"/>
    <w:rsid w:val="0010782E"/>
    <w:rsid w:val="00110F89"/>
    <w:rsid w:val="00112025"/>
    <w:rsid w:val="00112618"/>
    <w:rsid w:val="00112A59"/>
    <w:rsid w:val="0011369A"/>
    <w:rsid w:val="001138CE"/>
    <w:rsid w:val="001141CE"/>
    <w:rsid w:val="001144A7"/>
    <w:rsid w:val="001147D3"/>
    <w:rsid w:val="00114AE4"/>
    <w:rsid w:val="0011517E"/>
    <w:rsid w:val="00115546"/>
    <w:rsid w:val="00115619"/>
    <w:rsid w:val="00115949"/>
    <w:rsid w:val="00115D9E"/>
    <w:rsid w:val="0011674C"/>
    <w:rsid w:val="0011690B"/>
    <w:rsid w:val="00116CBA"/>
    <w:rsid w:val="00117029"/>
    <w:rsid w:val="00117194"/>
    <w:rsid w:val="001171A7"/>
    <w:rsid w:val="00117D96"/>
    <w:rsid w:val="001200E0"/>
    <w:rsid w:val="00120170"/>
    <w:rsid w:val="001202C9"/>
    <w:rsid w:val="00120E06"/>
    <w:rsid w:val="00120F2E"/>
    <w:rsid w:val="00121648"/>
    <w:rsid w:val="001221E2"/>
    <w:rsid w:val="00122D01"/>
    <w:rsid w:val="001235F3"/>
    <w:rsid w:val="001235F8"/>
    <w:rsid w:val="0012361A"/>
    <w:rsid w:val="001236AE"/>
    <w:rsid w:val="0012370A"/>
    <w:rsid w:val="001239CE"/>
    <w:rsid w:val="0012428D"/>
    <w:rsid w:val="00124C72"/>
    <w:rsid w:val="00124D7E"/>
    <w:rsid w:val="00124F4F"/>
    <w:rsid w:val="00125096"/>
    <w:rsid w:val="001250BC"/>
    <w:rsid w:val="00126805"/>
    <w:rsid w:val="00126B47"/>
    <w:rsid w:val="00126C63"/>
    <w:rsid w:val="00127328"/>
    <w:rsid w:val="0013006B"/>
    <w:rsid w:val="001303EB"/>
    <w:rsid w:val="001308A9"/>
    <w:rsid w:val="00130E9A"/>
    <w:rsid w:val="001312BF"/>
    <w:rsid w:val="001322B8"/>
    <w:rsid w:val="0013276C"/>
    <w:rsid w:val="00132A9C"/>
    <w:rsid w:val="00132B24"/>
    <w:rsid w:val="001333C3"/>
    <w:rsid w:val="001333E0"/>
    <w:rsid w:val="0013480D"/>
    <w:rsid w:val="00135B9D"/>
    <w:rsid w:val="00135BEB"/>
    <w:rsid w:val="00135C66"/>
    <w:rsid w:val="00135E76"/>
    <w:rsid w:val="00135F52"/>
    <w:rsid w:val="00136061"/>
    <w:rsid w:val="00136536"/>
    <w:rsid w:val="00136728"/>
    <w:rsid w:val="001367B3"/>
    <w:rsid w:val="00136FF1"/>
    <w:rsid w:val="00140043"/>
    <w:rsid w:val="00140742"/>
    <w:rsid w:val="001407DF"/>
    <w:rsid w:val="0014220B"/>
    <w:rsid w:val="00142413"/>
    <w:rsid w:val="0014276E"/>
    <w:rsid w:val="0014284C"/>
    <w:rsid w:val="001438B4"/>
    <w:rsid w:val="00143D4E"/>
    <w:rsid w:val="00144B76"/>
    <w:rsid w:val="001453AB"/>
    <w:rsid w:val="00145A8A"/>
    <w:rsid w:val="00145B74"/>
    <w:rsid w:val="0014607F"/>
    <w:rsid w:val="00146081"/>
    <w:rsid w:val="001463A0"/>
    <w:rsid w:val="001463F0"/>
    <w:rsid w:val="00146EDE"/>
    <w:rsid w:val="00146FFF"/>
    <w:rsid w:val="00147750"/>
    <w:rsid w:val="00147C75"/>
    <w:rsid w:val="0015036E"/>
    <w:rsid w:val="00150505"/>
    <w:rsid w:val="00150B8B"/>
    <w:rsid w:val="00151099"/>
    <w:rsid w:val="001510F5"/>
    <w:rsid w:val="00151CE8"/>
    <w:rsid w:val="00151D99"/>
    <w:rsid w:val="00153808"/>
    <w:rsid w:val="001539D9"/>
    <w:rsid w:val="00153EAC"/>
    <w:rsid w:val="00154C83"/>
    <w:rsid w:val="00154E39"/>
    <w:rsid w:val="00155215"/>
    <w:rsid w:val="001555AD"/>
    <w:rsid w:val="001559BD"/>
    <w:rsid w:val="00155DD5"/>
    <w:rsid w:val="001562B1"/>
    <w:rsid w:val="00156994"/>
    <w:rsid w:val="00156ADD"/>
    <w:rsid w:val="00156D1F"/>
    <w:rsid w:val="00156F0F"/>
    <w:rsid w:val="001570DA"/>
    <w:rsid w:val="001572EF"/>
    <w:rsid w:val="0015731F"/>
    <w:rsid w:val="00157611"/>
    <w:rsid w:val="00157A8D"/>
    <w:rsid w:val="001603E4"/>
    <w:rsid w:val="00160AA0"/>
    <w:rsid w:val="00160D5C"/>
    <w:rsid w:val="00161006"/>
    <w:rsid w:val="001611AD"/>
    <w:rsid w:val="0016155D"/>
    <w:rsid w:val="00161CC0"/>
    <w:rsid w:val="001620BF"/>
    <w:rsid w:val="001621F8"/>
    <w:rsid w:val="00162555"/>
    <w:rsid w:val="0016288D"/>
    <w:rsid w:val="00162CBA"/>
    <w:rsid w:val="00163546"/>
    <w:rsid w:val="001638B4"/>
    <w:rsid w:val="00163991"/>
    <w:rsid w:val="00163A04"/>
    <w:rsid w:val="001646F1"/>
    <w:rsid w:val="001647EB"/>
    <w:rsid w:val="0016495D"/>
    <w:rsid w:val="0016507F"/>
    <w:rsid w:val="001651BD"/>
    <w:rsid w:val="00165AC1"/>
    <w:rsid w:val="00165F0F"/>
    <w:rsid w:val="001665B8"/>
    <w:rsid w:val="00166B5D"/>
    <w:rsid w:val="00166CC6"/>
    <w:rsid w:val="00166E27"/>
    <w:rsid w:val="001676A8"/>
    <w:rsid w:val="00167B7E"/>
    <w:rsid w:val="00170236"/>
    <w:rsid w:val="001702CF"/>
    <w:rsid w:val="00170333"/>
    <w:rsid w:val="00170A63"/>
    <w:rsid w:val="001712A1"/>
    <w:rsid w:val="001715C7"/>
    <w:rsid w:val="00171706"/>
    <w:rsid w:val="00171DE7"/>
    <w:rsid w:val="00171EA0"/>
    <w:rsid w:val="0017260F"/>
    <w:rsid w:val="00172CDD"/>
    <w:rsid w:val="00173467"/>
    <w:rsid w:val="00173DFE"/>
    <w:rsid w:val="00173E0E"/>
    <w:rsid w:val="00173EE3"/>
    <w:rsid w:val="001743FE"/>
    <w:rsid w:val="001745D8"/>
    <w:rsid w:val="00174A11"/>
    <w:rsid w:val="001755E5"/>
    <w:rsid w:val="00175AD9"/>
    <w:rsid w:val="00175E25"/>
    <w:rsid w:val="001766CC"/>
    <w:rsid w:val="0017686C"/>
    <w:rsid w:val="001778CE"/>
    <w:rsid w:val="00177B2C"/>
    <w:rsid w:val="00177C2E"/>
    <w:rsid w:val="00177CEF"/>
    <w:rsid w:val="001803F9"/>
    <w:rsid w:val="00180D1B"/>
    <w:rsid w:val="00180FAD"/>
    <w:rsid w:val="00180FEC"/>
    <w:rsid w:val="001814C6"/>
    <w:rsid w:val="00181A95"/>
    <w:rsid w:val="00181FB6"/>
    <w:rsid w:val="001826F7"/>
    <w:rsid w:val="00182A7F"/>
    <w:rsid w:val="00182F3C"/>
    <w:rsid w:val="001830AF"/>
    <w:rsid w:val="0018331E"/>
    <w:rsid w:val="0018356D"/>
    <w:rsid w:val="0018391F"/>
    <w:rsid w:val="00184037"/>
    <w:rsid w:val="0018403C"/>
    <w:rsid w:val="00184666"/>
    <w:rsid w:val="00185255"/>
    <w:rsid w:val="00185515"/>
    <w:rsid w:val="00186035"/>
    <w:rsid w:val="001863B5"/>
    <w:rsid w:val="001866B3"/>
    <w:rsid w:val="00186A9B"/>
    <w:rsid w:val="00186FA0"/>
    <w:rsid w:val="0018750C"/>
    <w:rsid w:val="00187954"/>
    <w:rsid w:val="0019007F"/>
    <w:rsid w:val="00190499"/>
    <w:rsid w:val="00190B61"/>
    <w:rsid w:val="00190D91"/>
    <w:rsid w:val="00190F0A"/>
    <w:rsid w:val="00190FBB"/>
    <w:rsid w:val="00191613"/>
    <w:rsid w:val="0019200C"/>
    <w:rsid w:val="00192127"/>
    <w:rsid w:val="001924FA"/>
    <w:rsid w:val="001928D8"/>
    <w:rsid w:val="00192C01"/>
    <w:rsid w:val="0019305F"/>
    <w:rsid w:val="001933CB"/>
    <w:rsid w:val="00193852"/>
    <w:rsid w:val="00193BE3"/>
    <w:rsid w:val="00193DF1"/>
    <w:rsid w:val="001940A9"/>
    <w:rsid w:val="00194692"/>
    <w:rsid w:val="001950D0"/>
    <w:rsid w:val="00195A04"/>
    <w:rsid w:val="00195B5C"/>
    <w:rsid w:val="00196567"/>
    <w:rsid w:val="00196A3F"/>
    <w:rsid w:val="00197D9C"/>
    <w:rsid w:val="00197F7D"/>
    <w:rsid w:val="001A0392"/>
    <w:rsid w:val="001A0B58"/>
    <w:rsid w:val="001A0F58"/>
    <w:rsid w:val="001A12A8"/>
    <w:rsid w:val="001A1B77"/>
    <w:rsid w:val="001A1C6D"/>
    <w:rsid w:val="001A27B8"/>
    <w:rsid w:val="001A3412"/>
    <w:rsid w:val="001A38BF"/>
    <w:rsid w:val="001A3D75"/>
    <w:rsid w:val="001A4F3F"/>
    <w:rsid w:val="001A5B6C"/>
    <w:rsid w:val="001A5DAE"/>
    <w:rsid w:val="001A6590"/>
    <w:rsid w:val="001A6668"/>
    <w:rsid w:val="001A6DA0"/>
    <w:rsid w:val="001A6FCC"/>
    <w:rsid w:val="001A70DA"/>
    <w:rsid w:val="001A7891"/>
    <w:rsid w:val="001A7AE8"/>
    <w:rsid w:val="001B02C4"/>
    <w:rsid w:val="001B0370"/>
    <w:rsid w:val="001B05CE"/>
    <w:rsid w:val="001B064C"/>
    <w:rsid w:val="001B0EB1"/>
    <w:rsid w:val="001B1513"/>
    <w:rsid w:val="001B193C"/>
    <w:rsid w:val="001B1A22"/>
    <w:rsid w:val="001B1E3E"/>
    <w:rsid w:val="001B2FB6"/>
    <w:rsid w:val="001B304A"/>
    <w:rsid w:val="001B321C"/>
    <w:rsid w:val="001B35DB"/>
    <w:rsid w:val="001B375D"/>
    <w:rsid w:val="001B3C42"/>
    <w:rsid w:val="001B4478"/>
    <w:rsid w:val="001B4525"/>
    <w:rsid w:val="001B493F"/>
    <w:rsid w:val="001B4DE7"/>
    <w:rsid w:val="001B528E"/>
    <w:rsid w:val="001B53AD"/>
    <w:rsid w:val="001B5539"/>
    <w:rsid w:val="001B55CA"/>
    <w:rsid w:val="001B55FD"/>
    <w:rsid w:val="001B57B4"/>
    <w:rsid w:val="001B59C7"/>
    <w:rsid w:val="001B5F47"/>
    <w:rsid w:val="001B6391"/>
    <w:rsid w:val="001B6C21"/>
    <w:rsid w:val="001B6E10"/>
    <w:rsid w:val="001C0283"/>
    <w:rsid w:val="001C055C"/>
    <w:rsid w:val="001C0890"/>
    <w:rsid w:val="001C0B26"/>
    <w:rsid w:val="001C0D7E"/>
    <w:rsid w:val="001C1141"/>
    <w:rsid w:val="001C1351"/>
    <w:rsid w:val="001C1783"/>
    <w:rsid w:val="001C1CFA"/>
    <w:rsid w:val="001C1E35"/>
    <w:rsid w:val="001C1EAC"/>
    <w:rsid w:val="001C2373"/>
    <w:rsid w:val="001C23EC"/>
    <w:rsid w:val="001C2680"/>
    <w:rsid w:val="001C29F4"/>
    <w:rsid w:val="001C2A03"/>
    <w:rsid w:val="001C2DAF"/>
    <w:rsid w:val="001C302B"/>
    <w:rsid w:val="001C3F5B"/>
    <w:rsid w:val="001C4489"/>
    <w:rsid w:val="001C4C95"/>
    <w:rsid w:val="001C5412"/>
    <w:rsid w:val="001C5C71"/>
    <w:rsid w:val="001C5E40"/>
    <w:rsid w:val="001C6058"/>
    <w:rsid w:val="001C6221"/>
    <w:rsid w:val="001C6289"/>
    <w:rsid w:val="001C6DA1"/>
    <w:rsid w:val="001C738F"/>
    <w:rsid w:val="001C73B9"/>
    <w:rsid w:val="001C764E"/>
    <w:rsid w:val="001C7D5C"/>
    <w:rsid w:val="001D0092"/>
    <w:rsid w:val="001D04BA"/>
    <w:rsid w:val="001D09CA"/>
    <w:rsid w:val="001D1081"/>
    <w:rsid w:val="001D11E7"/>
    <w:rsid w:val="001D1267"/>
    <w:rsid w:val="001D14B5"/>
    <w:rsid w:val="001D16FE"/>
    <w:rsid w:val="001D18DA"/>
    <w:rsid w:val="001D1BDC"/>
    <w:rsid w:val="001D1C9C"/>
    <w:rsid w:val="001D1EDF"/>
    <w:rsid w:val="001D1FAA"/>
    <w:rsid w:val="001D20B6"/>
    <w:rsid w:val="001D28B4"/>
    <w:rsid w:val="001D2A24"/>
    <w:rsid w:val="001D37AC"/>
    <w:rsid w:val="001D3B37"/>
    <w:rsid w:val="001D3D84"/>
    <w:rsid w:val="001D40DA"/>
    <w:rsid w:val="001D4D1C"/>
    <w:rsid w:val="001D5924"/>
    <w:rsid w:val="001D6019"/>
    <w:rsid w:val="001D60C9"/>
    <w:rsid w:val="001D69EE"/>
    <w:rsid w:val="001D6AEB"/>
    <w:rsid w:val="001D6C45"/>
    <w:rsid w:val="001D7269"/>
    <w:rsid w:val="001D7952"/>
    <w:rsid w:val="001D7B93"/>
    <w:rsid w:val="001E0946"/>
    <w:rsid w:val="001E09B8"/>
    <w:rsid w:val="001E0C2C"/>
    <w:rsid w:val="001E1675"/>
    <w:rsid w:val="001E17D3"/>
    <w:rsid w:val="001E1BC2"/>
    <w:rsid w:val="001E1D19"/>
    <w:rsid w:val="001E2118"/>
    <w:rsid w:val="001E27E7"/>
    <w:rsid w:val="001E33B7"/>
    <w:rsid w:val="001E346E"/>
    <w:rsid w:val="001E3F9C"/>
    <w:rsid w:val="001E4620"/>
    <w:rsid w:val="001E4A12"/>
    <w:rsid w:val="001E51CA"/>
    <w:rsid w:val="001E5613"/>
    <w:rsid w:val="001E5870"/>
    <w:rsid w:val="001E742F"/>
    <w:rsid w:val="001E79D1"/>
    <w:rsid w:val="001E7A2F"/>
    <w:rsid w:val="001E7C98"/>
    <w:rsid w:val="001F0DF2"/>
    <w:rsid w:val="001F141D"/>
    <w:rsid w:val="001F16D3"/>
    <w:rsid w:val="001F17F6"/>
    <w:rsid w:val="001F1DD9"/>
    <w:rsid w:val="001F1E03"/>
    <w:rsid w:val="001F21B0"/>
    <w:rsid w:val="001F21D8"/>
    <w:rsid w:val="001F2449"/>
    <w:rsid w:val="001F254A"/>
    <w:rsid w:val="001F2A4A"/>
    <w:rsid w:val="001F2B20"/>
    <w:rsid w:val="001F2CB6"/>
    <w:rsid w:val="001F32C6"/>
    <w:rsid w:val="001F3789"/>
    <w:rsid w:val="001F4AB7"/>
    <w:rsid w:val="001F4CC1"/>
    <w:rsid w:val="001F5142"/>
    <w:rsid w:val="001F55C4"/>
    <w:rsid w:val="001F5858"/>
    <w:rsid w:val="001F58B9"/>
    <w:rsid w:val="001F605C"/>
    <w:rsid w:val="001F66F1"/>
    <w:rsid w:val="001F6B1D"/>
    <w:rsid w:val="001F6B2F"/>
    <w:rsid w:val="0020021D"/>
    <w:rsid w:val="002003EA"/>
    <w:rsid w:val="002007DB"/>
    <w:rsid w:val="002009D3"/>
    <w:rsid w:val="00200C2F"/>
    <w:rsid w:val="00201461"/>
    <w:rsid w:val="0020152F"/>
    <w:rsid w:val="00201A25"/>
    <w:rsid w:val="00202016"/>
    <w:rsid w:val="00202218"/>
    <w:rsid w:val="00202291"/>
    <w:rsid w:val="00202747"/>
    <w:rsid w:val="002027DE"/>
    <w:rsid w:val="00202830"/>
    <w:rsid w:val="00202C21"/>
    <w:rsid w:val="00202D05"/>
    <w:rsid w:val="0020368B"/>
    <w:rsid w:val="002039E7"/>
    <w:rsid w:val="00203C1A"/>
    <w:rsid w:val="002048BB"/>
    <w:rsid w:val="00205B3E"/>
    <w:rsid w:val="00206E5F"/>
    <w:rsid w:val="00207105"/>
    <w:rsid w:val="002074AF"/>
    <w:rsid w:val="00207816"/>
    <w:rsid w:val="00207A0B"/>
    <w:rsid w:val="00207AD1"/>
    <w:rsid w:val="00207B39"/>
    <w:rsid w:val="00207DB9"/>
    <w:rsid w:val="00210083"/>
    <w:rsid w:val="00210561"/>
    <w:rsid w:val="00212702"/>
    <w:rsid w:val="00212813"/>
    <w:rsid w:val="00212997"/>
    <w:rsid w:val="0021437F"/>
    <w:rsid w:val="00214553"/>
    <w:rsid w:val="0021476E"/>
    <w:rsid w:val="002148B5"/>
    <w:rsid w:val="00214987"/>
    <w:rsid w:val="00214C39"/>
    <w:rsid w:val="002155B0"/>
    <w:rsid w:val="002159AD"/>
    <w:rsid w:val="00215A17"/>
    <w:rsid w:val="0021649C"/>
    <w:rsid w:val="002165E7"/>
    <w:rsid w:val="002165EB"/>
    <w:rsid w:val="002168E5"/>
    <w:rsid w:val="00216A63"/>
    <w:rsid w:val="00216A87"/>
    <w:rsid w:val="00216F5F"/>
    <w:rsid w:val="0021749A"/>
    <w:rsid w:val="00217CFB"/>
    <w:rsid w:val="00220267"/>
    <w:rsid w:val="00220C41"/>
    <w:rsid w:val="00221870"/>
    <w:rsid w:val="00221C96"/>
    <w:rsid w:val="00221E84"/>
    <w:rsid w:val="002221F8"/>
    <w:rsid w:val="0022293B"/>
    <w:rsid w:val="00222FE0"/>
    <w:rsid w:val="00223266"/>
    <w:rsid w:val="00223946"/>
    <w:rsid w:val="00223953"/>
    <w:rsid w:val="00223EB9"/>
    <w:rsid w:val="0022457F"/>
    <w:rsid w:val="00224624"/>
    <w:rsid w:val="00224686"/>
    <w:rsid w:val="00224800"/>
    <w:rsid w:val="00224B96"/>
    <w:rsid w:val="002263A2"/>
    <w:rsid w:val="00226F53"/>
    <w:rsid w:val="00227374"/>
    <w:rsid w:val="002276ED"/>
    <w:rsid w:val="00227DFA"/>
    <w:rsid w:val="00227FDD"/>
    <w:rsid w:val="0023047B"/>
    <w:rsid w:val="002304AE"/>
    <w:rsid w:val="00230C57"/>
    <w:rsid w:val="0023151D"/>
    <w:rsid w:val="00231721"/>
    <w:rsid w:val="00231847"/>
    <w:rsid w:val="0023224C"/>
    <w:rsid w:val="002322B0"/>
    <w:rsid w:val="00232563"/>
    <w:rsid w:val="00232BD9"/>
    <w:rsid w:val="00232C60"/>
    <w:rsid w:val="0023349F"/>
    <w:rsid w:val="0023350F"/>
    <w:rsid w:val="00233A30"/>
    <w:rsid w:val="00233E98"/>
    <w:rsid w:val="00234071"/>
    <w:rsid w:val="002349AA"/>
    <w:rsid w:val="00235475"/>
    <w:rsid w:val="00235D96"/>
    <w:rsid w:val="00236757"/>
    <w:rsid w:val="00236883"/>
    <w:rsid w:val="00236B67"/>
    <w:rsid w:val="00236CC6"/>
    <w:rsid w:val="00236DEF"/>
    <w:rsid w:val="002371A9"/>
    <w:rsid w:val="00237E3A"/>
    <w:rsid w:val="0024060E"/>
    <w:rsid w:val="00240660"/>
    <w:rsid w:val="00240C8C"/>
    <w:rsid w:val="00240EF1"/>
    <w:rsid w:val="00240FFB"/>
    <w:rsid w:val="00241AF6"/>
    <w:rsid w:val="00241C0E"/>
    <w:rsid w:val="00241CD5"/>
    <w:rsid w:val="00241D1D"/>
    <w:rsid w:val="00241DC8"/>
    <w:rsid w:val="0024270A"/>
    <w:rsid w:val="00242FA0"/>
    <w:rsid w:val="00244008"/>
    <w:rsid w:val="00244804"/>
    <w:rsid w:val="00244842"/>
    <w:rsid w:val="00244C92"/>
    <w:rsid w:val="00245038"/>
    <w:rsid w:val="00245383"/>
    <w:rsid w:val="002454A9"/>
    <w:rsid w:val="00245C9E"/>
    <w:rsid w:val="00246173"/>
    <w:rsid w:val="00246BEC"/>
    <w:rsid w:val="00246D59"/>
    <w:rsid w:val="00246E17"/>
    <w:rsid w:val="00247133"/>
    <w:rsid w:val="00247BD0"/>
    <w:rsid w:val="00250230"/>
    <w:rsid w:val="00250420"/>
    <w:rsid w:val="00250BD0"/>
    <w:rsid w:val="00250F68"/>
    <w:rsid w:val="002516A8"/>
    <w:rsid w:val="00251C22"/>
    <w:rsid w:val="002525C8"/>
    <w:rsid w:val="0025299A"/>
    <w:rsid w:val="00253088"/>
    <w:rsid w:val="00253161"/>
    <w:rsid w:val="00253DD1"/>
    <w:rsid w:val="0025406C"/>
    <w:rsid w:val="00254224"/>
    <w:rsid w:val="00254456"/>
    <w:rsid w:val="00254C87"/>
    <w:rsid w:val="00254F96"/>
    <w:rsid w:val="0025538A"/>
    <w:rsid w:val="00255943"/>
    <w:rsid w:val="0025610C"/>
    <w:rsid w:val="00256254"/>
    <w:rsid w:val="0025656B"/>
    <w:rsid w:val="00256759"/>
    <w:rsid w:val="002567B0"/>
    <w:rsid w:val="00256A9D"/>
    <w:rsid w:val="00256EF2"/>
    <w:rsid w:val="0025716B"/>
    <w:rsid w:val="00257609"/>
    <w:rsid w:val="002579B3"/>
    <w:rsid w:val="00257B3E"/>
    <w:rsid w:val="00257BDA"/>
    <w:rsid w:val="00260421"/>
    <w:rsid w:val="002607C3"/>
    <w:rsid w:val="002607FD"/>
    <w:rsid w:val="00260E9F"/>
    <w:rsid w:val="002616B9"/>
    <w:rsid w:val="00261B06"/>
    <w:rsid w:val="00262180"/>
    <w:rsid w:val="00262941"/>
    <w:rsid w:val="00262D18"/>
    <w:rsid w:val="00262E21"/>
    <w:rsid w:val="00264008"/>
    <w:rsid w:val="00264055"/>
    <w:rsid w:val="00265008"/>
    <w:rsid w:val="0026523F"/>
    <w:rsid w:val="00265D9E"/>
    <w:rsid w:val="00265DBA"/>
    <w:rsid w:val="002663DF"/>
    <w:rsid w:val="00266737"/>
    <w:rsid w:val="00266779"/>
    <w:rsid w:val="00266DB1"/>
    <w:rsid w:val="00267019"/>
    <w:rsid w:val="002672E8"/>
    <w:rsid w:val="0026745C"/>
    <w:rsid w:val="00267808"/>
    <w:rsid w:val="002702C0"/>
    <w:rsid w:val="002705E9"/>
    <w:rsid w:val="00270645"/>
    <w:rsid w:val="00270813"/>
    <w:rsid w:val="00270E42"/>
    <w:rsid w:val="00270EFD"/>
    <w:rsid w:val="00270F19"/>
    <w:rsid w:val="00271660"/>
    <w:rsid w:val="00271862"/>
    <w:rsid w:val="0027234C"/>
    <w:rsid w:val="002725E5"/>
    <w:rsid w:val="002728FA"/>
    <w:rsid w:val="00272BB4"/>
    <w:rsid w:val="00274A99"/>
    <w:rsid w:val="00274AD8"/>
    <w:rsid w:val="00276619"/>
    <w:rsid w:val="00276741"/>
    <w:rsid w:val="002770E0"/>
    <w:rsid w:val="0027729A"/>
    <w:rsid w:val="00277896"/>
    <w:rsid w:val="00280873"/>
    <w:rsid w:val="00280FB2"/>
    <w:rsid w:val="0028103B"/>
    <w:rsid w:val="00281BB2"/>
    <w:rsid w:val="002822FA"/>
    <w:rsid w:val="002825E1"/>
    <w:rsid w:val="00282F33"/>
    <w:rsid w:val="00283100"/>
    <w:rsid w:val="002834D6"/>
    <w:rsid w:val="00283B09"/>
    <w:rsid w:val="00283B2D"/>
    <w:rsid w:val="00283D41"/>
    <w:rsid w:val="00284072"/>
    <w:rsid w:val="0028530E"/>
    <w:rsid w:val="00285418"/>
    <w:rsid w:val="002857A5"/>
    <w:rsid w:val="00285C73"/>
    <w:rsid w:val="002863BE"/>
    <w:rsid w:val="00286D98"/>
    <w:rsid w:val="00286E0E"/>
    <w:rsid w:val="00286E40"/>
    <w:rsid w:val="00287A42"/>
    <w:rsid w:val="00287ED7"/>
    <w:rsid w:val="0029033C"/>
    <w:rsid w:val="00290697"/>
    <w:rsid w:val="00290766"/>
    <w:rsid w:val="00290849"/>
    <w:rsid w:val="00291611"/>
    <w:rsid w:val="0029179D"/>
    <w:rsid w:val="00291FDC"/>
    <w:rsid w:val="002921D3"/>
    <w:rsid w:val="002924DC"/>
    <w:rsid w:val="00293142"/>
    <w:rsid w:val="00293317"/>
    <w:rsid w:val="002934BD"/>
    <w:rsid w:val="00293782"/>
    <w:rsid w:val="00293906"/>
    <w:rsid w:val="00293ECF"/>
    <w:rsid w:val="0029426A"/>
    <w:rsid w:val="002944D4"/>
    <w:rsid w:val="00294668"/>
    <w:rsid w:val="002947C3"/>
    <w:rsid w:val="00295512"/>
    <w:rsid w:val="0029585D"/>
    <w:rsid w:val="00295990"/>
    <w:rsid w:val="002959DB"/>
    <w:rsid w:val="002963E8"/>
    <w:rsid w:val="002966E8"/>
    <w:rsid w:val="00296876"/>
    <w:rsid w:val="00296FCD"/>
    <w:rsid w:val="00297C20"/>
    <w:rsid w:val="002A02CE"/>
    <w:rsid w:val="002A081C"/>
    <w:rsid w:val="002A0BC4"/>
    <w:rsid w:val="002A18A5"/>
    <w:rsid w:val="002A19BE"/>
    <w:rsid w:val="002A1E74"/>
    <w:rsid w:val="002A1F65"/>
    <w:rsid w:val="002A2421"/>
    <w:rsid w:val="002A258F"/>
    <w:rsid w:val="002A3ED5"/>
    <w:rsid w:val="002A4088"/>
    <w:rsid w:val="002A43DF"/>
    <w:rsid w:val="002A4416"/>
    <w:rsid w:val="002A4545"/>
    <w:rsid w:val="002A4D26"/>
    <w:rsid w:val="002A508B"/>
    <w:rsid w:val="002A5550"/>
    <w:rsid w:val="002A6580"/>
    <w:rsid w:val="002A6866"/>
    <w:rsid w:val="002A6FD0"/>
    <w:rsid w:val="002A7ACE"/>
    <w:rsid w:val="002B0148"/>
    <w:rsid w:val="002B03F8"/>
    <w:rsid w:val="002B0468"/>
    <w:rsid w:val="002B0AB6"/>
    <w:rsid w:val="002B0B4F"/>
    <w:rsid w:val="002B1263"/>
    <w:rsid w:val="002B13F3"/>
    <w:rsid w:val="002B2063"/>
    <w:rsid w:val="002B2192"/>
    <w:rsid w:val="002B2689"/>
    <w:rsid w:val="002B26CD"/>
    <w:rsid w:val="002B2D15"/>
    <w:rsid w:val="002B32B8"/>
    <w:rsid w:val="002B344A"/>
    <w:rsid w:val="002B36C0"/>
    <w:rsid w:val="002B3B2A"/>
    <w:rsid w:val="002B4236"/>
    <w:rsid w:val="002B4302"/>
    <w:rsid w:val="002B48BB"/>
    <w:rsid w:val="002B4961"/>
    <w:rsid w:val="002B5AC4"/>
    <w:rsid w:val="002B5E67"/>
    <w:rsid w:val="002B618A"/>
    <w:rsid w:val="002B63A4"/>
    <w:rsid w:val="002B67C3"/>
    <w:rsid w:val="002B6AEE"/>
    <w:rsid w:val="002B6CCB"/>
    <w:rsid w:val="002B6CCE"/>
    <w:rsid w:val="002B6DA1"/>
    <w:rsid w:val="002B79B5"/>
    <w:rsid w:val="002B7D6C"/>
    <w:rsid w:val="002B7EE6"/>
    <w:rsid w:val="002C029B"/>
    <w:rsid w:val="002C0738"/>
    <w:rsid w:val="002C08DD"/>
    <w:rsid w:val="002C0E48"/>
    <w:rsid w:val="002C1283"/>
    <w:rsid w:val="002C14D3"/>
    <w:rsid w:val="002C1C63"/>
    <w:rsid w:val="002C1D15"/>
    <w:rsid w:val="002C1E8E"/>
    <w:rsid w:val="002C20E6"/>
    <w:rsid w:val="002C28CF"/>
    <w:rsid w:val="002C31DD"/>
    <w:rsid w:val="002C3841"/>
    <w:rsid w:val="002C3959"/>
    <w:rsid w:val="002C3CE6"/>
    <w:rsid w:val="002C422F"/>
    <w:rsid w:val="002C4920"/>
    <w:rsid w:val="002C4C8B"/>
    <w:rsid w:val="002C4E1B"/>
    <w:rsid w:val="002C5476"/>
    <w:rsid w:val="002C5776"/>
    <w:rsid w:val="002C5C55"/>
    <w:rsid w:val="002C678E"/>
    <w:rsid w:val="002C73EA"/>
    <w:rsid w:val="002C76BC"/>
    <w:rsid w:val="002C7C4F"/>
    <w:rsid w:val="002D0594"/>
    <w:rsid w:val="002D0D0C"/>
    <w:rsid w:val="002D15B1"/>
    <w:rsid w:val="002D1C73"/>
    <w:rsid w:val="002D1D79"/>
    <w:rsid w:val="002D2D14"/>
    <w:rsid w:val="002D2D15"/>
    <w:rsid w:val="002D33F4"/>
    <w:rsid w:val="002D3E65"/>
    <w:rsid w:val="002D3EBD"/>
    <w:rsid w:val="002D4ECD"/>
    <w:rsid w:val="002D50CD"/>
    <w:rsid w:val="002D5254"/>
    <w:rsid w:val="002D53E9"/>
    <w:rsid w:val="002D5CE7"/>
    <w:rsid w:val="002D5D98"/>
    <w:rsid w:val="002D5EBD"/>
    <w:rsid w:val="002D6206"/>
    <w:rsid w:val="002D63A3"/>
    <w:rsid w:val="002D6A49"/>
    <w:rsid w:val="002D7551"/>
    <w:rsid w:val="002D757E"/>
    <w:rsid w:val="002D79CD"/>
    <w:rsid w:val="002D7A40"/>
    <w:rsid w:val="002E0291"/>
    <w:rsid w:val="002E05C5"/>
    <w:rsid w:val="002E0BE1"/>
    <w:rsid w:val="002E0F38"/>
    <w:rsid w:val="002E17BC"/>
    <w:rsid w:val="002E1EB3"/>
    <w:rsid w:val="002E202E"/>
    <w:rsid w:val="002E2A02"/>
    <w:rsid w:val="002E2C05"/>
    <w:rsid w:val="002E392E"/>
    <w:rsid w:val="002E3CAC"/>
    <w:rsid w:val="002E3D27"/>
    <w:rsid w:val="002E404E"/>
    <w:rsid w:val="002E42F1"/>
    <w:rsid w:val="002E507E"/>
    <w:rsid w:val="002E5971"/>
    <w:rsid w:val="002E5C2E"/>
    <w:rsid w:val="002E7053"/>
    <w:rsid w:val="002E7106"/>
    <w:rsid w:val="002E71D9"/>
    <w:rsid w:val="002E73D1"/>
    <w:rsid w:val="002F0209"/>
    <w:rsid w:val="002F0B93"/>
    <w:rsid w:val="002F18DC"/>
    <w:rsid w:val="002F19A2"/>
    <w:rsid w:val="002F21A3"/>
    <w:rsid w:val="002F2317"/>
    <w:rsid w:val="002F2544"/>
    <w:rsid w:val="002F2999"/>
    <w:rsid w:val="002F2D6A"/>
    <w:rsid w:val="002F314E"/>
    <w:rsid w:val="002F3220"/>
    <w:rsid w:val="002F378D"/>
    <w:rsid w:val="002F3903"/>
    <w:rsid w:val="002F4174"/>
    <w:rsid w:val="002F4394"/>
    <w:rsid w:val="002F4606"/>
    <w:rsid w:val="002F48D0"/>
    <w:rsid w:val="002F5639"/>
    <w:rsid w:val="002F5D05"/>
    <w:rsid w:val="002F61C5"/>
    <w:rsid w:val="002F6CC4"/>
    <w:rsid w:val="002F7091"/>
    <w:rsid w:val="002F791C"/>
    <w:rsid w:val="002F7AF2"/>
    <w:rsid w:val="00300323"/>
    <w:rsid w:val="003004AE"/>
    <w:rsid w:val="00300E50"/>
    <w:rsid w:val="003017AB"/>
    <w:rsid w:val="003018DE"/>
    <w:rsid w:val="00301D5F"/>
    <w:rsid w:val="00301D8C"/>
    <w:rsid w:val="00302197"/>
    <w:rsid w:val="003025DD"/>
    <w:rsid w:val="0030267C"/>
    <w:rsid w:val="003027DD"/>
    <w:rsid w:val="00302977"/>
    <w:rsid w:val="00302AED"/>
    <w:rsid w:val="00302BFE"/>
    <w:rsid w:val="00303D18"/>
    <w:rsid w:val="00303E56"/>
    <w:rsid w:val="00303E84"/>
    <w:rsid w:val="00303FFD"/>
    <w:rsid w:val="003041FD"/>
    <w:rsid w:val="0030496C"/>
    <w:rsid w:val="00304CC6"/>
    <w:rsid w:val="00304D66"/>
    <w:rsid w:val="00304F99"/>
    <w:rsid w:val="00305A03"/>
    <w:rsid w:val="00305C60"/>
    <w:rsid w:val="00305D35"/>
    <w:rsid w:val="00305D83"/>
    <w:rsid w:val="0030608C"/>
    <w:rsid w:val="00306472"/>
    <w:rsid w:val="00306897"/>
    <w:rsid w:val="00306BFC"/>
    <w:rsid w:val="00306D09"/>
    <w:rsid w:val="00306ECD"/>
    <w:rsid w:val="003072F6"/>
    <w:rsid w:val="00307EBF"/>
    <w:rsid w:val="00310735"/>
    <w:rsid w:val="0031099C"/>
    <w:rsid w:val="003112D6"/>
    <w:rsid w:val="00311400"/>
    <w:rsid w:val="003119BC"/>
    <w:rsid w:val="00311DC4"/>
    <w:rsid w:val="0031208F"/>
    <w:rsid w:val="0031212D"/>
    <w:rsid w:val="00312246"/>
    <w:rsid w:val="0031289A"/>
    <w:rsid w:val="00312A4F"/>
    <w:rsid w:val="00312C09"/>
    <w:rsid w:val="00313753"/>
    <w:rsid w:val="00313A4A"/>
    <w:rsid w:val="00313C74"/>
    <w:rsid w:val="00314121"/>
    <w:rsid w:val="00314263"/>
    <w:rsid w:val="00314293"/>
    <w:rsid w:val="003144A1"/>
    <w:rsid w:val="003144D6"/>
    <w:rsid w:val="0031461F"/>
    <w:rsid w:val="003149D9"/>
    <w:rsid w:val="00314D97"/>
    <w:rsid w:val="00315044"/>
    <w:rsid w:val="003156DC"/>
    <w:rsid w:val="00315CC0"/>
    <w:rsid w:val="00315E91"/>
    <w:rsid w:val="0031686A"/>
    <w:rsid w:val="003168CB"/>
    <w:rsid w:val="00316C5E"/>
    <w:rsid w:val="00316D0C"/>
    <w:rsid w:val="00316FFC"/>
    <w:rsid w:val="0031716F"/>
    <w:rsid w:val="00317D6D"/>
    <w:rsid w:val="003203F4"/>
    <w:rsid w:val="00320C4A"/>
    <w:rsid w:val="003213D2"/>
    <w:rsid w:val="0032169E"/>
    <w:rsid w:val="00321C7F"/>
    <w:rsid w:val="0032208E"/>
    <w:rsid w:val="00322184"/>
    <w:rsid w:val="00323476"/>
    <w:rsid w:val="003236D8"/>
    <w:rsid w:val="00323997"/>
    <w:rsid w:val="0032428E"/>
    <w:rsid w:val="0032444E"/>
    <w:rsid w:val="00324631"/>
    <w:rsid w:val="003249C0"/>
    <w:rsid w:val="003252AB"/>
    <w:rsid w:val="003254F9"/>
    <w:rsid w:val="003258E9"/>
    <w:rsid w:val="00326058"/>
    <w:rsid w:val="00326137"/>
    <w:rsid w:val="003262C4"/>
    <w:rsid w:val="00326A58"/>
    <w:rsid w:val="0032747A"/>
    <w:rsid w:val="0032791E"/>
    <w:rsid w:val="00327AEC"/>
    <w:rsid w:val="00327C2E"/>
    <w:rsid w:val="0033051D"/>
    <w:rsid w:val="00330845"/>
    <w:rsid w:val="00330E35"/>
    <w:rsid w:val="00330F61"/>
    <w:rsid w:val="0033159B"/>
    <w:rsid w:val="003319CF"/>
    <w:rsid w:val="00331B87"/>
    <w:rsid w:val="00331DEB"/>
    <w:rsid w:val="00331F0A"/>
    <w:rsid w:val="00332106"/>
    <w:rsid w:val="00332202"/>
    <w:rsid w:val="003322BC"/>
    <w:rsid w:val="0033287F"/>
    <w:rsid w:val="00332901"/>
    <w:rsid w:val="0033378F"/>
    <w:rsid w:val="003338A9"/>
    <w:rsid w:val="003338E7"/>
    <w:rsid w:val="00333938"/>
    <w:rsid w:val="00333AA6"/>
    <w:rsid w:val="00333E6E"/>
    <w:rsid w:val="00333FB0"/>
    <w:rsid w:val="003343CD"/>
    <w:rsid w:val="00334541"/>
    <w:rsid w:val="00335527"/>
    <w:rsid w:val="00335EDB"/>
    <w:rsid w:val="00335F50"/>
    <w:rsid w:val="00336547"/>
    <w:rsid w:val="00336BA8"/>
    <w:rsid w:val="00336E70"/>
    <w:rsid w:val="00336F36"/>
    <w:rsid w:val="0033723A"/>
    <w:rsid w:val="00340F5C"/>
    <w:rsid w:val="00341058"/>
    <w:rsid w:val="00341443"/>
    <w:rsid w:val="00341C94"/>
    <w:rsid w:val="0034258A"/>
    <w:rsid w:val="0034273E"/>
    <w:rsid w:val="00342E39"/>
    <w:rsid w:val="00343194"/>
    <w:rsid w:val="00343D42"/>
    <w:rsid w:val="00343DBA"/>
    <w:rsid w:val="003441BF"/>
    <w:rsid w:val="00344231"/>
    <w:rsid w:val="00344BE9"/>
    <w:rsid w:val="00344DEB"/>
    <w:rsid w:val="00345036"/>
    <w:rsid w:val="00345A85"/>
    <w:rsid w:val="00345BD5"/>
    <w:rsid w:val="00345E67"/>
    <w:rsid w:val="00345FC0"/>
    <w:rsid w:val="00346407"/>
    <w:rsid w:val="00346A52"/>
    <w:rsid w:val="00347837"/>
    <w:rsid w:val="003478FE"/>
    <w:rsid w:val="00347D96"/>
    <w:rsid w:val="0035045C"/>
    <w:rsid w:val="003508EA"/>
    <w:rsid w:val="00350EE4"/>
    <w:rsid w:val="00350FCC"/>
    <w:rsid w:val="00351593"/>
    <w:rsid w:val="0035173E"/>
    <w:rsid w:val="00351950"/>
    <w:rsid w:val="00351992"/>
    <w:rsid w:val="003521B8"/>
    <w:rsid w:val="00353844"/>
    <w:rsid w:val="00354C73"/>
    <w:rsid w:val="00355387"/>
    <w:rsid w:val="003554C7"/>
    <w:rsid w:val="0035582F"/>
    <w:rsid w:val="0035596B"/>
    <w:rsid w:val="00355A95"/>
    <w:rsid w:val="0035676F"/>
    <w:rsid w:val="0035693C"/>
    <w:rsid w:val="00356F1E"/>
    <w:rsid w:val="0035705F"/>
    <w:rsid w:val="003575BB"/>
    <w:rsid w:val="0035787C"/>
    <w:rsid w:val="00361599"/>
    <w:rsid w:val="0036171D"/>
    <w:rsid w:val="00361CDC"/>
    <w:rsid w:val="00361CF2"/>
    <w:rsid w:val="003621BE"/>
    <w:rsid w:val="00362B5D"/>
    <w:rsid w:val="00363774"/>
    <w:rsid w:val="0036405E"/>
    <w:rsid w:val="00364131"/>
    <w:rsid w:val="00364209"/>
    <w:rsid w:val="00364957"/>
    <w:rsid w:val="003649E8"/>
    <w:rsid w:val="00365018"/>
    <w:rsid w:val="003651FE"/>
    <w:rsid w:val="0036598D"/>
    <w:rsid w:val="0036666A"/>
    <w:rsid w:val="00366B0F"/>
    <w:rsid w:val="00366DD2"/>
    <w:rsid w:val="0036712F"/>
    <w:rsid w:val="003671A8"/>
    <w:rsid w:val="0036763F"/>
    <w:rsid w:val="003678CD"/>
    <w:rsid w:val="00367984"/>
    <w:rsid w:val="00367C4A"/>
    <w:rsid w:val="00367D6A"/>
    <w:rsid w:val="00367F89"/>
    <w:rsid w:val="00370F7F"/>
    <w:rsid w:val="0037109F"/>
    <w:rsid w:val="0037150F"/>
    <w:rsid w:val="003715E6"/>
    <w:rsid w:val="003719F1"/>
    <w:rsid w:val="00371A88"/>
    <w:rsid w:val="00372133"/>
    <w:rsid w:val="003730DE"/>
    <w:rsid w:val="003733C5"/>
    <w:rsid w:val="003734D3"/>
    <w:rsid w:val="0037356C"/>
    <w:rsid w:val="003735F4"/>
    <w:rsid w:val="0037365E"/>
    <w:rsid w:val="0037376E"/>
    <w:rsid w:val="00373AAF"/>
    <w:rsid w:val="00373B47"/>
    <w:rsid w:val="00373E61"/>
    <w:rsid w:val="00374B14"/>
    <w:rsid w:val="00374E1A"/>
    <w:rsid w:val="003750EB"/>
    <w:rsid w:val="003757A3"/>
    <w:rsid w:val="0037599C"/>
    <w:rsid w:val="00376609"/>
    <w:rsid w:val="00376764"/>
    <w:rsid w:val="0037703E"/>
    <w:rsid w:val="00377102"/>
    <w:rsid w:val="00377CD6"/>
    <w:rsid w:val="003802AC"/>
    <w:rsid w:val="003806DB"/>
    <w:rsid w:val="00380B05"/>
    <w:rsid w:val="00380E26"/>
    <w:rsid w:val="0038150A"/>
    <w:rsid w:val="0038253C"/>
    <w:rsid w:val="003828D2"/>
    <w:rsid w:val="00383420"/>
    <w:rsid w:val="003834EC"/>
    <w:rsid w:val="0038374B"/>
    <w:rsid w:val="00383D44"/>
    <w:rsid w:val="003845D4"/>
    <w:rsid w:val="00384914"/>
    <w:rsid w:val="003851B5"/>
    <w:rsid w:val="0038571A"/>
    <w:rsid w:val="00385D8D"/>
    <w:rsid w:val="00386295"/>
    <w:rsid w:val="00386762"/>
    <w:rsid w:val="00386B87"/>
    <w:rsid w:val="003872BB"/>
    <w:rsid w:val="0038746C"/>
    <w:rsid w:val="003875F3"/>
    <w:rsid w:val="003879B7"/>
    <w:rsid w:val="0039016D"/>
    <w:rsid w:val="0039028C"/>
    <w:rsid w:val="00390F84"/>
    <w:rsid w:val="003916D0"/>
    <w:rsid w:val="00391BCF"/>
    <w:rsid w:val="0039232C"/>
    <w:rsid w:val="00392BA0"/>
    <w:rsid w:val="00392BE9"/>
    <w:rsid w:val="00392F1E"/>
    <w:rsid w:val="00393334"/>
    <w:rsid w:val="003934FB"/>
    <w:rsid w:val="003935BD"/>
    <w:rsid w:val="0039378A"/>
    <w:rsid w:val="003938EE"/>
    <w:rsid w:val="00393B2A"/>
    <w:rsid w:val="00394411"/>
    <w:rsid w:val="0039475B"/>
    <w:rsid w:val="003947DE"/>
    <w:rsid w:val="0039481F"/>
    <w:rsid w:val="00394CDF"/>
    <w:rsid w:val="00394F8A"/>
    <w:rsid w:val="0039592A"/>
    <w:rsid w:val="00396052"/>
    <w:rsid w:val="00396333"/>
    <w:rsid w:val="00396513"/>
    <w:rsid w:val="00396528"/>
    <w:rsid w:val="00396683"/>
    <w:rsid w:val="00397719"/>
    <w:rsid w:val="003A0016"/>
    <w:rsid w:val="003A011F"/>
    <w:rsid w:val="003A019C"/>
    <w:rsid w:val="003A1073"/>
    <w:rsid w:val="003A10D9"/>
    <w:rsid w:val="003A1543"/>
    <w:rsid w:val="003A1ADD"/>
    <w:rsid w:val="003A2A5F"/>
    <w:rsid w:val="003A2BA1"/>
    <w:rsid w:val="003A334E"/>
    <w:rsid w:val="003A3A8A"/>
    <w:rsid w:val="003A3FF7"/>
    <w:rsid w:val="003A41C5"/>
    <w:rsid w:val="003A45B1"/>
    <w:rsid w:val="003A4C85"/>
    <w:rsid w:val="003A4DEE"/>
    <w:rsid w:val="003A4FF0"/>
    <w:rsid w:val="003A5296"/>
    <w:rsid w:val="003A53D3"/>
    <w:rsid w:val="003A5602"/>
    <w:rsid w:val="003A5C30"/>
    <w:rsid w:val="003A714E"/>
    <w:rsid w:val="003A7810"/>
    <w:rsid w:val="003A78CC"/>
    <w:rsid w:val="003A7995"/>
    <w:rsid w:val="003A79C6"/>
    <w:rsid w:val="003B0050"/>
    <w:rsid w:val="003B0C9A"/>
    <w:rsid w:val="003B0CEA"/>
    <w:rsid w:val="003B0D42"/>
    <w:rsid w:val="003B0E8E"/>
    <w:rsid w:val="003B0EC1"/>
    <w:rsid w:val="003B1CCD"/>
    <w:rsid w:val="003B2235"/>
    <w:rsid w:val="003B2AC9"/>
    <w:rsid w:val="003B2CF5"/>
    <w:rsid w:val="003B3A3B"/>
    <w:rsid w:val="003B4214"/>
    <w:rsid w:val="003B4619"/>
    <w:rsid w:val="003B46E2"/>
    <w:rsid w:val="003B5018"/>
    <w:rsid w:val="003B534D"/>
    <w:rsid w:val="003B553E"/>
    <w:rsid w:val="003B59D4"/>
    <w:rsid w:val="003B5A92"/>
    <w:rsid w:val="003B5C0F"/>
    <w:rsid w:val="003B6708"/>
    <w:rsid w:val="003B6890"/>
    <w:rsid w:val="003B68EE"/>
    <w:rsid w:val="003B7818"/>
    <w:rsid w:val="003B7DB6"/>
    <w:rsid w:val="003B7F40"/>
    <w:rsid w:val="003B7F4B"/>
    <w:rsid w:val="003C097E"/>
    <w:rsid w:val="003C0CC2"/>
    <w:rsid w:val="003C0D8F"/>
    <w:rsid w:val="003C0F50"/>
    <w:rsid w:val="003C11E6"/>
    <w:rsid w:val="003C13BF"/>
    <w:rsid w:val="003C1A06"/>
    <w:rsid w:val="003C1D45"/>
    <w:rsid w:val="003C1DF9"/>
    <w:rsid w:val="003C2303"/>
    <w:rsid w:val="003C2753"/>
    <w:rsid w:val="003C2991"/>
    <w:rsid w:val="003C2BCA"/>
    <w:rsid w:val="003C3488"/>
    <w:rsid w:val="003C34E3"/>
    <w:rsid w:val="003C3A53"/>
    <w:rsid w:val="003C43C4"/>
    <w:rsid w:val="003C45D2"/>
    <w:rsid w:val="003C4834"/>
    <w:rsid w:val="003C49E3"/>
    <w:rsid w:val="003C4F11"/>
    <w:rsid w:val="003C514C"/>
    <w:rsid w:val="003C5A29"/>
    <w:rsid w:val="003C5E2A"/>
    <w:rsid w:val="003C6792"/>
    <w:rsid w:val="003C70D4"/>
    <w:rsid w:val="003C725B"/>
    <w:rsid w:val="003C7831"/>
    <w:rsid w:val="003C7F44"/>
    <w:rsid w:val="003D016A"/>
    <w:rsid w:val="003D09F6"/>
    <w:rsid w:val="003D0D84"/>
    <w:rsid w:val="003D0DBA"/>
    <w:rsid w:val="003D1A33"/>
    <w:rsid w:val="003D3011"/>
    <w:rsid w:val="003D35C2"/>
    <w:rsid w:val="003D4285"/>
    <w:rsid w:val="003D49A1"/>
    <w:rsid w:val="003D4BC4"/>
    <w:rsid w:val="003D561D"/>
    <w:rsid w:val="003D57BD"/>
    <w:rsid w:val="003D5A15"/>
    <w:rsid w:val="003D5BC7"/>
    <w:rsid w:val="003D5CB9"/>
    <w:rsid w:val="003D5FF8"/>
    <w:rsid w:val="003D605F"/>
    <w:rsid w:val="003D690A"/>
    <w:rsid w:val="003D7FDD"/>
    <w:rsid w:val="003E0C1F"/>
    <w:rsid w:val="003E11E7"/>
    <w:rsid w:val="003E1293"/>
    <w:rsid w:val="003E165D"/>
    <w:rsid w:val="003E2067"/>
    <w:rsid w:val="003E2167"/>
    <w:rsid w:val="003E21DF"/>
    <w:rsid w:val="003E24F9"/>
    <w:rsid w:val="003E27BD"/>
    <w:rsid w:val="003E31FA"/>
    <w:rsid w:val="003E39EF"/>
    <w:rsid w:val="003E3F1A"/>
    <w:rsid w:val="003E4347"/>
    <w:rsid w:val="003E475E"/>
    <w:rsid w:val="003E4FDD"/>
    <w:rsid w:val="003E5F93"/>
    <w:rsid w:val="003E6976"/>
    <w:rsid w:val="003E6BD9"/>
    <w:rsid w:val="003E7259"/>
    <w:rsid w:val="003E7284"/>
    <w:rsid w:val="003E7415"/>
    <w:rsid w:val="003E7C9D"/>
    <w:rsid w:val="003E7F7C"/>
    <w:rsid w:val="003E7FA7"/>
    <w:rsid w:val="003E7FC5"/>
    <w:rsid w:val="003F01E9"/>
    <w:rsid w:val="003F0304"/>
    <w:rsid w:val="003F15FE"/>
    <w:rsid w:val="003F16C8"/>
    <w:rsid w:val="003F1D50"/>
    <w:rsid w:val="003F1E81"/>
    <w:rsid w:val="003F2048"/>
    <w:rsid w:val="003F28A2"/>
    <w:rsid w:val="003F3127"/>
    <w:rsid w:val="003F398A"/>
    <w:rsid w:val="003F3C72"/>
    <w:rsid w:val="003F3E50"/>
    <w:rsid w:val="003F44A4"/>
    <w:rsid w:val="003F4B25"/>
    <w:rsid w:val="003F4D3C"/>
    <w:rsid w:val="003F4E35"/>
    <w:rsid w:val="003F50F1"/>
    <w:rsid w:val="003F51AE"/>
    <w:rsid w:val="003F5596"/>
    <w:rsid w:val="003F56E6"/>
    <w:rsid w:val="003F5D21"/>
    <w:rsid w:val="003F651E"/>
    <w:rsid w:val="003F6BCB"/>
    <w:rsid w:val="003F6BF0"/>
    <w:rsid w:val="003F6F1F"/>
    <w:rsid w:val="003F7996"/>
    <w:rsid w:val="003F7FCD"/>
    <w:rsid w:val="00400841"/>
    <w:rsid w:val="00400DF0"/>
    <w:rsid w:val="00401271"/>
    <w:rsid w:val="00401311"/>
    <w:rsid w:val="00402522"/>
    <w:rsid w:val="0040258D"/>
    <w:rsid w:val="0040266B"/>
    <w:rsid w:val="004027D7"/>
    <w:rsid w:val="00402925"/>
    <w:rsid w:val="004029FE"/>
    <w:rsid w:val="00403198"/>
    <w:rsid w:val="004039DD"/>
    <w:rsid w:val="00403F4B"/>
    <w:rsid w:val="00403FB2"/>
    <w:rsid w:val="0040471C"/>
    <w:rsid w:val="00404925"/>
    <w:rsid w:val="00404CA9"/>
    <w:rsid w:val="004053C6"/>
    <w:rsid w:val="004055E9"/>
    <w:rsid w:val="004056C9"/>
    <w:rsid w:val="00405B71"/>
    <w:rsid w:val="00405C79"/>
    <w:rsid w:val="00405CBE"/>
    <w:rsid w:val="00405E27"/>
    <w:rsid w:val="00405EDA"/>
    <w:rsid w:val="00406D9B"/>
    <w:rsid w:val="004075C1"/>
    <w:rsid w:val="00407988"/>
    <w:rsid w:val="00407BD4"/>
    <w:rsid w:val="0041063E"/>
    <w:rsid w:val="004108F1"/>
    <w:rsid w:val="00410C3A"/>
    <w:rsid w:val="00410CC7"/>
    <w:rsid w:val="00410F30"/>
    <w:rsid w:val="00411075"/>
    <w:rsid w:val="004119B3"/>
    <w:rsid w:val="0041247A"/>
    <w:rsid w:val="00412953"/>
    <w:rsid w:val="00413088"/>
    <w:rsid w:val="004130B6"/>
    <w:rsid w:val="0041391E"/>
    <w:rsid w:val="00413BFA"/>
    <w:rsid w:val="0041408A"/>
    <w:rsid w:val="0041444C"/>
    <w:rsid w:val="00414509"/>
    <w:rsid w:val="004157D4"/>
    <w:rsid w:val="00415D79"/>
    <w:rsid w:val="00416024"/>
    <w:rsid w:val="004160ED"/>
    <w:rsid w:val="0041685D"/>
    <w:rsid w:val="00416AA1"/>
    <w:rsid w:val="00417992"/>
    <w:rsid w:val="0042046B"/>
    <w:rsid w:val="004205BD"/>
    <w:rsid w:val="004208B0"/>
    <w:rsid w:val="00420D8F"/>
    <w:rsid w:val="00420FD4"/>
    <w:rsid w:val="004219C9"/>
    <w:rsid w:val="00421ED7"/>
    <w:rsid w:val="00422593"/>
    <w:rsid w:val="004225FB"/>
    <w:rsid w:val="004226E6"/>
    <w:rsid w:val="00422734"/>
    <w:rsid w:val="004229DD"/>
    <w:rsid w:val="004233B9"/>
    <w:rsid w:val="004233EE"/>
    <w:rsid w:val="0042344E"/>
    <w:rsid w:val="00423E1F"/>
    <w:rsid w:val="004244D7"/>
    <w:rsid w:val="004244E1"/>
    <w:rsid w:val="00424603"/>
    <w:rsid w:val="00424BE7"/>
    <w:rsid w:val="00424D53"/>
    <w:rsid w:val="00424D91"/>
    <w:rsid w:val="004252D1"/>
    <w:rsid w:val="004252F8"/>
    <w:rsid w:val="004256E9"/>
    <w:rsid w:val="00425DF1"/>
    <w:rsid w:val="00426368"/>
    <w:rsid w:val="0042677B"/>
    <w:rsid w:val="00426843"/>
    <w:rsid w:val="00426B3E"/>
    <w:rsid w:val="00426D09"/>
    <w:rsid w:val="00426FB8"/>
    <w:rsid w:val="00427EB7"/>
    <w:rsid w:val="004302D1"/>
    <w:rsid w:val="00430CA7"/>
    <w:rsid w:val="00430DFD"/>
    <w:rsid w:val="00430F1A"/>
    <w:rsid w:val="00431C8F"/>
    <w:rsid w:val="00431FF5"/>
    <w:rsid w:val="00432076"/>
    <w:rsid w:val="00432A50"/>
    <w:rsid w:val="00432DF1"/>
    <w:rsid w:val="0043306E"/>
    <w:rsid w:val="00433511"/>
    <w:rsid w:val="00433619"/>
    <w:rsid w:val="00433B52"/>
    <w:rsid w:val="00433C40"/>
    <w:rsid w:val="004343AF"/>
    <w:rsid w:val="00434D30"/>
    <w:rsid w:val="004350AE"/>
    <w:rsid w:val="0043532E"/>
    <w:rsid w:val="004355A0"/>
    <w:rsid w:val="004355FC"/>
    <w:rsid w:val="00435601"/>
    <w:rsid w:val="00435C36"/>
    <w:rsid w:val="00435DEE"/>
    <w:rsid w:val="00436050"/>
    <w:rsid w:val="00436551"/>
    <w:rsid w:val="00437695"/>
    <w:rsid w:val="00440B7D"/>
    <w:rsid w:val="00440F5D"/>
    <w:rsid w:val="004412A5"/>
    <w:rsid w:val="004414A6"/>
    <w:rsid w:val="004415E5"/>
    <w:rsid w:val="00441939"/>
    <w:rsid w:val="00441F03"/>
    <w:rsid w:val="00442464"/>
    <w:rsid w:val="00442747"/>
    <w:rsid w:val="0044288D"/>
    <w:rsid w:val="0044289D"/>
    <w:rsid w:val="00442911"/>
    <w:rsid w:val="00442A6D"/>
    <w:rsid w:val="00442AF1"/>
    <w:rsid w:val="004434DB"/>
    <w:rsid w:val="004434E1"/>
    <w:rsid w:val="0044379C"/>
    <w:rsid w:val="0044388E"/>
    <w:rsid w:val="0044397A"/>
    <w:rsid w:val="00443F09"/>
    <w:rsid w:val="00444342"/>
    <w:rsid w:val="00444423"/>
    <w:rsid w:val="004444CF"/>
    <w:rsid w:val="00444A42"/>
    <w:rsid w:val="00444B68"/>
    <w:rsid w:val="00444D08"/>
    <w:rsid w:val="00444E1A"/>
    <w:rsid w:val="00445205"/>
    <w:rsid w:val="00445B78"/>
    <w:rsid w:val="00445F21"/>
    <w:rsid w:val="004460E5"/>
    <w:rsid w:val="00446158"/>
    <w:rsid w:val="004462B7"/>
    <w:rsid w:val="00446863"/>
    <w:rsid w:val="004468EB"/>
    <w:rsid w:val="00446D81"/>
    <w:rsid w:val="0044728F"/>
    <w:rsid w:val="004478DB"/>
    <w:rsid w:val="00447997"/>
    <w:rsid w:val="00447FDF"/>
    <w:rsid w:val="004500D3"/>
    <w:rsid w:val="004500ED"/>
    <w:rsid w:val="004509F7"/>
    <w:rsid w:val="00450AD8"/>
    <w:rsid w:val="00450BBE"/>
    <w:rsid w:val="004510B1"/>
    <w:rsid w:val="00451201"/>
    <w:rsid w:val="0045162F"/>
    <w:rsid w:val="00451A14"/>
    <w:rsid w:val="00451BE7"/>
    <w:rsid w:val="00451F9D"/>
    <w:rsid w:val="00452379"/>
    <w:rsid w:val="004529B8"/>
    <w:rsid w:val="00453025"/>
    <w:rsid w:val="0045330C"/>
    <w:rsid w:val="00453605"/>
    <w:rsid w:val="004539C9"/>
    <w:rsid w:val="00453A8C"/>
    <w:rsid w:val="0045435F"/>
    <w:rsid w:val="00454EB2"/>
    <w:rsid w:val="00455113"/>
    <w:rsid w:val="00455531"/>
    <w:rsid w:val="004555CA"/>
    <w:rsid w:val="00455826"/>
    <w:rsid w:val="004558FB"/>
    <w:rsid w:val="00455FB4"/>
    <w:rsid w:val="004568CB"/>
    <w:rsid w:val="00456B92"/>
    <w:rsid w:val="004574D7"/>
    <w:rsid w:val="0045755A"/>
    <w:rsid w:val="004577A4"/>
    <w:rsid w:val="0045785F"/>
    <w:rsid w:val="00457AD4"/>
    <w:rsid w:val="00457C45"/>
    <w:rsid w:val="00460935"/>
    <w:rsid w:val="00460F47"/>
    <w:rsid w:val="004614AE"/>
    <w:rsid w:val="004615A6"/>
    <w:rsid w:val="00461B39"/>
    <w:rsid w:val="0046241A"/>
    <w:rsid w:val="00462A3D"/>
    <w:rsid w:val="00462CA3"/>
    <w:rsid w:val="00463812"/>
    <w:rsid w:val="004640D5"/>
    <w:rsid w:val="00464427"/>
    <w:rsid w:val="00464710"/>
    <w:rsid w:val="00464807"/>
    <w:rsid w:val="004649EA"/>
    <w:rsid w:val="00465281"/>
    <w:rsid w:val="00465752"/>
    <w:rsid w:val="00465DD3"/>
    <w:rsid w:val="00465E08"/>
    <w:rsid w:val="00465EBC"/>
    <w:rsid w:val="00465EED"/>
    <w:rsid w:val="00465FA9"/>
    <w:rsid w:val="004660AD"/>
    <w:rsid w:val="0046619C"/>
    <w:rsid w:val="00466636"/>
    <w:rsid w:val="004666F1"/>
    <w:rsid w:val="00466729"/>
    <w:rsid w:val="00466D4D"/>
    <w:rsid w:val="00467179"/>
    <w:rsid w:val="004675BE"/>
    <w:rsid w:val="00467FBC"/>
    <w:rsid w:val="004702C7"/>
    <w:rsid w:val="004707DC"/>
    <w:rsid w:val="00470818"/>
    <w:rsid w:val="00470859"/>
    <w:rsid w:val="0047085D"/>
    <w:rsid w:val="00470A60"/>
    <w:rsid w:val="00470A7B"/>
    <w:rsid w:val="00470F88"/>
    <w:rsid w:val="00470F8C"/>
    <w:rsid w:val="0047186B"/>
    <w:rsid w:val="00471906"/>
    <w:rsid w:val="00472473"/>
    <w:rsid w:val="00472775"/>
    <w:rsid w:val="00472A54"/>
    <w:rsid w:val="00472C7C"/>
    <w:rsid w:val="00472E49"/>
    <w:rsid w:val="00472F4B"/>
    <w:rsid w:val="00473322"/>
    <w:rsid w:val="00473DB6"/>
    <w:rsid w:val="00474338"/>
    <w:rsid w:val="004746D8"/>
    <w:rsid w:val="0047482F"/>
    <w:rsid w:val="00474B8C"/>
    <w:rsid w:val="00474CD8"/>
    <w:rsid w:val="00474D66"/>
    <w:rsid w:val="00475006"/>
    <w:rsid w:val="00475D49"/>
    <w:rsid w:val="00476068"/>
    <w:rsid w:val="0047642A"/>
    <w:rsid w:val="004773AA"/>
    <w:rsid w:val="00477989"/>
    <w:rsid w:val="004800F2"/>
    <w:rsid w:val="004801A2"/>
    <w:rsid w:val="00480594"/>
    <w:rsid w:val="00481041"/>
    <w:rsid w:val="004819E2"/>
    <w:rsid w:val="00482505"/>
    <w:rsid w:val="00482BC3"/>
    <w:rsid w:val="00482BED"/>
    <w:rsid w:val="00482C50"/>
    <w:rsid w:val="00482D18"/>
    <w:rsid w:val="00482FDD"/>
    <w:rsid w:val="0048377B"/>
    <w:rsid w:val="00483FC9"/>
    <w:rsid w:val="0048481F"/>
    <w:rsid w:val="00484D6F"/>
    <w:rsid w:val="0048547E"/>
    <w:rsid w:val="00485D2A"/>
    <w:rsid w:val="00485EF6"/>
    <w:rsid w:val="00485F4A"/>
    <w:rsid w:val="004864C5"/>
    <w:rsid w:val="00486C96"/>
    <w:rsid w:val="0048720C"/>
    <w:rsid w:val="00487262"/>
    <w:rsid w:val="00487A37"/>
    <w:rsid w:val="00490122"/>
    <w:rsid w:val="00490727"/>
    <w:rsid w:val="00490C3E"/>
    <w:rsid w:val="00490F1F"/>
    <w:rsid w:val="0049114F"/>
    <w:rsid w:val="0049118B"/>
    <w:rsid w:val="004916BA"/>
    <w:rsid w:val="00492332"/>
    <w:rsid w:val="00492EA3"/>
    <w:rsid w:val="00492FF9"/>
    <w:rsid w:val="004930AE"/>
    <w:rsid w:val="00493B7C"/>
    <w:rsid w:val="00494035"/>
    <w:rsid w:val="004940A7"/>
    <w:rsid w:val="00494A9C"/>
    <w:rsid w:val="004951F6"/>
    <w:rsid w:val="004952A5"/>
    <w:rsid w:val="00495E0A"/>
    <w:rsid w:val="00496924"/>
    <w:rsid w:val="004973E2"/>
    <w:rsid w:val="00497ECA"/>
    <w:rsid w:val="004A00BE"/>
    <w:rsid w:val="004A0FEB"/>
    <w:rsid w:val="004A12A7"/>
    <w:rsid w:val="004A1316"/>
    <w:rsid w:val="004A166C"/>
    <w:rsid w:val="004A16E7"/>
    <w:rsid w:val="004A228F"/>
    <w:rsid w:val="004A31EC"/>
    <w:rsid w:val="004A32FA"/>
    <w:rsid w:val="004A364E"/>
    <w:rsid w:val="004A4BB8"/>
    <w:rsid w:val="004A51F1"/>
    <w:rsid w:val="004A5385"/>
    <w:rsid w:val="004A5B7E"/>
    <w:rsid w:val="004A684E"/>
    <w:rsid w:val="004A6AA2"/>
    <w:rsid w:val="004A71A2"/>
    <w:rsid w:val="004B0416"/>
    <w:rsid w:val="004B07F4"/>
    <w:rsid w:val="004B0C60"/>
    <w:rsid w:val="004B0CAE"/>
    <w:rsid w:val="004B0CC9"/>
    <w:rsid w:val="004B174E"/>
    <w:rsid w:val="004B1AD8"/>
    <w:rsid w:val="004B224F"/>
    <w:rsid w:val="004B24DA"/>
    <w:rsid w:val="004B265F"/>
    <w:rsid w:val="004B29F5"/>
    <w:rsid w:val="004B2D07"/>
    <w:rsid w:val="004B2FE7"/>
    <w:rsid w:val="004B3D27"/>
    <w:rsid w:val="004B3E2D"/>
    <w:rsid w:val="004B4457"/>
    <w:rsid w:val="004B4767"/>
    <w:rsid w:val="004B48F3"/>
    <w:rsid w:val="004B497E"/>
    <w:rsid w:val="004B4DE0"/>
    <w:rsid w:val="004B585C"/>
    <w:rsid w:val="004B5AB1"/>
    <w:rsid w:val="004B5BD5"/>
    <w:rsid w:val="004B6266"/>
    <w:rsid w:val="004B629F"/>
    <w:rsid w:val="004B67BF"/>
    <w:rsid w:val="004B6C0E"/>
    <w:rsid w:val="004B707F"/>
    <w:rsid w:val="004B7241"/>
    <w:rsid w:val="004B7300"/>
    <w:rsid w:val="004B73FC"/>
    <w:rsid w:val="004B7630"/>
    <w:rsid w:val="004B7D50"/>
    <w:rsid w:val="004C0817"/>
    <w:rsid w:val="004C09DC"/>
    <w:rsid w:val="004C0D1C"/>
    <w:rsid w:val="004C1604"/>
    <w:rsid w:val="004C167C"/>
    <w:rsid w:val="004C1710"/>
    <w:rsid w:val="004C1ACB"/>
    <w:rsid w:val="004C1E72"/>
    <w:rsid w:val="004C2939"/>
    <w:rsid w:val="004C29A0"/>
    <w:rsid w:val="004C3094"/>
    <w:rsid w:val="004C3796"/>
    <w:rsid w:val="004C4C0C"/>
    <w:rsid w:val="004C4C8F"/>
    <w:rsid w:val="004C4C98"/>
    <w:rsid w:val="004C4D53"/>
    <w:rsid w:val="004C5122"/>
    <w:rsid w:val="004C5246"/>
    <w:rsid w:val="004C5BDC"/>
    <w:rsid w:val="004C5DA9"/>
    <w:rsid w:val="004C61D3"/>
    <w:rsid w:val="004C620C"/>
    <w:rsid w:val="004C687E"/>
    <w:rsid w:val="004C6A00"/>
    <w:rsid w:val="004C6F1C"/>
    <w:rsid w:val="004C7057"/>
    <w:rsid w:val="004C7410"/>
    <w:rsid w:val="004C7908"/>
    <w:rsid w:val="004C7DE6"/>
    <w:rsid w:val="004C7F6E"/>
    <w:rsid w:val="004C7FFA"/>
    <w:rsid w:val="004D052D"/>
    <w:rsid w:val="004D0797"/>
    <w:rsid w:val="004D0878"/>
    <w:rsid w:val="004D0C5F"/>
    <w:rsid w:val="004D0D95"/>
    <w:rsid w:val="004D0DE8"/>
    <w:rsid w:val="004D0E6C"/>
    <w:rsid w:val="004D1363"/>
    <w:rsid w:val="004D26BB"/>
    <w:rsid w:val="004D29F0"/>
    <w:rsid w:val="004D2B14"/>
    <w:rsid w:val="004D32A5"/>
    <w:rsid w:val="004D36EC"/>
    <w:rsid w:val="004D3786"/>
    <w:rsid w:val="004D3D9A"/>
    <w:rsid w:val="004D411B"/>
    <w:rsid w:val="004D4A8C"/>
    <w:rsid w:val="004D55CD"/>
    <w:rsid w:val="004D58BF"/>
    <w:rsid w:val="004D59E1"/>
    <w:rsid w:val="004D5A77"/>
    <w:rsid w:val="004D5CA3"/>
    <w:rsid w:val="004D63C8"/>
    <w:rsid w:val="004D6631"/>
    <w:rsid w:val="004D6945"/>
    <w:rsid w:val="004D6A0C"/>
    <w:rsid w:val="004D7E6D"/>
    <w:rsid w:val="004E0047"/>
    <w:rsid w:val="004E08E3"/>
    <w:rsid w:val="004E0EE0"/>
    <w:rsid w:val="004E102A"/>
    <w:rsid w:val="004E182D"/>
    <w:rsid w:val="004E1A28"/>
    <w:rsid w:val="004E1AD7"/>
    <w:rsid w:val="004E1B50"/>
    <w:rsid w:val="004E1CC3"/>
    <w:rsid w:val="004E1D62"/>
    <w:rsid w:val="004E224E"/>
    <w:rsid w:val="004E2688"/>
    <w:rsid w:val="004E2F70"/>
    <w:rsid w:val="004E30AA"/>
    <w:rsid w:val="004E3794"/>
    <w:rsid w:val="004E4013"/>
    <w:rsid w:val="004E4100"/>
    <w:rsid w:val="004E42FF"/>
    <w:rsid w:val="004E49CE"/>
    <w:rsid w:val="004E6950"/>
    <w:rsid w:val="004E69D9"/>
    <w:rsid w:val="004E6B09"/>
    <w:rsid w:val="004E6B9A"/>
    <w:rsid w:val="004E6C30"/>
    <w:rsid w:val="004E710D"/>
    <w:rsid w:val="004E743A"/>
    <w:rsid w:val="004E79DE"/>
    <w:rsid w:val="004E7E49"/>
    <w:rsid w:val="004E7F54"/>
    <w:rsid w:val="004F00AA"/>
    <w:rsid w:val="004F00B2"/>
    <w:rsid w:val="004F0458"/>
    <w:rsid w:val="004F0B93"/>
    <w:rsid w:val="004F1289"/>
    <w:rsid w:val="004F12C6"/>
    <w:rsid w:val="004F1439"/>
    <w:rsid w:val="004F1F7B"/>
    <w:rsid w:val="004F23C3"/>
    <w:rsid w:val="004F28E8"/>
    <w:rsid w:val="004F2ADF"/>
    <w:rsid w:val="004F2C0C"/>
    <w:rsid w:val="004F2D7E"/>
    <w:rsid w:val="004F2E6E"/>
    <w:rsid w:val="004F2EE7"/>
    <w:rsid w:val="004F313C"/>
    <w:rsid w:val="004F3376"/>
    <w:rsid w:val="004F42D9"/>
    <w:rsid w:val="004F43EB"/>
    <w:rsid w:val="004F46DF"/>
    <w:rsid w:val="004F471C"/>
    <w:rsid w:val="004F4852"/>
    <w:rsid w:val="004F48C4"/>
    <w:rsid w:val="004F4C15"/>
    <w:rsid w:val="004F4E42"/>
    <w:rsid w:val="004F50F6"/>
    <w:rsid w:val="004F56CC"/>
    <w:rsid w:val="004F57EA"/>
    <w:rsid w:val="004F5EE4"/>
    <w:rsid w:val="004F5F36"/>
    <w:rsid w:val="004F5FBF"/>
    <w:rsid w:val="004F6724"/>
    <w:rsid w:val="004F694D"/>
    <w:rsid w:val="004F6E80"/>
    <w:rsid w:val="004F6F14"/>
    <w:rsid w:val="004F6F27"/>
    <w:rsid w:val="004F7B3A"/>
    <w:rsid w:val="004F7BEA"/>
    <w:rsid w:val="00500382"/>
    <w:rsid w:val="00500A19"/>
    <w:rsid w:val="00500AFC"/>
    <w:rsid w:val="00501144"/>
    <w:rsid w:val="005013D9"/>
    <w:rsid w:val="005017AD"/>
    <w:rsid w:val="00501895"/>
    <w:rsid w:val="00501DC9"/>
    <w:rsid w:val="005025AA"/>
    <w:rsid w:val="005026F3"/>
    <w:rsid w:val="00502ABF"/>
    <w:rsid w:val="005037BD"/>
    <w:rsid w:val="00503A2D"/>
    <w:rsid w:val="00503E79"/>
    <w:rsid w:val="0050445B"/>
    <w:rsid w:val="00504B72"/>
    <w:rsid w:val="00505041"/>
    <w:rsid w:val="0050592D"/>
    <w:rsid w:val="00505F61"/>
    <w:rsid w:val="00505FAE"/>
    <w:rsid w:val="005068FD"/>
    <w:rsid w:val="00506E35"/>
    <w:rsid w:val="00506E5E"/>
    <w:rsid w:val="00507333"/>
    <w:rsid w:val="00507837"/>
    <w:rsid w:val="00507C96"/>
    <w:rsid w:val="00510D4E"/>
    <w:rsid w:val="00510F78"/>
    <w:rsid w:val="00511292"/>
    <w:rsid w:val="00511DC3"/>
    <w:rsid w:val="005122F3"/>
    <w:rsid w:val="00512C63"/>
    <w:rsid w:val="0051315A"/>
    <w:rsid w:val="005136E7"/>
    <w:rsid w:val="00513A6D"/>
    <w:rsid w:val="00513F4F"/>
    <w:rsid w:val="005142FD"/>
    <w:rsid w:val="00514748"/>
    <w:rsid w:val="0051484B"/>
    <w:rsid w:val="005148BB"/>
    <w:rsid w:val="005153D6"/>
    <w:rsid w:val="00515B2A"/>
    <w:rsid w:val="00515D00"/>
    <w:rsid w:val="0051604A"/>
    <w:rsid w:val="00520259"/>
    <w:rsid w:val="0052027F"/>
    <w:rsid w:val="00520FE9"/>
    <w:rsid w:val="00521513"/>
    <w:rsid w:val="00521E90"/>
    <w:rsid w:val="00521EE5"/>
    <w:rsid w:val="00522094"/>
    <w:rsid w:val="00522659"/>
    <w:rsid w:val="005239EA"/>
    <w:rsid w:val="00523ED0"/>
    <w:rsid w:val="00524061"/>
    <w:rsid w:val="00524520"/>
    <w:rsid w:val="005245DB"/>
    <w:rsid w:val="00524C51"/>
    <w:rsid w:val="0052544F"/>
    <w:rsid w:val="005263C5"/>
    <w:rsid w:val="00526743"/>
    <w:rsid w:val="0052697E"/>
    <w:rsid w:val="005269C2"/>
    <w:rsid w:val="0052714A"/>
    <w:rsid w:val="00527851"/>
    <w:rsid w:val="005278D3"/>
    <w:rsid w:val="0052796B"/>
    <w:rsid w:val="00527BD5"/>
    <w:rsid w:val="00527CAD"/>
    <w:rsid w:val="00527DD9"/>
    <w:rsid w:val="00530662"/>
    <w:rsid w:val="00530A0C"/>
    <w:rsid w:val="0053156C"/>
    <w:rsid w:val="0053172A"/>
    <w:rsid w:val="0053181E"/>
    <w:rsid w:val="005318BA"/>
    <w:rsid w:val="005320B6"/>
    <w:rsid w:val="0053286E"/>
    <w:rsid w:val="00532A97"/>
    <w:rsid w:val="00532F0A"/>
    <w:rsid w:val="00533301"/>
    <w:rsid w:val="005335E4"/>
    <w:rsid w:val="00533A3D"/>
    <w:rsid w:val="00534240"/>
    <w:rsid w:val="0053447A"/>
    <w:rsid w:val="00534A2F"/>
    <w:rsid w:val="00534B6E"/>
    <w:rsid w:val="00535848"/>
    <w:rsid w:val="00535928"/>
    <w:rsid w:val="00536268"/>
    <w:rsid w:val="005362B4"/>
    <w:rsid w:val="00536509"/>
    <w:rsid w:val="00537902"/>
    <w:rsid w:val="005379EB"/>
    <w:rsid w:val="00537A6C"/>
    <w:rsid w:val="00537AD6"/>
    <w:rsid w:val="00537CE0"/>
    <w:rsid w:val="00537DCD"/>
    <w:rsid w:val="00537F26"/>
    <w:rsid w:val="00537F4E"/>
    <w:rsid w:val="00540436"/>
    <w:rsid w:val="00540B0F"/>
    <w:rsid w:val="00540B20"/>
    <w:rsid w:val="00540CCC"/>
    <w:rsid w:val="00541119"/>
    <w:rsid w:val="00541D33"/>
    <w:rsid w:val="00541D6D"/>
    <w:rsid w:val="0054233C"/>
    <w:rsid w:val="005424D6"/>
    <w:rsid w:val="005428A3"/>
    <w:rsid w:val="00542CB2"/>
    <w:rsid w:val="00542E77"/>
    <w:rsid w:val="00542FD2"/>
    <w:rsid w:val="00543067"/>
    <w:rsid w:val="005434EE"/>
    <w:rsid w:val="00543D65"/>
    <w:rsid w:val="005452ED"/>
    <w:rsid w:val="00545CE7"/>
    <w:rsid w:val="00546B95"/>
    <w:rsid w:val="00547951"/>
    <w:rsid w:val="00547B45"/>
    <w:rsid w:val="0055023F"/>
    <w:rsid w:val="00550573"/>
    <w:rsid w:val="00550590"/>
    <w:rsid w:val="00550C30"/>
    <w:rsid w:val="0055119B"/>
    <w:rsid w:val="00551377"/>
    <w:rsid w:val="005513D1"/>
    <w:rsid w:val="00551648"/>
    <w:rsid w:val="005520DA"/>
    <w:rsid w:val="00552136"/>
    <w:rsid w:val="00552197"/>
    <w:rsid w:val="00552803"/>
    <w:rsid w:val="005528C6"/>
    <w:rsid w:val="00552CA0"/>
    <w:rsid w:val="00552D44"/>
    <w:rsid w:val="005536DD"/>
    <w:rsid w:val="00553B6B"/>
    <w:rsid w:val="00553C36"/>
    <w:rsid w:val="00554D5C"/>
    <w:rsid w:val="00554E00"/>
    <w:rsid w:val="00554FB3"/>
    <w:rsid w:val="00555807"/>
    <w:rsid w:val="00555AE2"/>
    <w:rsid w:val="00555B3C"/>
    <w:rsid w:val="00555CD4"/>
    <w:rsid w:val="00555EDE"/>
    <w:rsid w:val="0055601A"/>
    <w:rsid w:val="005562F6"/>
    <w:rsid w:val="00556592"/>
    <w:rsid w:val="005569B9"/>
    <w:rsid w:val="00557BE9"/>
    <w:rsid w:val="00557DC6"/>
    <w:rsid w:val="00560306"/>
    <w:rsid w:val="00560B54"/>
    <w:rsid w:val="00561602"/>
    <w:rsid w:val="0056167B"/>
    <w:rsid w:val="005619FD"/>
    <w:rsid w:val="005624B7"/>
    <w:rsid w:val="0056255D"/>
    <w:rsid w:val="00562C99"/>
    <w:rsid w:val="005646E5"/>
    <w:rsid w:val="00564EF6"/>
    <w:rsid w:val="00565653"/>
    <w:rsid w:val="00565719"/>
    <w:rsid w:val="0056579A"/>
    <w:rsid w:val="005657A5"/>
    <w:rsid w:val="00565EF3"/>
    <w:rsid w:val="00566116"/>
    <w:rsid w:val="0056660D"/>
    <w:rsid w:val="00566D7E"/>
    <w:rsid w:val="005671DA"/>
    <w:rsid w:val="0056730D"/>
    <w:rsid w:val="00567557"/>
    <w:rsid w:val="005676A6"/>
    <w:rsid w:val="00567841"/>
    <w:rsid w:val="00567845"/>
    <w:rsid w:val="005679B9"/>
    <w:rsid w:val="00567F74"/>
    <w:rsid w:val="00567F9B"/>
    <w:rsid w:val="00570026"/>
    <w:rsid w:val="0057033F"/>
    <w:rsid w:val="00570427"/>
    <w:rsid w:val="00570AF4"/>
    <w:rsid w:val="00570B0E"/>
    <w:rsid w:val="00571244"/>
    <w:rsid w:val="005713C8"/>
    <w:rsid w:val="005715ED"/>
    <w:rsid w:val="0057182C"/>
    <w:rsid w:val="005718FF"/>
    <w:rsid w:val="0057232E"/>
    <w:rsid w:val="00572514"/>
    <w:rsid w:val="00572878"/>
    <w:rsid w:val="005729F0"/>
    <w:rsid w:val="005739A0"/>
    <w:rsid w:val="00573CED"/>
    <w:rsid w:val="00573D89"/>
    <w:rsid w:val="00573F5F"/>
    <w:rsid w:val="00574B3A"/>
    <w:rsid w:val="0057514A"/>
    <w:rsid w:val="005755B2"/>
    <w:rsid w:val="00575871"/>
    <w:rsid w:val="00575A60"/>
    <w:rsid w:val="00575C9B"/>
    <w:rsid w:val="00576145"/>
    <w:rsid w:val="005767A5"/>
    <w:rsid w:val="00576C73"/>
    <w:rsid w:val="005774BF"/>
    <w:rsid w:val="00577565"/>
    <w:rsid w:val="005776D3"/>
    <w:rsid w:val="00577CA9"/>
    <w:rsid w:val="00580807"/>
    <w:rsid w:val="005810BA"/>
    <w:rsid w:val="00581EDB"/>
    <w:rsid w:val="00582964"/>
    <w:rsid w:val="0058331B"/>
    <w:rsid w:val="00583655"/>
    <w:rsid w:val="00583B7B"/>
    <w:rsid w:val="005847A1"/>
    <w:rsid w:val="005847EC"/>
    <w:rsid w:val="00584AF4"/>
    <w:rsid w:val="00584F6C"/>
    <w:rsid w:val="005850BB"/>
    <w:rsid w:val="00585111"/>
    <w:rsid w:val="005858C0"/>
    <w:rsid w:val="00586789"/>
    <w:rsid w:val="005868FB"/>
    <w:rsid w:val="0059010F"/>
    <w:rsid w:val="005903ED"/>
    <w:rsid w:val="00590518"/>
    <w:rsid w:val="0059114B"/>
    <w:rsid w:val="005911CA"/>
    <w:rsid w:val="00591396"/>
    <w:rsid w:val="00591419"/>
    <w:rsid w:val="00591602"/>
    <w:rsid w:val="00591946"/>
    <w:rsid w:val="00592082"/>
    <w:rsid w:val="005922B6"/>
    <w:rsid w:val="00592558"/>
    <w:rsid w:val="00592AC9"/>
    <w:rsid w:val="00592BB2"/>
    <w:rsid w:val="00594007"/>
    <w:rsid w:val="0059431B"/>
    <w:rsid w:val="005946EB"/>
    <w:rsid w:val="00594B05"/>
    <w:rsid w:val="00594F5B"/>
    <w:rsid w:val="00594F9A"/>
    <w:rsid w:val="0059521F"/>
    <w:rsid w:val="00595694"/>
    <w:rsid w:val="005956F0"/>
    <w:rsid w:val="0059642F"/>
    <w:rsid w:val="0059659A"/>
    <w:rsid w:val="005966DD"/>
    <w:rsid w:val="0059785A"/>
    <w:rsid w:val="00597A58"/>
    <w:rsid w:val="00597D32"/>
    <w:rsid w:val="005A01B7"/>
    <w:rsid w:val="005A04EA"/>
    <w:rsid w:val="005A0AA7"/>
    <w:rsid w:val="005A0EB2"/>
    <w:rsid w:val="005A0FA7"/>
    <w:rsid w:val="005A1051"/>
    <w:rsid w:val="005A13E7"/>
    <w:rsid w:val="005A19FD"/>
    <w:rsid w:val="005A23B1"/>
    <w:rsid w:val="005A2627"/>
    <w:rsid w:val="005A27FB"/>
    <w:rsid w:val="005A30CC"/>
    <w:rsid w:val="005A31F0"/>
    <w:rsid w:val="005A3347"/>
    <w:rsid w:val="005A34B8"/>
    <w:rsid w:val="005A3695"/>
    <w:rsid w:val="005A4114"/>
    <w:rsid w:val="005A42C6"/>
    <w:rsid w:val="005A4ABE"/>
    <w:rsid w:val="005A4E84"/>
    <w:rsid w:val="005A53DD"/>
    <w:rsid w:val="005A56D3"/>
    <w:rsid w:val="005A58C4"/>
    <w:rsid w:val="005A5E5F"/>
    <w:rsid w:val="005A6A34"/>
    <w:rsid w:val="005A6AE9"/>
    <w:rsid w:val="005A6F34"/>
    <w:rsid w:val="005A7071"/>
    <w:rsid w:val="005A7612"/>
    <w:rsid w:val="005A7A35"/>
    <w:rsid w:val="005A7C24"/>
    <w:rsid w:val="005A7C49"/>
    <w:rsid w:val="005A7E10"/>
    <w:rsid w:val="005B02B1"/>
    <w:rsid w:val="005B0611"/>
    <w:rsid w:val="005B06CF"/>
    <w:rsid w:val="005B0909"/>
    <w:rsid w:val="005B0FFA"/>
    <w:rsid w:val="005B1728"/>
    <w:rsid w:val="005B2EBC"/>
    <w:rsid w:val="005B2F99"/>
    <w:rsid w:val="005B35F9"/>
    <w:rsid w:val="005B373C"/>
    <w:rsid w:val="005B3A07"/>
    <w:rsid w:val="005B477E"/>
    <w:rsid w:val="005B4F30"/>
    <w:rsid w:val="005B5785"/>
    <w:rsid w:val="005B58CC"/>
    <w:rsid w:val="005B6E6F"/>
    <w:rsid w:val="005B6E8B"/>
    <w:rsid w:val="005B7280"/>
    <w:rsid w:val="005B74ED"/>
    <w:rsid w:val="005B74FD"/>
    <w:rsid w:val="005B7868"/>
    <w:rsid w:val="005B7EAF"/>
    <w:rsid w:val="005C032F"/>
    <w:rsid w:val="005C0357"/>
    <w:rsid w:val="005C0539"/>
    <w:rsid w:val="005C0910"/>
    <w:rsid w:val="005C108B"/>
    <w:rsid w:val="005C136E"/>
    <w:rsid w:val="005C147D"/>
    <w:rsid w:val="005C2241"/>
    <w:rsid w:val="005C2717"/>
    <w:rsid w:val="005C2CFA"/>
    <w:rsid w:val="005C2E85"/>
    <w:rsid w:val="005C2EC2"/>
    <w:rsid w:val="005C2FB9"/>
    <w:rsid w:val="005C3D87"/>
    <w:rsid w:val="005C4422"/>
    <w:rsid w:val="005C4B0B"/>
    <w:rsid w:val="005C517A"/>
    <w:rsid w:val="005C58BB"/>
    <w:rsid w:val="005C5FF6"/>
    <w:rsid w:val="005C7582"/>
    <w:rsid w:val="005C787A"/>
    <w:rsid w:val="005C78DA"/>
    <w:rsid w:val="005C7A1C"/>
    <w:rsid w:val="005D0221"/>
    <w:rsid w:val="005D0588"/>
    <w:rsid w:val="005D1174"/>
    <w:rsid w:val="005D1457"/>
    <w:rsid w:val="005D193D"/>
    <w:rsid w:val="005D1EF6"/>
    <w:rsid w:val="005D2221"/>
    <w:rsid w:val="005D2637"/>
    <w:rsid w:val="005D2ADA"/>
    <w:rsid w:val="005D31A5"/>
    <w:rsid w:val="005D374B"/>
    <w:rsid w:val="005D38D2"/>
    <w:rsid w:val="005D3C29"/>
    <w:rsid w:val="005D3DDF"/>
    <w:rsid w:val="005D44E7"/>
    <w:rsid w:val="005D4C18"/>
    <w:rsid w:val="005D5146"/>
    <w:rsid w:val="005D52E9"/>
    <w:rsid w:val="005D5318"/>
    <w:rsid w:val="005D63BF"/>
    <w:rsid w:val="005D6428"/>
    <w:rsid w:val="005D6DE6"/>
    <w:rsid w:val="005D771D"/>
    <w:rsid w:val="005D78C5"/>
    <w:rsid w:val="005D7AA7"/>
    <w:rsid w:val="005E01E0"/>
    <w:rsid w:val="005E114D"/>
    <w:rsid w:val="005E146A"/>
    <w:rsid w:val="005E1A7A"/>
    <w:rsid w:val="005E1EBB"/>
    <w:rsid w:val="005E1F1E"/>
    <w:rsid w:val="005E1F83"/>
    <w:rsid w:val="005E25C1"/>
    <w:rsid w:val="005E268B"/>
    <w:rsid w:val="005E2DE5"/>
    <w:rsid w:val="005E3CD9"/>
    <w:rsid w:val="005E3F24"/>
    <w:rsid w:val="005E41C3"/>
    <w:rsid w:val="005E42AE"/>
    <w:rsid w:val="005E431E"/>
    <w:rsid w:val="005E4565"/>
    <w:rsid w:val="005E47C2"/>
    <w:rsid w:val="005E4A7F"/>
    <w:rsid w:val="005E4AA5"/>
    <w:rsid w:val="005E4C30"/>
    <w:rsid w:val="005E5333"/>
    <w:rsid w:val="005E5727"/>
    <w:rsid w:val="005E5D52"/>
    <w:rsid w:val="005E5E94"/>
    <w:rsid w:val="005E6299"/>
    <w:rsid w:val="005E6371"/>
    <w:rsid w:val="005E66AF"/>
    <w:rsid w:val="005E6997"/>
    <w:rsid w:val="005E6BF8"/>
    <w:rsid w:val="005E6C2F"/>
    <w:rsid w:val="005E6D2D"/>
    <w:rsid w:val="005E6D5E"/>
    <w:rsid w:val="005E6E56"/>
    <w:rsid w:val="005E7165"/>
    <w:rsid w:val="005E7326"/>
    <w:rsid w:val="005E73B6"/>
    <w:rsid w:val="005F038F"/>
    <w:rsid w:val="005F065F"/>
    <w:rsid w:val="005F0A53"/>
    <w:rsid w:val="005F0C91"/>
    <w:rsid w:val="005F10E9"/>
    <w:rsid w:val="005F114E"/>
    <w:rsid w:val="005F1642"/>
    <w:rsid w:val="005F1CDA"/>
    <w:rsid w:val="005F2930"/>
    <w:rsid w:val="005F2BCE"/>
    <w:rsid w:val="005F35C9"/>
    <w:rsid w:val="005F3A27"/>
    <w:rsid w:val="005F42CB"/>
    <w:rsid w:val="005F4B17"/>
    <w:rsid w:val="005F5582"/>
    <w:rsid w:val="005F59FB"/>
    <w:rsid w:val="005F5D99"/>
    <w:rsid w:val="005F611B"/>
    <w:rsid w:val="005F6144"/>
    <w:rsid w:val="005F6216"/>
    <w:rsid w:val="005F6626"/>
    <w:rsid w:val="005F702B"/>
    <w:rsid w:val="005F70DC"/>
    <w:rsid w:val="005F72FF"/>
    <w:rsid w:val="005F7E06"/>
    <w:rsid w:val="006000B0"/>
    <w:rsid w:val="006002F0"/>
    <w:rsid w:val="006005C4"/>
    <w:rsid w:val="00600BCB"/>
    <w:rsid w:val="00601095"/>
    <w:rsid w:val="00601822"/>
    <w:rsid w:val="0060195B"/>
    <w:rsid w:val="0060282A"/>
    <w:rsid w:val="00602C92"/>
    <w:rsid w:val="006039D7"/>
    <w:rsid w:val="00603B67"/>
    <w:rsid w:val="00604055"/>
    <w:rsid w:val="006043AF"/>
    <w:rsid w:val="0060494A"/>
    <w:rsid w:val="0060540E"/>
    <w:rsid w:val="006054C1"/>
    <w:rsid w:val="00605922"/>
    <w:rsid w:val="00605B92"/>
    <w:rsid w:val="00605D6A"/>
    <w:rsid w:val="00605E43"/>
    <w:rsid w:val="00605E97"/>
    <w:rsid w:val="00605E9F"/>
    <w:rsid w:val="00605F8E"/>
    <w:rsid w:val="00606165"/>
    <w:rsid w:val="0060685F"/>
    <w:rsid w:val="00606BF3"/>
    <w:rsid w:val="00607F68"/>
    <w:rsid w:val="0061009E"/>
    <w:rsid w:val="00611115"/>
    <w:rsid w:val="006111C2"/>
    <w:rsid w:val="00611293"/>
    <w:rsid w:val="00611BF5"/>
    <w:rsid w:val="00611C99"/>
    <w:rsid w:val="0061222C"/>
    <w:rsid w:val="00612647"/>
    <w:rsid w:val="00612676"/>
    <w:rsid w:val="00612F09"/>
    <w:rsid w:val="00612F38"/>
    <w:rsid w:val="00613291"/>
    <w:rsid w:val="006139DB"/>
    <w:rsid w:val="00613ECC"/>
    <w:rsid w:val="0061417A"/>
    <w:rsid w:val="0061449D"/>
    <w:rsid w:val="006144B4"/>
    <w:rsid w:val="0061457A"/>
    <w:rsid w:val="0061474A"/>
    <w:rsid w:val="0061486D"/>
    <w:rsid w:val="00614919"/>
    <w:rsid w:val="00614AC4"/>
    <w:rsid w:val="00614F95"/>
    <w:rsid w:val="00615A57"/>
    <w:rsid w:val="00615DC1"/>
    <w:rsid w:val="0061608E"/>
    <w:rsid w:val="006167E3"/>
    <w:rsid w:val="00617285"/>
    <w:rsid w:val="0061777A"/>
    <w:rsid w:val="0061799F"/>
    <w:rsid w:val="00620617"/>
    <w:rsid w:val="0062127F"/>
    <w:rsid w:val="00621901"/>
    <w:rsid w:val="00622674"/>
    <w:rsid w:val="00622AA4"/>
    <w:rsid w:val="00622C79"/>
    <w:rsid w:val="006240F7"/>
    <w:rsid w:val="006243D9"/>
    <w:rsid w:val="00624EBB"/>
    <w:rsid w:val="00625428"/>
    <w:rsid w:val="006254CB"/>
    <w:rsid w:val="00625C46"/>
    <w:rsid w:val="00625D51"/>
    <w:rsid w:val="00625D73"/>
    <w:rsid w:val="0062629D"/>
    <w:rsid w:val="00626A04"/>
    <w:rsid w:val="00626A14"/>
    <w:rsid w:val="006274A9"/>
    <w:rsid w:val="006279D6"/>
    <w:rsid w:val="00627DB0"/>
    <w:rsid w:val="00630274"/>
    <w:rsid w:val="0063055F"/>
    <w:rsid w:val="00631837"/>
    <w:rsid w:val="00632118"/>
    <w:rsid w:val="00632448"/>
    <w:rsid w:val="00633237"/>
    <w:rsid w:val="00633546"/>
    <w:rsid w:val="00633AFE"/>
    <w:rsid w:val="006345CB"/>
    <w:rsid w:val="0063535B"/>
    <w:rsid w:val="006357C1"/>
    <w:rsid w:val="006363EF"/>
    <w:rsid w:val="0063646E"/>
    <w:rsid w:val="00636674"/>
    <w:rsid w:val="00636728"/>
    <w:rsid w:val="00636B64"/>
    <w:rsid w:val="00636FC8"/>
    <w:rsid w:val="00637742"/>
    <w:rsid w:val="00637DE8"/>
    <w:rsid w:val="0064022A"/>
    <w:rsid w:val="006402F4"/>
    <w:rsid w:val="006406B6"/>
    <w:rsid w:val="00640804"/>
    <w:rsid w:val="00640959"/>
    <w:rsid w:val="00641156"/>
    <w:rsid w:val="00641430"/>
    <w:rsid w:val="0064153C"/>
    <w:rsid w:val="0064182E"/>
    <w:rsid w:val="00641AB3"/>
    <w:rsid w:val="00642110"/>
    <w:rsid w:val="0064214E"/>
    <w:rsid w:val="006421A0"/>
    <w:rsid w:val="006433E0"/>
    <w:rsid w:val="00643981"/>
    <w:rsid w:val="0064444A"/>
    <w:rsid w:val="0064445A"/>
    <w:rsid w:val="0064460B"/>
    <w:rsid w:val="0064467F"/>
    <w:rsid w:val="006447F2"/>
    <w:rsid w:val="006448FF"/>
    <w:rsid w:val="00644927"/>
    <w:rsid w:val="006449A9"/>
    <w:rsid w:val="00644F1C"/>
    <w:rsid w:val="0064539D"/>
    <w:rsid w:val="006461FA"/>
    <w:rsid w:val="0064627E"/>
    <w:rsid w:val="006464CE"/>
    <w:rsid w:val="00646BE6"/>
    <w:rsid w:val="006470CE"/>
    <w:rsid w:val="00647C4F"/>
    <w:rsid w:val="00647DA3"/>
    <w:rsid w:val="00647DF0"/>
    <w:rsid w:val="006502AC"/>
    <w:rsid w:val="00650770"/>
    <w:rsid w:val="00650E36"/>
    <w:rsid w:val="00650EC9"/>
    <w:rsid w:val="00651731"/>
    <w:rsid w:val="006529F0"/>
    <w:rsid w:val="00652C2B"/>
    <w:rsid w:val="006533AD"/>
    <w:rsid w:val="00653C33"/>
    <w:rsid w:val="0065438C"/>
    <w:rsid w:val="0065576C"/>
    <w:rsid w:val="006558B0"/>
    <w:rsid w:val="006558FB"/>
    <w:rsid w:val="00655A52"/>
    <w:rsid w:val="006560D4"/>
    <w:rsid w:val="006560F0"/>
    <w:rsid w:val="00656204"/>
    <w:rsid w:val="00656A41"/>
    <w:rsid w:val="0065761D"/>
    <w:rsid w:val="006600E9"/>
    <w:rsid w:val="00660B9E"/>
    <w:rsid w:val="00660F5D"/>
    <w:rsid w:val="00661E45"/>
    <w:rsid w:val="00661E64"/>
    <w:rsid w:val="0066220A"/>
    <w:rsid w:val="00662722"/>
    <w:rsid w:val="006627D5"/>
    <w:rsid w:val="00662B01"/>
    <w:rsid w:val="00662FF4"/>
    <w:rsid w:val="0066328A"/>
    <w:rsid w:val="00663480"/>
    <w:rsid w:val="006637DD"/>
    <w:rsid w:val="00664B3E"/>
    <w:rsid w:val="006653D9"/>
    <w:rsid w:val="00665540"/>
    <w:rsid w:val="006656C1"/>
    <w:rsid w:val="00665A05"/>
    <w:rsid w:val="00665D0A"/>
    <w:rsid w:val="00665EB6"/>
    <w:rsid w:val="00666361"/>
    <w:rsid w:val="006663A5"/>
    <w:rsid w:val="00666C28"/>
    <w:rsid w:val="00667054"/>
    <w:rsid w:val="00667201"/>
    <w:rsid w:val="00667DA8"/>
    <w:rsid w:val="006700AC"/>
    <w:rsid w:val="006702BA"/>
    <w:rsid w:val="00671220"/>
    <w:rsid w:val="0067177E"/>
    <w:rsid w:val="0067178C"/>
    <w:rsid w:val="00671E26"/>
    <w:rsid w:val="00672973"/>
    <w:rsid w:val="00673316"/>
    <w:rsid w:val="00673780"/>
    <w:rsid w:val="00673B4F"/>
    <w:rsid w:val="00675003"/>
    <w:rsid w:val="00675172"/>
    <w:rsid w:val="006751E1"/>
    <w:rsid w:val="00675204"/>
    <w:rsid w:val="00675305"/>
    <w:rsid w:val="0067541B"/>
    <w:rsid w:val="00675AD2"/>
    <w:rsid w:val="00675B2A"/>
    <w:rsid w:val="00675BBB"/>
    <w:rsid w:val="00675CF8"/>
    <w:rsid w:val="0067623B"/>
    <w:rsid w:val="006768B4"/>
    <w:rsid w:val="00676F37"/>
    <w:rsid w:val="0067787D"/>
    <w:rsid w:val="0068044B"/>
    <w:rsid w:val="006808FB"/>
    <w:rsid w:val="00680A57"/>
    <w:rsid w:val="00680E7D"/>
    <w:rsid w:val="00680F39"/>
    <w:rsid w:val="0068258C"/>
    <w:rsid w:val="00682993"/>
    <w:rsid w:val="006829D8"/>
    <w:rsid w:val="0068388C"/>
    <w:rsid w:val="00683E86"/>
    <w:rsid w:val="0068407E"/>
    <w:rsid w:val="00684C09"/>
    <w:rsid w:val="00684D52"/>
    <w:rsid w:val="00684F58"/>
    <w:rsid w:val="00685323"/>
    <w:rsid w:val="0068599C"/>
    <w:rsid w:val="00685A13"/>
    <w:rsid w:val="00685ABA"/>
    <w:rsid w:val="00685D71"/>
    <w:rsid w:val="00685E5E"/>
    <w:rsid w:val="00685F75"/>
    <w:rsid w:val="00686720"/>
    <w:rsid w:val="00686C41"/>
    <w:rsid w:val="00686CD8"/>
    <w:rsid w:val="006873FF"/>
    <w:rsid w:val="00687894"/>
    <w:rsid w:val="0069052D"/>
    <w:rsid w:val="00690C90"/>
    <w:rsid w:val="00690FF7"/>
    <w:rsid w:val="00691279"/>
    <w:rsid w:val="0069279F"/>
    <w:rsid w:val="006932D1"/>
    <w:rsid w:val="00693766"/>
    <w:rsid w:val="00693854"/>
    <w:rsid w:val="00693A19"/>
    <w:rsid w:val="00693BE0"/>
    <w:rsid w:val="006944E1"/>
    <w:rsid w:val="006946F6"/>
    <w:rsid w:val="00694924"/>
    <w:rsid w:val="00694B29"/>
    <w:rsid w:val="006951F3"/>
    <w:rsid w:val="00695CEB"/>
    <w:rsid w:val="006964F2"/>
    <w:rsid w:val="00696AAE"/>
    <w:rsid w:val="00697911"/>
    <w:rsid w:val="006A0416"/>
    <w:rsid w:val="006A041E"/>
    <w:rsid w:val="006A0984"/>
    <w:rsid w:val="006A0E15"/>
    <w:rsid w:val="006A13F2"/>
    <w:rsid w:val="006A19B1"/>
    <w:rsid w:val="006A2B35"/>
    <w:rsid w:val="006A2EB0"/>
    <w:rsid w:val="006A4783"/>
    <w:rsid w:val="006A47F1"/>
    <w:rsid w:val="006A4C4A"/>
    <w:rsid w:val="006A4F3E"/>
    <w:rsid w:val="006A5060"/>
    <w:rsid w:val="006A5102"/>
    <w:rsid w:val="006A51CA"/>
    <w:rsid w:val="006A5390"/>
    <w:rsid w:val="006A55F8"/>
    <w:rsid w:val="006A56F9"/>
    <w:rsid w:val="006A6059"/>
    <w:rsid w:val="006A6174"/>
    <w:rsid w:val="006A69C3"/>
    <w:rsid w:val="006A6B9B"/>
    <w:rsid w:val="006A6CB1"/>
    <w:rsid w:val="006A76CD"/>
    <w:rsid w:val="006A79B5"/>
    <w:rsid w:val="006A7BA2"/>
    <w:rsid w:val="006B05B2"/>
    <w:rsid w:val="006B0623"/>
    <w:rsid w:val="006B06E9"/>
    <w:rsid w:val="006B1034"/>
    <w:rsid w:val="006B1100"/>
    <w:rsid w:val="006B12A2"/>
    <w:rsid w:val="006B1A9C"/>
    <w:rsid w:val="006B1F9B"/>
    <w:rsid w:val="006B22DB"/>
    <w:rsid w:val="006B2D1B"/>
    <w:rsid w:val="006B3936"/>
    <w:rsid w:val="006B39AF"/>
    <w:rsid w:val="006B3CAC"/>
    <w:rsid w:val="006B3CEB"/>
    <w:rsid w:val="006B40C7"/>
    <w:rsid w:val="006B44B6"/>
    <w:rsid w:val="006B47CF"/>
    <w:rsid w:val="006B4B4D"/>
    <w:rsid w:val="006B4F67"/>
    <w:rsid w:val="006B55A3"/>
    <w:rsid w:val="006B570F"/>
    <w:rsid w:val="006B5EF4"/>
    <w:rsid w:val="006B63DF"/>
    <w:rsid w:val="006B6AC9"/>
    <w:rsid w:val="006B7A80"/>
    <w:rsid w:val="006B7EA9"/>
    <w:rsid w:val="006C038D"/>
    <w:rsid w:val="006C03AA"/>
    <w:rsid w:val="006C0977"/>
    <w:rsid w:val="006C116E"/>
    <w:rsid w:val="006C1270"/>
    <w:rsid w:val="006C219E"/>
    <w:rsid w:val="006C24C9"/>
    <w:rsid w:val="006C24F4"/>
    <w:rsid w:val="006C25A8"/>
    <w:rsid w:val="006C3917"/>
    <w:rsid w:val="006C3DB9"/>
    <w:rsid w:val="006C407E"/>
    <w:rsid w:val="006C4164"/>
    <w:rsid w:val="006C4DBC"/>
    <w:rsid w:val="006C4ECC"/>
    <w:rsid w:val="006C4F9B"/>
    <w:rsid w:val="006C5D65"/>
    <w:rsid w:val="006C5D8C"/>
    <w:rsid w:val="006C5EEF"/>
    <w:rsid w:val="006C6118"/>
    <w:rsid w:val="006C69AD"/>
    <w:rsid w:val="006C6B79"/>
    <w:rsid w:val="006C6F08"/>
    <w:rsid w:val="006C7208"/>
    <w:rsid w:val="006C7391"/>
    <w:rsid w:val="006C749F"/>
    <w:rsid w:val="006C7C50"/>
    <w:rsid w:val="006D0344"/>
    <w:rsid w:val="006D0479"/>
    <w:rsid w:val="006D08EC"/>
    <w:rsid w:val="006D0E59"/>
    <w:rsid w:val="006D1562"/>
    <w:rsid w:val="006D190A"/>
    <w:rsid w:val="006D1AF1"/>
    <w:rsid w:val="006D1CD5"/>
    <w:rsid w:val="006D225A"/>
    <w:rsid w:val="006D26B7"/>
    <w:rsid w:val="006D2B41"/>
    <w:rsid w:val="006D36D2"/>
    <w:rsid w:val="006D3786"/>
    <w:rsid w:val="006D3BDD"/>
    <w:rsid w:val="006D49AD"/>
    <w:rsid w:val="006D4A30"/>
    <w:rsid w:val="006D4E22"/>
    <w:rsid w:val="006D558D"/>
    <w:rsid w:val="006D58BC"/>
    <w:rsid w:val="006D5CE6"/>
    <w:rsid w:val="006D5D5D"/>
    <w:rsid w:val="006D5F54"/>
    <w:rsid w:val="006D609D"/>
    <w:rsid w:val="006D6522"/>
    <w:rsid w:val="006D6766"/>
    <w:rsid w:val="006D7EEB"/>
    <w:rsid w:val="006E01EB"/>
    <w:rsid w:val="006E032E"/>
    <w:rsid w:val="006E0859"/>
    <w:rsid w:val="006E10D7"/>
    <w:rsid w:val="006E11F5"/>
    <w:rsid w:val="006E1251"/>
    <w:rsid w:val="006E1644"/>
    <w:rsid w:val="006E18EE"/>
    <w:rsid w:val="006E27E1"/>
    <w:rsid w:val="006E2963"/>
    <w:rsid w:val="006E2C29"/>
    <w:rsid w:val="006E2DCB"/>
    <w:rsid w:val="006E2FE6"/>
    <w:rsid w:val="006E3101"/>
    <w:rsid w:val="006E33B2"/>
    <w:rsid w:val="006E34E6"/>
    <w:rsid w:val="006E43B3"/>
    <w:rsid w:val="006E4CF6"/>
    <w:rsid w:val="006E4FC0"/>
    <w:rsid w:val="006E5465"/>
    <w:rsid w:val="006E54DF"/>
    <w:rsid w:val="006E551D"/>
    <w:rsid w:val="006E578F"/>
    <w:rsid w:val="006E597B"/>
    <w:rsid w:val="006E5B5A"/>
    <w:rsid w:val="006E5C4A"/>
    <w:rsid w:val="006E5EFD"/>
    <w:rsid w:val="006E630F"/>
    <w:rsid w:val="006E6861"/>
    <w:rsid w:val="006E72B6"/>
    <w:rsid w:val="006F0660"/>
    <w:rsid w:val="006F08A0"/>
    <w:rsid w:val="006F1367"/>
    <w:rsid w:val="006F2471"/>
    <w:rsid w:val="006F2539"/>
    <w:rsid w:val="006F2F3A"/>
    <w:rsid w:val="006F3077"/>
    <w:rsid w:val="006F372A"/>
    <w:rsid w:val="006F38E3"/>
    <w:rsid w:val="006F3BB8"/>
    <w:rsid w:val="006F4BBC"/>
    <w:rsid w:val="006F544E"/>
    <w:rsid w:val="006F5983"/>
    <w:rsid w:val="006F5B48"/>
    <w:rsid w:val="006F60AB"/>
    <w:rsid w:val="006F61D3"/>
    <w:rsid w:val="006F6301"/>
    <w:rsid w:val="006F710D"/>
    <w:rsid w:val="006F737B"/>
    <w:rsid w:val="006F73D9"/>
    <w:rsid w:val="007001F7"/>
    <w:rsid w:val="007002FD"/>
    <w:rsid w:val="00701083"/>
    <w:rsid w:val="007010D0"/>
    <w:rsid w:val="00701C0F"/>
    <w:rsid w:val="00702246"/>
    <w:rsid w:val="00702790"/>
    <w:rsid w:val="00702C0C"/>
    <w:rsid w:val="007033E6"/>
    <w:rsid w:val="00703447"/>
    <w:rsid w:val="00703525"/>
    <w:rsid w:val="007040F4"/>
    <w:rsid w:val="007041AD"/>
    <w:rsid w:val="00704729"/>
    <w:rsid w:val="007050DA"/>
    <w:rsid w:val="00705207"/>
    <w:rsid w:val="007055FF"/>
    <w:rsid w:val="007058D6"/>
    <w:rsid w:val="00705D64"/>
    <w:rsid w:val="0070695E"/>
    <w:rsid w:val="00707386"/>
    <w:rsid w:val="0070790C"/>
    <w:rsid w:val="00707D62"/>
    <w:rsid w:val="00707D88"/>
    <w:rsid w:val="00707DF7"/>
    <w:rsid w:val="00707FAB"/>
    <w:rsid w:val="0071025B"/>
    <w:rsid w:val="00710365"/>
    <w:rsid w:val="00710F6D"/>
    <w:rsid w:val="0071142E"/>
    <w:rsid w:val="00711882"/>
    <w:rsid w:val="00711A54"/>
    <w:rsid w:val="0071203F"/>
    <w:rsid w:val="0071219C"/>
    <w:rsid w:val="00712402"/>
    <w:rsid w:val="00712CAB"/>
    <w:rsid w:val="0071382D"/>
    <w:rsid w:val="00713C07"/>
    <w:rsid w:val="00713D61"/>
    <w:rsid w:val="00713DF5"/>
    <w:rsid w:val="007148DF"/>
    <w:rsid w:val="00714E22"/>
    <w:rsid w:val="00715004"/>
    <w:rsid w:val="0071546A"/>
    <w:rsid w:val="007154AC"/>
    <w:rsid w:val="007154B1"/>
    <w:rsid w:val="0071564A"/>
    <w:rsid w:val="007156C7"/>
    <w:rsid w:val="00715777"/>
    <w:rsid w:val="007158A6"/>
    <w:rsid w:val="00715ABB"/>
    <w:rsid w:val="00715CC2"/>
    <w:rsid w:val="00715E09"/>
    <w:rsid w:val="0071678D"/>
    <w:rsid w:val="007167F7"/>
    <w:rsid w:val="00716BF9"/>
    <w:rsid w:val="00716D8F"/>
    <w:rsid w:val="0071772C"/>
    <w:rsid w:val="007177FE"/>
    <w:rsid w:val="00717C39"/>
    <w:rsid w:val="00717F80"/>
    <w:rsid w:val="007204A2"/>
    <w:rsid w:val="00720579"/>
    <w:rsid w:val="007212DD"/>
    <w:rsid w:val="00721665"/>
    <w:rsid w:val="00721A71"/>
    <w:rsid w:val="0072204C"/>
    <w:rsid w:val="00722A9F"/>
    <w:rsid w:val="00722C28"/>
    <w:rsid w:val="00722D44"/>
    <w:rsid w:val="00722DAB"/>
    <w:rsid w:val="00722F70"/>
    <w:rsid w:val="0072324E"/>
    <w:rsid w:val="007237B2"/>
    <w:rsid w:val="00723925"/>
    <w:rsid w:val="00723C36"/>
    <w:rsid w:val="007241E8"/>
    <w:rsid w:val="00724336"/>
    <w:rsid w:val="00724A90"/>
    <w:rsid w:val="007254FA"/>
    <w:rsid w:val="00725D90"/>
    <w:rsid w:val="00725E3E"/>
    <w:rsid w:val="00725E49"/>
    <w:rsid w:val="00726216"/>
    <w:rsid w:val="007262D1"/>
    <w:rsid w:val="007269BE"/>
    <w:rsid w:val="00726EF1"/>
    <w:rsid w:val="00726FA6"/>
    <w:rsid w:val="00726FDB"/>
    <w:rsid w:val="007303FD"/>
    <w:rsid w:val="00730970"/>
    <w:rsid w:val="00730D0A"/>
    <w:rsid w:val="007310BA"/>
    <w:rsid w:val="0073125B"/>
    <w:rsid w:val="00731284"/>
    <w:rsid w:val="007314F8"/>
    <w:rsid w:val="00731579"/>
    <w:rsid w:val="00731ABA"/>
    <w:rsid w:val="00731DA9"/>
    <w:rsid w:val="00731EAC"/>
    <w:rsid w:val="00732092"/>
    <w:rsid w:val="0073290B"/>
    <w:rsid w:val="00732A20"/>
    <w:rsid w:val="00732E50"/>
    <w:rsid w:val="00732E84"/>
    <w:rsid w:val="00733365"/>
    <w:rsid w:val="00733D82"/>
    <w:rsid w:val="00733E0F"/>
    <w:rsid w:val="00734768"/>
    <w:rsid w:val="00734B37"/>
    <w:rsid w:val="007355BE"/>
    <w:rsid w:val="007355C7"/>
    <w:rsid w:val="00735717"/>
    <w:rsid w:val="00735863"/>
    <w:rsid w:val="00735FDD"/>
    <w:rsid w:val="00736A5B"/>
    <w:rsid w:val="0073714F"/>
    <w:rsid w:val="007373F6"/>
    <w:rsid w:val="00737451"/>
    <w:rsid w:val="00737BFF"/>
    <w:rsid w:val="00737E80"/>
    <w:rsid w:val="007400A2"/>
    <w:rsid w:val="00740B54"/>
    <w:rsid w:val="00740D9F"/>
    <w:rsid w:val="0074103A"/>
    <w:rsid w:val="00741605"/>
    <w:rsid w:val="007418D9"/>
    <w:rsid w:val="00741BE1"/>
    <w:rsid w:val="00741F73"/>
    <w:rsid w:val="00741F8B"/>
    <w:rsid w:val="007420FE"/>
    <w:rsid w:val="007424CE"/>
    <w:rsid w:val="00742AE8"/>
    <w:rsid w:val="0074320F"/>
    <w:rsid w:val="007434AD"/>
    <w:rsid w:val="0074361D"/>
    <w:rsid w:val="00743C25"/>
    <w:rsid w:val="00744895"/>
    <w:rsid w:val="00744D85"/>
    <w:rsid w:val="00745640"/>
    <w:rsid w:val="00745B34"/>
    <w:rsid w:val="00745D6C"/>
    <w:rsid w:val="00746472"/>
    <w:rsid w:val="00746887"/>
    <w:rsid w:val="00746C97"/>
    <w:rsid w:val="00746E9D"/>
    <w:rsid w:val="007472E9"/>
    <w:rsid w:val="007475C0"/>
    <w:rsid w:val="007476C4"/>
    <w:rsid w:val="007505A9"/>
    <w:rsid w:val="007505C9"/>
    <w:rsid w:val="00750BA7"/>
    <w:rsid w:val="00750BD5"/>
    <w:rsid w:val="00750CF6"/>
    <w:rsid w:val="00751118"/>
    <w:rsid w:val="007511A2"/>
    <w:rsid w:val="0075133B"/>
    <w:rsid w:val="00751ACA"/>
    <w:rsid w:val="00751C74"/>
    <w:rsid w:val="00751FCA"/>
    <w:rsid w:val="007521A9"/>
    <w:rsid w:val="00752966"/>
    <w:rsid w:val="00753112"/>
    <w:rsid w:val="0075385B"/>
    <w:rsid w:val="007539DD"/>
    <w:rsid w:val="00753AEB"/>
    <w:rsid w:val="00753CD8"/>
    <w:rsid w:val="00753DD6"/>
    <w:rsid w:val="00754B69"/>
    <w:rsid w:val="00755117"/>
    <w:rsid w:val="007554C4"/>
    <w:rsid w:val="00755BA1"/>
    <w:rsid w:val="00755F82"/>
    <w:rsid w:val="0075606C"/>
    <w:rsid w:val="007563C3"/>
    <w:rsid w:val="0075651A"/>
    <w:rsid w:val="00756680"/>
    <w:rsid w:val="00756716"/>
    <w:rsid w:val="00756CAA"/>
    <w:rsid w:val="00756F7B"/>
    <w:rsid w:val="00757022"/>
    <w:rsid w:val="00757288"/>
    <w:rsid w:val="007574A3"/>
    <w:rsid w:val="007576E6"/>
    <w:rsid w:val="00757AB5"/>
    <w:rsid w:val="0076020C"/>
    <w:rsid w:val="00760C0F"/>
    <w:rsid w:val="007611E4"/>
    <w:rsid w:val="007619E1"/>
    <w:rsid w:val="00761BCD"/>
    <w:rsid w:val="007629A7"/>
    <w:rsid w:val="00762A21"/>
    <w:rsid w:val="00762B4A"/>
    <w:rsid w:val="00762D59"/>
    <w:rsid w:val="007632E2"/>
    <w:rsid w:val="007633D8"/>
    <w:rsid w:val="00763914"/>
    <w:rsid w:val="007640AF"/>
    <w:rsid w:val="00764370"/>
    <w:rsid w:val="007644BD"/>
    <w:rsid w:val="0076457E"/>
    <w:rsid w:val="00764793"/>
    <w:rsid w:val="007647EB"/>
    <w:rsid w:val="00764D13"/>
    <w:rsid w:val="00765376"/>
    <w:rsid w:val="00765415"/>
    <w:rsid w:val="00765F8C"/>
    <w:rsid w:val="007661A4"/>
    <w:rsid w:val="007661FF"/>
    <w:rsid w:val="0076694A"/>
    <w:rsid w:val="00766C49"/>
    <w:rsid w:val="00766F56"/>
    <w:rsid w:val="00767C1C"/>
    <w:rsid w:val="0077061C"/>
    <w:rsid w:val="0077071B"/>
    <w:rsid w:val="007709D7"/>
    <w:rsid w:val="00770A3C"/>
    <w:rsid w:val="00770A47"/>
    <w:rsid w:val="007717A0"/>
    <w:rsid w:val="007718A8"/>
    <w:rsid w:val="00772032"/>
    <w:rsid w:val="0077324C"/>
    <w:rsid w:val="00773743"/>
    <w:rsid w:val="00773C4D"/>
    <w:rsid w:val="00774BFF"/>
    <w:rsid w:val="0077683A"/>
    <w:rsid w:val="00776965"/>
    <w:rsid w:val="00776DC4"/>
    <w:rsid w:val="00777181"/>
    <w:rsid w:val="00777368"/>
    <w:rsid w:val="00777476"/>
    <w:rsid w:val="007777A7"/>
    <w:rsid w:val="00777B30"/>
    <w:rsid w:val="00780217"/>
    <w:rsid w:val="00780CBA"/>
    <w:rsid w:val="00780F91"/>
    <w:rsid w:val="007810BE"/>
    <w:rsid w:val="00781302"/>
    <w:rsid w:val="007814B1"/>
    <w:rsid w:val="0078150D"/>
    <w:rsid w:val="0078193A"/>
    <w:rsid w:val="007826C5"/>
    <w:rsid w:val="0078296E"/>
    <w:rsid w:val="00782C6C"/>
    <w:rsid w:val="0078312E"/>
    <w:rsid w:val="007835B5"/>
    <w:rsid w:val="00783D5B"/>
    <w:rsid w:val="00783FB9"/>
    <w:rsid w:val="00784001"/>
    <w:rsid w:val="007843E3"/>
    <w:rsid w:val="007850F5"/>
    <w:rsid w:val="00785295"/>
    <w:rsid w:val="007853BF"/>
    <w:rsid w:val="00785BAC"/>
    <w:rsid w:val="007868B7"/>
    <w:rsid w:val="0078696C"/>
    <w:rsid w:val="00786B49"/>
    <w:rsid w:val="0078724D"/>
    <w:rsid w:val="007875D5"/>
    <w:rsid w:val="0078789A"/>
    <w:rsid w:val="00787F3E"/>
    <w:rsid w:val="0079019B"/>
    <w:rsid w:val="007901E1"/>
    <w:rsid w:val="007907C1"/>
    <w:rsid w:val="00790A13"/>
    <w:rsid w:val="00790A91"/>
    <w:rsid w:val="00790BAC"/>
    <w:rsid w:val="00790D1E"/>
    <w:rsid w:val="00790D7A"/>
    <w:rsid w:val="00790F77"/>
    <w:rsid w:val="007912AB"/>
    <w:rsid w:val="00791622"/>
    <w:rsid w:val="007927B6"/>
    <w:rsid w:val="0079280E"/>
    <w:rsid w:val="0079293A"/>
    <w:rsid w:val="00792BE5"/>
    <w:rsid w:val="00792EDE"/>
    <w:rsid w:val="00792F0A"/>
    <w:rsid w:val="00792F7A"/>
    <w:rsid w:val="007932CA"/>
    <w:rsid w:val="00793607"/>
    <w:rsid w:val="0079364C"/>
    <w:rsid w:val="00794639"/>
    <w:rsid w:val="0079495C"/>
    <w:rsid w:val="00794AF4"/>
    <w:rsid w:val="00794F1D"/>
    <w:rsid w:val="00796522"/>
    <w:rsid w:val="0079660A"/>
    <w:rsid w:val="00796758"/>
    <w:rsid w:val="00796845"/>
    <w:rsid w:val="00796BF6"/>
    <w:rsid w:val="00796D55"/>
    <w:rsid w:val="00797270"/>
    <w:rsid w:val="00797D8C"/>
    <w:rsid w:val="007A01A5"/>
    <w:rsid w:val="007A0EC8"/>
    <w:rsid w:val="007A0F9D"/>
    <w:rsid w:val="007A12BF"/>
    <w:rsid w:val="007A1531"/>
    <w:rsid w:val="007A1812"/>
    <w:rsid w:val="007A195B"/>
    <w:rsid w:val="007A19CB"/>
    <w:rsid w:val="007A1A43"/>
    <w:rsid w:val="007A1BF8"/>
    <w:rsid w:val="007A2724"/>
    <w:rsid w:val="007A2D8C"/>
    <w:rsid w:val="007A3231"/>
    <w:rsid w:val="007A3312"/>
    <w:rsid w:val="007A371D"/>
    <w:rsid w:val="007A3D9F"/>
    <w:rsid w:val="007A486C"/>
    <w:rsid w:val="007A48AD"/>
    <w:rsid w:val="007A4AB4"/>
    <w:rsid w:val="007A4C5C"/>
    <w:rsid w:val="007A4F32"/>
    <w:rsid w:val="007A519E"/>
    <w:rsid w:val="007A5764"/>
    <w:rsid w:val="007A65C9"/>
    <w:rsid w:val="007A6720"/>
    <w:rsid w:val="007A675A"/>
    <w:rsid w:val="007A6CF3"/>
    <w:rsid w:val="007A79B5"/>
    <w:rsid w:val="007A7ADE"/>
    <w:rsid w:val="007A7B45"/>
    <w:rsid w:val="007B02C1"/>
    <w:rsid w:val="007B0636"/>
    <w:rsid w:val="007B08B9"/>
    <w:rsid w:val="007B0D1E"/>
    <w:rsid w:val="007B1285"/>
    <w:rsid w:val="007B1926"/>
    <w:rsid w:val="007B1D04"/>
    <w:rsid w:val="007B2B61"/>
    <w:rsid w:val="007B68AF"/>
    <w:rsid w:val="007B68C7"/>
    <w:rsid w:val="007B6F70"/>
    <w:rsid w:val="007B7EA7"/>
    <w:rsid w:val="007C0080"/>
    <w:rsid w:val="007C00BB"/>
    <w:rsid w:val="007C0714"/>
    <w:rsid w:val="007C10B5"/>
    <w:rsid w:val="007C137E"/>
    <w:rsid w:val="007C13DD"/>
    <w:rsid w:val="007C17EA"/>
    <w:rsid w:val="007C1D9F"/>
    <w:rsid w:val="007C1EAE"/>
    <w:rsid w:val="007C3066"/>
    <w:rsid w:val="007C32E4"/>
    <w:rsid w:val="007C3415"/>
    <w:rsid w:val="007C4196"/>
    <w:rsid w:val="007C44DD"/>
    <w:rsid w:val="007C482F"/>
    <w:rsid w:val="007C5B5E"/>
    <w:rsid w:val="007C61C0"/>
    <w:rsid w:val="007C62FC"/>
    <w:rsid w:val="007C655C"/>
    <w:rsid w:val="007C67BF"/>
    <w:rsid w:val="007C6803"/>
    <w:rsid w:val="007C6B5B"/>
    <w:rsid w:val="007C6BC9"/>
    <w:rsid w:val="007C7833"/>
    <w:rsid w:val="007C7EA7"/>
    <w:rsid w:val="007C7EC7"/>
    <w:rsid w:val="007D115A"/>
    <w:rsid w:val="007D1566"/>
    <w:rsid w:val="007D160E"/>
    <w:rsid w:val="007D1787"/>
    <w:rsid w:val="007D17A6"/>
    <w:rsid w:val="007D1E36"/>
    <w:rsid w:val="007D20EA"/>
    <w:rsid w:val="007D2761"/>
    <w:rsid w:val="007D2836"/>
    <w:rsid w:val="007D2A98"/>
    <w:rsid w:val="007D3376"/>
    <w:rsid w:val="007D3A78"/>
    <w:rsid w:val="007D3B9C"/>
    <w:rsid w:val="007D3FB2"/>
    <w:rsid w:val="007D432D"/>
    <w:rsid w:val="007D4A0D"/>
    <w:rsid w:val="007D4CE9"/>
    <w:rsid w:val="007D5404"/>
    <w:rsid w:val="007D56BA"/>
    <w:rsid w:val="007D5CE2"/>
    <w:rsid w:val="007D5FE4"/>
    <w:rsid w:val="007D6552"/>
    <w:rsid w:val="007D665C"/>
    <w:rsid w:val="007D6922"/>
    <w:rsid w:val="007D6C23"/>
    <w:rsid w:val="007D6D54"/>
    <w:rsid w:val="007D7A4B"/>
    <w:rsid w:val="007D7FD7"/>
    <w:rsid w:val="007E018D"/>
    <w:rsid w:val="007E01D9"/>
    <w:rsid w:val="007E0C8F"/>
    <w:rsid w:val="007E0E04"/>
    <w:rsid w:val="007E1083"/>
    <w:rsid w:val="007E113D"/>
    <w:rsid w:val="007E1182"/>
    <w:rsid w:val="007E1284"/>
    <w:rsid w:val="007E1A84"/>
    <w:rsid w:val="007E1AE3"/>
    <w:rsid w:val="007E1DDB"/>
    <w:rsid w:val="007E1F05"/>
    <w:rsid w:val="007E2181"/>
    <w:rsid w:val="007E24E7"/>
    <w:rsid w:val="007E26E9"/>
    <w:rsid w:val="007E29A4"/>
    <w:rsid w:val="007E33BA"/>
    <w:rsid w:val="007E3F14"/>
    <w:rsid w:val="007E41F7"/>
    <w:rsid w:val="007E4467"/>
    <w:rsid w:val="007E4926"/>
    <w:rsid w:val="007E4B4C"/>
    <w:rsid w:val="007E4F94"/>
    <w:rsid w:val="007E5DA0"/>
    <w:rsid w:val="007E6005"/>
    <w:rsid w:val="007E6251"/>
    <w:rsid w:val="007E6615"/>
    <w:rsid w:val="007E69C0"/>
    <w:rsid w:val="007E727B"/>
    <w:rsid w:val="007E7902"/>
    <w:rsid w:val="007E7C9E"/>
    <w:rsid w:val="007E7D4D"/>
    <w:rsid w:val="007F057D"/>
    <w:rsid w:val="007F06CA"/>
    <w:rsid w:val="007F1554"/>
    <w:rsid w:val="007F1787"/>
    <w:rsid w:val="007F1844"/>
    <w:rsid w:val="007F18FF"/>
    <w:rsid w:val="007F1AC7"/>
    <w:rsid w:val="007F1C5E"/>
    <w:rsid w:val="007F1C82"/>
    <w:rsid w:val="007F1DF5"/>
    <w:rsid w:val="007F2828"/>
    <w:rsid w:val="007F3396"/>
    <w:rsid w:val="007F483C"/>
    <w:rsid w:val="007F4869"/>
    <w:rsid w:val="007F4A56"/>
    <w:rsid w:val="007F4E68"/>
    <w:rsid w:val="007F53A2"/>
    <w:rsid w:val="007F562F"/>
    <w:rsid w:val="007F5D03"/>
    <w:rsid w:val="007F5F86"/>
    <w:rsid w:val="007F65C2"/>
    <w:rsid w:val="007F6A68"/>
    <w:rsid w:val="007F768F"/>
    <w:rsid w:val="007F7CCB"/>
    <w:rsid w:val="00800463"/>
    <w:rsid w:val="00801433"/>
    <w:rsid w:val="00801736"/>
    <w:rsid w:val="008021A5"/>
    <w:rsid w:val="00802327"/>
    <w:rsid w:val="008026C4"/>
    <w:rsid w:val="008028AC"/>
    <w:rsid w:val="008028E2"/>
    <w:rsid w:val="00802DDA"/>
    <w:rsid w:val="00802E6C"/>
    <w:rsid w:val="00802E92"/>
    <w:rsid w:val="00803681"/>
    <w:rsid w:val="00803C4D"/>
    <w:rsid w:val="008042D3"/>
    <w:rsid w:val="008049EA"/>
    <w:rsid w:val="00805500"/>
    <w:rsid w:val="008057CC"/>
    <w:rsid w:val="00805F44"/>
    <w:rsid w:val="0080600F"/>
    <w:rsid w:val="008065D1"/>
    <w:rsid w:val="008071B0"/>
    <w:rsid w:val="00807451"/>
    <w:rsid w:val="00807A1D"/>
    <w:rsid w:val="00807BBD"/>
    <w:rsid w:val="00807C83"/>
    <w:rsid w:val="0081030D"/>
    <w:rsid w:val="0081058F"/>
    <w:rsid w:val="008106EF"/>
    <w:rsid w:val="00811404"/>
    <w:rsid w:val="00811DD1"/>
    <w:rsid w:val="00812A5F"/>
    <w:rsid w:val="00812A87"/>
    <w:rsid w:val="00812DA2"/>
    <w:rsid w:val="00812E55"/>
    <w:rsid w:val="0081311B"/>
    <w:rsid w:val="0081355E"/>
    <w:rsid w:val="008135F7"/>
    <w:rsid w:val="008138B2"/>
    <w:rsid w:val="0081447C"/>
    <w:rsid w:val="00814843"/>
    <w:rsid w:val="00814A96"/>
    <w:rsid w:val="00814DC1"/>
    <w:rsid w:val="008155E3"/>
    <w:rsid w:val="0081568B"/>
    <w:rsid w:val="00815DD4"/>
    <w:rsid w:val="008163EA"/>
    <w:rsid w:val="00816E2D"/>
    <w:rsid w:val="008177E8"/>
    <w:rsid w:val="00817DF6"/>
    <w:rsid w:val="00817EE6"/>
    <w:rsid w:val="008202F4"/>
    <w:rsid w:val="008203BC"/>
    <w:rsid w:val="0082060D"/>
    <w:rsid w:val="00820E06"/>
    <w:rsid w:val="00820E42"/>
    <w:rsid w:val="0082169E"/>
    <w:rsid w:val="00821896"/>
    <w:rsid w:val="00822133"/>
    <w:rsid w:val="00822341"/>
    <w:rsid w:val="00822D96"/>
    <w:rsid w:val="008234CF"/>
    <w:rsid w:val="00823A21"/>
    <w:rsid w:val="00823E40"/>
    <w:rsid w:val="00823E8B"/>
    <w:rsid w:val="008244A9"/>
    <w:rsid w:val="0082550A"/>
    <w:rsid w:val="008258D1"/>
    <w:rsid w:val="00825A9F"/>
    <w:rsid w:val="00825B20"/>
    <w:rsid w:val="00826616"/>
    <w:rsid w:val="00826A97"/>
    <w:rsid w:val="00826B36"/>
    <w:rsid w:val="00827158"/>
    <w:rsid w:val="00827AE9"/>
    <w:rsid w:val="008301DA"/>
    <w:rsid w:val="00830B04"/>
    <w:rsid w:val="00830BA9"/>
    <w:rsid w:val="00831195"/>
    <w:rsid w:val="00831747"/>
    <w:rsid w:val="008317AE"/>
    <w:rsid w:val="00831DFB"/>
    <w:rsid w:val="00832FB7"/>
    <w:rsid w:val="008331A5"/>
    <w:rsid w:val="0083320C"/>
    <w:rsid w:val="00833417"/>
    <w:rsid w:val="0083341F"/>
    <w:rsid w:val="00833EAE"/>
    <w:rsid w:val="00834062"/>
    <w:rsid w:val="00834343"/>
    <w:rsid w:val="0083452A"/>
    <w:rsid w:val="008345C4"/>
    <w:rsid w:val="00834856"/>
    <w:rsid w:val="00835903"/>
    <w:rsid w:val="00835B98"/>
    <w:rsid w:val="00835CED"/>
    <w:rsid w:val="00836063"/>
    <w:rsid w:val="0083659F"/>
    <w:rsid w:val="008373E2"/>
    <w:rsid w:val="008373E7"/>
    <w:rsid w:val="008379E3"/>
    <w:rsid w:val="00837CBC"/>
    <w:rsid w:val="00840099"/>
    <w:rsid w:val="00840D7E"/>
    <w:rsid w:val="00840DC4"/>
    <w:rsid w:val="008410A9"/>
    <w:rsid w:val="00841447"/>
    <w:rsid w:val="00841571"/>
    <w:rsid w:val="008419D1"/>
    <w:rsid w:val="00841B02"/>
    <w:rsid w:val="008420C5"/>
    <w:rsid w:val="00842184"/>
    <w:rsid w:val="008424A3"/>
    <w:rsid w:val="008428E2"/>
    <w:rsid w:val="00843079"/>
    <w:rsid w:val="0084324A"/>
    <w:rsid w:val="00843369"/>
    <w:rsid w:val="00843E0F"/>
    <w:rsid w:val="00844C08"/>
    <w:rsid w:val="00845288"/>
    <w:rsid w:val="00845EF8"/>
    <w:rsid w:val="0084668F"/>
    <w:rsid w:val="00846756"/>
    <w:rsid w:val="008469AB"/>
    <w:rsid w:val="00846CAC"/>
    <w:rsid w:val="008470D3"/>
    <w:rsid w:val="0084753F"/>
    <w:rsid w:val="0084757E"/>
    <w:rsid w:val="00847E1F"/>
    <w:rsid w:val="00850026"/>
    <w:rsid w:val="00850534"/>
    <w:rsid w:val="008518CF"/>
    <w:rsid w:val="00853304"/>
    <w:rsid w:val="00853475"/>
    <w:rsid w:val="00853EC2"/>
    <w:rsid w:val="00854042"/>
    <w:rsid w:val="00854087"/>
    <w:rsid w:val="008545FB"/>
    <w:rsid w:val="00854FEC"/>
    <w:rsid w:val="0085542E"/>
    <w:rsid w:val="00856013"/>
    <w:rsid w:val="008564D1"/>
    <w:rsid w:val="008567B2"/>
    <w:rsid w:val="008568A7"/>
    <w:rsid w:val="00856EBC"/>
    <w:rsid w:val="00857123"/>
    <w:rsid w:val="0085755D"/>
    <w:rsid w:val="00857936"/>
    <w:rsid w:val="008605A5"/>
    <w:rsid w:val="0086069C"/>
    <w:rsid w:val="00860CF0"/>
    <w:rsid w:val="0086190E"/>
    <w:rsid w:val="00862000"/>
    <w:rsid w:val="008622E6"/>
    <w:rsid w:val="00862441"/>
    <w:rsid w:val="008626AC"/>
    <w:rsid w:val="00862912"/>
    <w:rsid w:val="00862A9E"/>
    <w:rsid w:val="008631EA"/>
    <w:rsid w:val="00863712"/>
    <w:rsid w:val="00864027"/>
    <w:rsid w:val="00864B04"/>
    <w:rsid w:val="008656A2"/>
    <w:rsid w:val="00866405"/>
    <w:rsid w:val="008676F0"/>
    <w:rsid w:val="008677B4"/>
    <w:rsid w:val="00870453"/>
    <w:rsid w:val="0087051E"/>
    <w:rsid w:val="00870A40"/>
    <w:rsid w:val="00870A5C"/>
    <w:rsid w:val="00870AF4"/>
    <w:rsid w:val="00870CF7"/>
    <w:rsid w:val="0087143C"/>
    <w:rsid w:val="00871656"/>
    <w:rsid w:val="0087167A"/>
    <w:rsid w:val="00871968"/>
    <w:rsid w:val="00871D6D"/>
    <w:rsid w:val="00871E6A"/>
    <w:rsid w:val="00871F57"/>
    <w:rsid w:val="008725A3"/>
    <w:rsid w:val="0087260B"/>
    <w:rsid w:val="00872A9F"/>
    <w:rsid w:val="00872B2F"/>
    <w:rsid w:val="00872B8C"/>
    <w:rsid w:val="00872BF2"/>
    <w:rsid w:val="0087332F"/>
    <w:rsid w:val="00873FA6"/>
    <w:rsid w:val="00874371"/>
    <w:rsid w:val="00874463"/>
    <w:rsid w:val="0087491F"/>
    <w:rsid w:val="00874C89"/>
    <w:rsid w:val="008750D6"/>
    <w:rsid w:val="00875180"/>
    <w:rsid w:val="0087567F"/>
    <w:rsid w:val="008757B5"/>
    <w:rsid w:val="00875CA7"/>
    <w:rsid w:val="00875E3F"/>
    <w:rsid w:val="00875EA8"/>
    <w:rsid w:val="0087621C"/>
    <w:rsid w:val="008766B6"/>
    <w:rsid w:val="00876C55"/>
    <w:rsid w:val="00876D31"/>
    <w:rsid w:val="0087710D"/>
    <w:rsid w:val="00877568"/>
    <w:rsid w:val="0087771C"/>
    <w:rsid w:val="00880184"/>
    <w:rsid w:val="00880795"/>
    <w:rsid w:val="00880CB4"/>
    <w:rsid w:val="00880D89"/>
    <w:rsid w:val="00881D44"/>
    <w:rsid w:val="00881E51"/>
    <w:rsid w:val="00882A7E"/>
    <w:rsid w:val="00882B4A"/>
    <w:rsid w:val="00882E7F"/>
    <w:rsid w:val="0088387F"/>
    <w:rsid w:val="00883D03"/>
    <w:rsid w:val="00884E0F"/>
    <w:rsid w:val="00884FD2"/>
    <w:rsid w:val="008856FB"/>
    <w:rsid w:val="00885901"/>
    <w:rsid w:val="008859F9"/>
    <w:rsid w:val="00886113"/>
    <w:rsid w:val="00886CE6"/>
    <w:rsid w:val="00886FF4"/>
    <w:rsid w:val="008873F6"/>
    <w:rsid w:val="0088772F"/>
    <w:rsid w:val="00887A56"/>
    <w:rsid w:val="00887C0D"/>
    <w:rsid w:val="00887F92"/>
    <w:rsid w:val="0089063D"/>
    <w:rsid w:val="00890ABC"/>
    <w:rsid w:val="00890D2A"/>
    <w:rsid w:val="00890F56"/>
    <w:rsid w:val="008914BC"/>
    <w:rsid w:val="00891BA7"/>
    <w:rsid w:val="00891C1D"/>
    <w:rsid w:val="0089250D"/>
    <w:rsid w:val="00892BF0"/>
    <w:rsid w:val="00892C81"/>
    <w:rsid w:val="00892D4E"/>
    <w:rsid w:val="00892DAD"/>
    <w:rsid w:val="0089336E"/>
    <w:rsid w:val="0089344F"/>
    <w:rsid w:val="00893CEC"/>
    <w:rsid w:val="008943B7"/>
    <w:rsid w:val="00894692"/>
    <w:rsid w:val="00894700"/>
    <w:rsid w:val="00894CA9"/>
    <w:rsid w:val="00894FEC"/>
    <w:rsid w:val="00895875"/>
    <w:rsid w:val="00895DBB"/>
    <w:rsid w:val="00895E10"/>
    <w:rsid w:val="00896510"/>
    <w:rsid w:val="0089664F"/>
    <w:rsid w:val="00896C8B"/>
    <w:rsid w:val="00896DA9"/>
    <w:rsid w:val="00896ED1"/>
    <w:rsid w:val="0089756E"/>
    <w:rsid w:val="00897627"/>
    <w:rsid w:val="008976F5"/>
    <w:rsid w:val="0089773F"/>
    <w:rsid w:val="008978DD"/>
    <w:rsid w:val="00897AE8"/>
    <w:rsid w:val="00897EAE"/>
    <w:rsid w:val="008A03B2"/>
    <w:rsid w:val="008A04A2"/>
    <w:rsid w:val="008A08BA"/>
    <w:rsid w:val="008A11E3"/>
    <w:rsid w:val="008A18B0"/>
    <w:rsid w:val="008A18B7"/>
    <w:rsid w:val="008A1A3D"/>
    <w:rsid w:val="008A1B11"/>
    <w:rsid w:val="008A1DD5"/>
    <w:rsid w:val="008A1EC2"/>
    <w:rsid w:val="008A253E"/>
    <w:rsid w:val="008A26A8"/>
    <w:rsid w:val="008A2770"/>
    <w:rsid w:val="008A2AEB"/>
    <w:rsid w:val="008A2BEF"/>
    <w:rsid w:val="008A3044"/>
    <w:rsid w:val="008A36D1"/>
    <w:rsid w:val="008A3B49"/>
    <w:rsid w:val="008A40F0"/>
    <w:rsid w:val="008A44EE"/>
    <w:rsid w:val="008A4798"/>
    <w:rsid w:val="008A4C90"/>
    <w:rsid w:val="008A5C73"/>
    <w:rsid w:val="008A625F"/>
    <w:rsid w:val="008A627E"/>
    <w:rsid w:val="008A66DB"/>
    <w:rsid w:val="008A67F5"/>
    <w:rsid w:val="008A6BFE"/>
    <w:rsid w:val="008A704D"/>
    <w:rsid w:val="008A7437"/>
    <w:rsid w:val="008A7CDA"/>
    <w:rsid w:val="008B0632"/>
    <w:rsid w:val="008B0A53"/>
    <w:rsid w:val="008B168E"/>
    <w:rsid w:val="008B175C"/>
    <w:rsid w:val="008B1EC3"/>
    <w:rsid w:val="008B20D7"/>
    <w:rsid w:val="008B22AD"/>
    <w:rsid w:val="008B24B5"/>
    <w:rsid w:val="008B2DE8"/>
    <w:rsid w:val="008B3188"/>
    <w:rsid w:val="008B3465"/>
    <w:rsid w:val="008B348D"/>
    <w:rsid w:val="008B3545"/>
    <w:rsid w:val="008B3731"/>
    <w:rsid w:val="008B41CE"/>
    <w:rsid w:val="008B41F8"/>
    <w:rsid w:val="008B4599"/>
    <w:rsid w:val="008B470A"/>
    <w:rsid w:val="008B4A6F"/>
    <w:rsid w:val="008B5390"/>
    <w:rsid w:val="008B545C"/>
    <w:rsid w:val="008B5EAF"/>
    <w:rsid w:val="008B638A"/>
    <w:rsid w:val="008B64F2"/>
    <w:rsid w:val="008B6A13"/>
    <w:rsid w:val="008B6A81"/>
    <w:rsid w:val="008B7015"/>
    <w:rsid w:val="008B7064"/>
    <w:rsid w:val="008B71C6"/>
    <w:rsid w:val="008C02F3"/>
    <w:rsid w:val="008C03B9"/>
    <w:rsid w:val="008C11F3"/>
    <w:rsid w:val="008C128E"/>
    <w:rsid w:val="008C143F"/>
    <w:rsid w:val="008C15EC"/>
    <w:rsid w:val="008C1859"/>
    <w:rsid w:val="008C2845"/>
    <w:rsid w:val="008C29E0"/>
    <w:rsid w:val="008C2A5B"/>
    <w:rsid w:val="008C2C18"/>
    <w:rsid w:val="008C3827"/>
    <w:rsid w:val="008C3A40"/>
    <w:rsid w:val="008C3A66"/>
    <w:rsid w:val="008C418F"/>
    <w:rsid w:val="008C4CE0"/>
    <w:rsid w:val="008C5851"/>
    <w:rsid w:val="008C5ABB"/>
    <w:rsid w:val="008C6069"/>
    <w:rsid w:val="008C6838"/>
    <w:rsid w:val="008C6904"/>
    <w:rsid w:val="008C69E0"/>
    <w:rsid w:val="008C6A4F"/>
    <w:rsid w:val="008C74B5"/>
    <w:rsid w:val="008C74DD"/>
    <w:rsid w:val="008D0751"/>
    <w:rsid w:val="008D0813"/>
    <w:rsid w:val="008D0DAB"/>
    <w:rsid w:val="008D0FE8"/>
    <w:rsid w:val="008D120F"/>
    <w:rsid w:val="008D197C"/>
    <w:rsid w:val="008D1B8F"/>
    <w:rsid w:val="008D2665"/>
    <w:rsid w:val="008D2CD7"/>
    <w:rsid w:val="008D309F"/>
    <w:rsid w:val="008D362D"/>
    <w:rsid w:val="008D3A74"/>
    <w:rsid w:val="008D4063"/>
    <w:rsid w:val="008D40D0"/>
    <w:rsid w:val="008D427B"/>
    <w:rsid w:val="008D4326"/>
    <w:rsid w:val="008D43E1"/>
    <w:rsid w:val="008D4779"/>
    <w:rsid w:val="008D588D"/>
    <w:rsid w:val="008D5A05"/>
    <w:rsid w:val="008D5B5F"/>
    <w:rsid w:val="008D5D1F"/>
    <w:rsid w:val="008D6273"/>
    <w:rsid w:val="008D63BD"/>
    <w:rsid w:val="008D6546"/>
    <w:rsid w:val="008D70BC"/>
    <w:rsid w:val="008D731A"/>
    <w:rsid w:val="008D76E4"/>
    <w:rsid w:val="008E08DD"/>
    <w:rsid w:val="008E0A93"/>
    <w:rsid w:val="008E1C3B"/>
    <w:rsid w:val="008E1C9E"/>
    <w:rsid w:val="008E2134"/>
    <w:rsid w:val="008E2150"/>
    <w:rsid w:val="008E2F69"/>
    <w:rsid w:val="008E3F09"/>
    <w:rsid w:val="008E3F28"/>
    <w:rsid w:val="008E4A38"/>
    <w:rsid w:val="008E552F"/>
    <w:rsid w:val="008E5E8E"/>
    <w:rsid w:val="008E640F"/>
    <w:rsid w:val="008E667E"/>
    <w:rsid w:val="008E67C1"/>
    <w:rsid w:val="008E7463"/>
    <w:rsid w:val="008E7BFE"/>
    <w:rsid w:val="008F0017"/>
    <w:rsid w:val="008F026B"/>
    <w:rsid w:val="008F095E"/>
    <w:rsid w:val="008F106B"/>
    <w:rsid w:val="008F1137"/>
    <w:rsid w:val="008F12F8"/>
    <w:rsid w:val="008F1452"/>
    <w:rsid w:val="008F19CF"/>
    <w:rsid w:val="008F1B21"/>
    <w:rsid w:val="008F2114"/>
    <w:rsid w:val="008F2FCF"/>
    <w:rsid w:val="008F3016"/>
    <w:rsid w:val="008F3451"/>
    <w:rsid w:val="008F34DB"/>
    <w:rsid w:val="008F4453"/>
    <w:rsid w:val="008F47B0"/>
    <w:rsid w:val="008F47D5"/>
    <w:rsid w:val="008F4CF9"/>
    <w:rsid w:val="008F4F1A"/>
    <w:rsid w:val="008F5769"/>
    <w:rsid w:val="008F58C2"/>
    <w:rsid w:val="008F62EA"/>
    <w:rsid w:val="008F7BCA"/>
    <w:rsid w:val="008F7EE9"/>
    <w:rsid w:val="008F7EEF"/>
    <w:rsid w:val="009013B6"/>
    <w:rsid w:val="0090151C"/>
    <w:rsid w:val="009019D8"/>
    <w:rsid w:val="00901BEF"/>
    <w:rsid w:val="00901C2A"/>
    <w:rsid w:val="00901CE2"/>
    <w:rsid w:val="00901D46"/>
    <w:rsid w:val="009022AA"/>
    <w:rsid w:val="00902AAC"/>
    <w:rsid w:val="009034A0"/>
    <w:rsid w:val="009036D9"/>
    <w:rsid w:val="00903B0F"/>
    <w:rsid w:val="00903CC5"/>
    <w:rsid w:val="00903DF1"/>
    <w:rsid w:val="00903FD1"/>
    <w:rsid w:val="00904216"/>
    <w:rsid w:val="00904BC1"/>
    <w:rsid w:val="00905194"/>
    <w:rsid w:val="009052C8"/>
    <w:rsid w:val="00905495"/>
    <w:rsid w:val="00905AAA"/>
    <w:rsid w:val="00905C64"/>
    <w:rsid w:val="009065E8"/>
    <w:rsid w:val="00906C7A"/>
    <w:rsid w:val="00906DC3"/>
    <w:rsid w:val="00907105"/>
    <w:rsid w:val="00907558"/>
    <w:rsid w:val="00907CB2"/>
    <w:rsid w:val="0091003F"/>
    <w:rsid w:val="00910362"/>
    <w:rsid w:val="0091053F"/>
    <w:rsid w:val="0091079A"/>
    <w:rsid w:val="00910C72"/>
    <w:rsid w:val="00911A52"/>
    <w:rsid w:val="00911A85"/>
    <w:rsid w:val="00911BA4"/>
    <w:rsid w:val="00912320"/>
    <w:rsid w:val="00912365"/>
    <w:rsid w:val="0091253B"/>
    <w:rsid w:val="00912570"/>
    <w:rsid w:val="00912882"/>
    <w:rsid w:val="0091301E"/>
    <w:rsid w:val="009130AA"/>
    <w:rsid w:val="00913471"/>
    <w:rsid w:val="00913A49"/>
    <w:rsid w:val="00913DE0"/>
    <w:rsid w:val="00913FE4"/>
    <w:rsid w:val="00914012"/>
    <w:rsid w:val="00914632"/>
    <w:rsid w:val="009147C8"/>
    <w:rsid w:val="00914808"/>
    <w:rsid w:val="00914A1C"/>
    <w:rsid w:val="00914BEE"/>
    <w:rsid w:val="00914E21"/>
    <w:rsid w:val="00915086"/>
    <w:rsid w:val="009152AC"/>
    <w:rsid w:val="0091563A"/>
    <w:rsid w:val="00915803"/>
    <w:rsid w:val="00915910"/>
    <w:rsid w:val="00915BB4"/>
    <w:rsid w:val="00915F13"/>
    <w:rsid w:val="00916BF2"/>
    <w:rsid w:val="0091707F"/>
    <w:rsid w:val="00917105"/>
    <w:rsid w:val="009172E9"/>
    <w:rsid w:val="00920BA4"/>
    <w:rsid w:val="00920CC7"/>
    <w:rsid w:val="00920EF7"/>
    <w:rsid w:val="0092128D"/>
    <w:rsid w:val="00921789"/>
    <w:rsid w:val="00921CF7"/>
    <w:rsid w:val="0092215E"/>
    <w:rsid w:val="0092220B"/>
    <w:rsid w:val="009228D1"/>
    <w:rsid w:val="00922D61"/>
    <w:rsid w:val="00923109"/>
    <w:rsid w:val="00923166"/>
    <w:rsid w:val="009231B8"/>
    <w:rsid w:val="009232BF"/>
    <w:rsid w:val="00923504"/>
    <w:rsid w:val="0092368C"/>
    <w:rsid w:val="00923D52"/>
    <w:rsid w:val="009241C1"/>
    <w:rsid w:val="00924203"/>
    <w:rsid w:val="00924829"/>
    <w:rsid w:val="0092489F"/>
    <w:rsid w:val="00924D2C"/>
    <w:rsid w:val="009253D2"/>
    <w:rsid w:val="00925402"/>
    <w:rsid w:val="0092575F"/>
    <w:rsid w:val="0092578A"/>
    <w:rsid w:val="00925861"/>
    <w:rsid w:val="00925996"/>
    <w:rsid w:val="00925AC9"/>
    <w:rsid w:val="00925CD9"/>
    <w:rsid w:val="00925E19"/>
    <w:rsid w:val="00925E38"/>
    <w:rsid w:val="009264E3"/>
    <w:rsid w:val="009267D3"/>
    <w:rsid w:val="0092690B"/>
    <w:rsid w:val="00927865"/>
    <w:rsid w:val="00927C60"/>
    <w:rsid w:val="009312EA"/>
    <w:rsid w:val="00931455"/>
    <w:rsid w:val="00931AC2"/>
    <w:rsid w:val="00931AD8"/>
    <w:rsid w:val="00932094"/>
    <w:rsid w:val="009323F2"/>
    <w:rsid w:val="00932545"/>
    <w:rsid w:val="00933575"/>
    <w:rsid w:val="00933CB3"/>
    <w:rsid w:val="009347B8"/>
    <w:rsid w:val="009354E9"/>
    <w:rsid w:val="009357A0"/>
    <w:rsid w:val="009357E3"/>
    <w:rsid w:val="00935B72"/>
    <w:rsid w:val="009362EA"/>
    <w:rsid w:val="0093659A"/>
    <w:rsid w:val="009368AB"/>
    <w:rsid w:val="009368C2"/>
    <w:rsid w:val="00936DAB"/>
    <w:rsid w:val="00936E39"/>
    <w:rsid w:val="0093716F"/>
    <w:rsid w:val="0093719B"/>
    <w:rsid w:val="00937742"/>
    <w:rsid w:val="00937A2C"/>
    <w:rsid w:val="00937D28"/>
    <w:rsid w:val="00941B17"/>
    <w:rsid w:val="00941ED8"/>
    <w:rsid w:val="00941FE9"/>
    <w:rsid w:val="00942177"/>
    <w:rsid w:val="009426D3"/>
    <w:rsid w:val="00942A68"/>
    <w:rsid w:val="00942AFB"/>
    <w:rsid w:val="00942BBD"/>
    <w:rsid w:val="00942DE3"/>
    <w:rsid w:val="009431BA"/>
    <w:rsid w:val="00943A3D"/>
    <w:rsid w:val="00943E12"/>
    <w:rsid w:val="00943F0C"/>
    <w:rsid w:val="009440DD"/>
    <w:rsid w:val="00944737"/>
    <w:rsid w:val="00944832"/>
    <w:rsid w:val="00944BFE"/>
    <w:rsid w:val="0094525C"/>
    <w:rsid w:val="009452B0"/>
    <w:rsid w:val="0094554F"/>
    <w:rsid w:val="009460FC"/>
    <w:rsid w:val="009463C5"/>
    <w:rsid w:val="0094675F"/>
    <w:rsid w:val="009474DB"/>
    <w:rsid w:val="00947D61"/>
    <w:rsid w:val="00947F5C"/>
    <w:rsid w:val="009505C2"/>
    <w:rsid w:val="009505CA"/>
    <w:rsid w:val="009508B5"/>
    <w:rsid w:val="00950C80"/>
    <w:rsid w:val="00950E13"/>
    <w:rsid w:val="00950FB4"/>
    <w:rsid w:val="00951265"/>
    <w:rsid w:val="009512EB"/>
    <w:rsid w:val="00951BE5"/>
    <w:rsid w:val="0095295D"/>
    <w:rsid w:val="00952AAA"/>
    <w:rsid w:val="00952C5D"/>
    <w:rsid w:val="00952DA3"/>
    <w:rsid w:val="00952ECF"/>
    <w:rsid w:val="009532B8"/>
    <w:rsid w:val="00953E33"/>
    <w:rsid w:val="00953E41"/>
    <w:rsid w:val="009545AA"/>
    <w:rsid w:val="00954C0F"/>
    <w:rsid w:val="00954D34"/>
    <w:rsid w:val="009552D9"/>
    <w:rsid w:val="0095532A"/>
    <w:rsid w:val="00955B7C"/>
    <w:rsid w:val="009563CE"/>
    <w:rsid w:val="0095658F"/>
    <w:rsid w:val="009602F4"/>
    <w:rsid w:val="00960A82"/>
    <w:rsid w:val="00960CF9"/>
    <w:rsid w:val="00961680"/>
    <w:rsid w:val="0096181F"/>
    <w:rsid w:val="00961B1C"/>
    <w:rsid w:val="00961E9E"/>
    <w:rsid w:val="00962309"/>
    <w:rsid w:val="009635C9"/>
    <w:rsid w:val="009635DD"/>
    <w:rsid w:val="00963A69"/>
    <w:rsid w:val="00963E9D"/>
    <w:rsid w:val="00963EB4"/>
    <w:rsid w:val="00964729"/>
    <w:rsid w:val="0096473C"/>
    <w:rsid w:val="00964D22"/>
    <w:rsid w:val="00965447"/>
    <w:rsid w:val="009656EF"/>
    <w:rsid w:val="009669D4"/>
    <w:rsid w:val="00966DE1"/>
    <w:rsid w:val="0096747B"/>
    <w:rsid w:val="0096767F"/>
    <w:rsid w:val="00970933"/>
    <w:rsid w:val="00970A8C"/>
    <w:rsid w:val="00970C81"/>
    <w:rsid w:val="00970EF8"/>
    <w:rsid w:val="00970FC0"/>
    <w:rsid w:val="00971A4B"/>
    <w:rsid w:val="00971ED5"/>
    <w:rsid w:val="00971F9A"/>
    <w:rsid w:val="0097294B"/>
    <w:rsid w:val="009733A2"/>
    <w:rsid w:val="009733AC"/>
    <w:rsid w:val="00973605"/>
    <w:rsid w:val="00973731"/>
    <w:rsid w:val="00973F9A"/>
    <w:rsid w:val="00974080"/>
    <w:rsid w:val="009771E9"/>
    <w:rsid w:val="009774ED"/>
    <w:rsid w:val="0097760F"/>
    <w:rsid w:val="00980BE7"/>
    <w:rsid w:val="00980C30"/>
    <w:rsid w:val="00981054"/>
    <w:rsid w:val="009814ED"/>
    <w:rsid w:val="00981B77"/>
    <w:rsid w:val="009823F9"/>
    <w:rsid w:val="009824B0"/>
    <w:rsid w:val="00982C5F"/>
    <w:rsid w:val="009830BF"/>
    <w:rsid w:val="009839E6"/>
    <w:rsid w:val="00983D8D"/>
    <w:rsid w:val="00984328"/>
    <w:rsid w:val="00984703"/>
    <w:rsid w:val="009847FD"/>
    <w:rsid w:val="00984844"/>
    <w:rsid w:val="00984AB2"/>
    <w:rsid w:val="00984F0C"/>
    <w:rsid w:val="00985063"/>
    <w:rsid w:val="00985977"/>
    <w:rsid w:val="009861AE"/>
    <w:rsid w:val="00986274"/>
    <w:rsid w:val="0098645C"/>
    <w:rsid w:val="009868E6"/>
    <w:rsid w:val="009871A5"/>
    <w:rsid w:val="0098746B"/>
    <w:rsid w:val="0098751A"/>
    <w:rsid w:val="00987885"/>
    <w:rsid w:val="00990417"/>
    <w:rsid w:val="00990B30"/>
    <w:rsid w:val="00990CD9"/>
    <w:rsid w:val="009913C0"/>
    <w:rsid w:val="009919BB"/>
    <w:rsid w:val="00991C23"/>
    <w:rsid w:val="00991C56"/>
    <w:rsid w:val="00991D16"/>
    <w:rsid w:val="009920F2"/>
    <w:rsid w:val="00992485"/>
    <w:rsid w:val="009926AA"/>
    <w:rsid w:val="00992737"/>
    <w:rsid w:val="009929A2"/>
    <w:rsid w:val="00992B98"/>
    <w:rsid w:val="00993839"/>
    <w:rsid w:val="00993CD3"/>
    <w:rsid w:val="00993D62"/>
    <w:rsid w:val="009943B4"/>
    <w:rsid w:val="0099453D"/>
    <w:rsid w:val="00994D9D"/>
    <w:rsid w:val="00994F53"/>
    <w:rsid w:val="00995330"/>
    <w:rsid w:val="009957C8"/>
    <w:rsid w:val="00995A29"/>
    <w:rsid w:val="00995B87"/>
    <w:rsid w:val="00995F1C"/>
    <w:rsid w:val="0099658F"/>
    <w:rsid w:val="00996C4D"/>
    <w:rsid w:val="00996F35"/>
    <w:rsid w:val="0099722B"/>
    <w:rsid w:val="00997591"/>
    <w:rsid w:val="00997B7E"/>
    <w:rsid w:val="009A048A"/>
    <w:rsid w:val="009A05CD"/>
    <w:rsid w:val="009A07CB"/>
    <w:rsid w:val="009A08EB"/>
    <w:rsid w:val="009A0990"/>
    <w:rsid w:val="009A0E7F"/>
    <w:rsid w:val="009A16DC"/>
    <w:rsid w:val="009A1D6D"/>
    <w:rsid w:val="009A202C"/>
    <w:rsid w:val="009A2695"/>
    <w:rsid w:val="009A2E4C"/>
    <w:rsid w:val="009A30E3"/>
    <w:rsid w:val="009A32FA"/>
    <w:rsid w:val="009A3553"/>
    <w:rsid w:val="009A3EC9"/>
    <w:rsid w:val="009A41BF"/>
    <w:rsid w:val="009A42D9"/>
    <w:rsid w:val="009A4B0E"/>
    <w:rsid w:val="009A4DA3"/>
    <w:rsid w:val="009A57E2"/>
    <w:rsid w:val="009A5E4C"/>
    <w:rsid w:val="009A61DB"/>
    <w:rsid w:val="009A6201"/>
    <w:rsid w:val="009A657F"/>
    <w:rsid w:val="009A68FC"/>
    <w:rsid w:val="009A6B37"/>
    <w:rsid w:val="009A6D3A"/>
    <w:rsid w:val="009A7803"/>
    <w:rsid w:val="009A7940"/>
    <w:rsid w:val="009B0A0A"/>
    <w:rsid w:val="009B0EF8"/>
    <w:rsid w:val="009B1AF0"/>
    <w:rsid w:val="009B1B0E"/>
    <w:rsid w:val="009B208A"/>
    <w:rsid w:val="009B22CD"/>
    <w:rsid w:val="009B2453"/>
    <w:rsid w:val="009B2858"/>
    <w:rsid w:val="009B28E2"/>
    <w:rsid w:val="009B2AFC"/>
    <w:rsid w:val="009B2E30"/>
    <w:rsid w:val="009B3394"/>
    <w:rsid w:val="009B349E"/>
    <w:rsid w:val="009B3CBB"/>
    <w:rsid w:val="009B3EA9"/>
    <w:rsid w:val="009B415B"/>
    <w:rsid w:val="009B430E"/>
    <w:rsid w:val="009B46BE"/>
    <w:rsid w:val="009B52DA"/>
    <w:rsid w:val="009B580E"/>
    <w:rsid w:val="009B5D6C"/>
    <w:rsid w:val="009B5E4A"/>
    <w:rsid w:val="009B670D"/>
    <w:rsid w:val="009B682D"/>
    <w:rsid w:val="009B6B51"/>
    <w:rsid w:val="009B7684"/>
    <w:rsid w:val="009B7AD9"/>
    <w:rsid w:val="009C0EBD"/>
    <w:rsid w:val="009C121C"/>
    <w:rsid w:val="009C1506"/>
    <w:rsid w:val="009C1986"/>
    <w:rsid w:val="009C2244"/>
    <w:rsid w:val="009C2E86"/>
    <w:rsid w:val="009C2FCF"/>
    <w:rsid w:val="009C3447"/>
    <w:rsid w:val="009C3528"/>
    <w:rsid w:val="009C4201"/>
    <w:rsid w:val="009C43CB"/>
    <w:rsid w:val="009C4C8D"/>
    <w:rsid w:val="009C4D9C"/>
    <w:rsid w:val="009C50D1"/>
    <w:rsid w:val="009C520C"/>
    <w:rsid w:val="009C5282"/>
    <w:rsid w:val="009C544C"/>
    <w:rsid w:val="009C5460"/>
    <w:rsid w:val="009C54B6"/>
    <w:rsid w:val="009C5775"/>
    <w:rsid w:val="009C5EC9"/>
    <w:rsid w:val="009C642F"/>
    <w:rsid w:val="009C6524"/>
    <w:rsid w:val="009C690C"/>
    <w:rsid w:val="009C6CC1"/>
    <w:rsid w:val="009C7F3F"/>
    <w:rsid w:val="009D00C7"/>
    <w:rsid w:val="009D0AF6"/>
    <w:rsid w:val="009D1BB0"/>
    <w:rsid w:val="009D1F27"/>
    <w:rsid w:val="009D2495"/>
    <w:rsid w:val="009D249D"/>
    <w:rsid w:val="009D24D6"/>
    <w:rsid w:val="009D2803"/>
    <w:rsid w:val="009D28DD"/>
    <w:rsid w:val="009D28EE"/>
    <w:rsid w:val="009D2C38"/>
    <w:rsid w:val="009D2F81"/>
    <w:rsid w:val="009D3230"/>
    <w:rsid w:val="009D35E5"/>
    <w:rsid w:val="009D3C0E"/>
    <w:rsid w:val="009D3D6E"/>
    <w:rsid w:val="009D4072"/>
    <w:rsid w:val="009D42E9"/>
    <w:rsid w:val="009D4B31"/>
    <w:rsid w:val="009D500B"/>
    <w:rsid w:val="009D5231"/>
    <w:rsid w:val="009D57C7"/>
    <w:rsid w:val="009D5882"/>
    <w:rsid w:val="009D5D76"/>
    <w:rsid w:val="009D6480"/>
    <w:rsid w:val="009D6674"/>
    <w:rsid w:val="009D6A02"/>
    <w:rsid w:val="009D6EA5"/>
    <w:rsid w:val="009D71F6"/>
    <w:rsid w:val="009D72CA"/>
    <w:rsid w:val="009D7AB1"/>
    <w:rsid w:val="009E0DAF"/>
    <w:rsid w:val="009E0EA3"/>
    <w:rsid w:val="009E1166"/>
    <w:rsid w:val="009E1280"/>
    <w:rsid w:val="009E184F"/>
    <w:rsid w:val="009E19DD"/>
    <w:rsid w:val="009E1D7E"/>
    <w:rsid w:val="009E259D"/>
    <w:rsid w:val="009E2655"/>
    <w:rsid w:val="009E285F"/>
    <w:rsid w:val="009E29DB"/>
    <w:rsid w:val="009E2BA5"/>
    <w:rsid w:val="009E301A"/>
    <w:rsid w:val="009E3B76"/>
    <w:rsid w:val="009E3F99"/>
    <w:rsid w:val="009E4396"/>
    <w:rsid w:val="009E4527"/>
    <w:rsid w:val="009E55AA"/>
    <w:rsid w:val="009E5A8D"/>
    <w:rsid w:val="009E5B55"/>
    <w:rsid w:val="009E5C00"/>
    <w:rsid w:val="009E5C08"/>
    <w:rsid w:val="009E6BBA"/>
    <w:rsid w:val="009E75FD"/>
    <w:rsid w:val="009E764C"/>
    <w:rsid w:val="009E7949"/>
    <w:rsid w:val="009E7C6E"/>
    <w:rsid w:val="009F0243"/>
    <w:rsid w:val="009F03AB"/>
    <w:rsid w:val="009F0A3F"/>
    <w:rsid w:val="009F1295"/>
    <w:rsid w:val="009F12A1"/>
    <w:rsid w:val="009F1837"/>
    <w:rsid w:val="009F195A"/>
    <w:rsid w:val="009F1C97"/>
    <w:rsid w:val="009F1DC2"/>
    <w:rsid w:val="009F2838"/>
    <w:rsid w:val="009F3573"/>
    <w:rsid w:val="009F3723"/>
    <w:rsid w:val="009F3C72"/>
    <w:rsid w:val="009F40A1"/>
    <w:rsid w:val="009F42B5"/>
    <w:rsid w:val="009F45B4"/>
    <w:rsid w:val="009F4C08"/>
    <w:rsid w:val="009F5500"/>
    <w:rsid w:val="009F5B97"/>
    <w:rsid w:val="009F65C6"/>
    <w:rsid w:val="009F6A68"/>
    <w:rsid w:val="009F6FF2"/>
    <w:rsid w:val="009F77AA"/>
    <w:rsid w:val="009F7BC0"/>
    <w:rsid w:val="009F7D74"/>
    <w:rsid w:val="00A001D0"/>
    <w:rsid w:val="00A003B6"/>
    <w:rsid w:val="00A004AC"/>
    <w:rsid w:val="00A0085B"/>
    <w:rsid w:val="00A008AF"/>
    <w:rsid w:val="00A008B7"/>
    <w:rsid w:val="00A00F56"/>
    <w:rsid w:val="00A0159D"/>
    <w:rsid w:val="00A01B50"/>
    <w:rsid w:val="00A01B86"/>
    <w:rsid w:val="00A01BB9"/>
    <w:rsid w:val="00A01BD9"/>
    <w:rsid w:val="00A02073"/>
    <w:rsid w:val="00A02E1B"/>
    <w:rsid w:val="00A034A0"/>
    <w:rsid w:val="00A036B6"/>
    <w:rsid w:val="00A03B5E"/>
    <w:rsid w:val="00A04159"/>
    <w:rsid w:val="00A0433F"/>
    <w:rsid w:val="00A0439E"/>
    <w:rsid w:val="00A04793"/>
    <w:rsid w:val="00A04A01"/>
    <w:rsid w:val="00A04E83"/>
    <w:rsid w:val="00A04F8B"/>
    <w:rsid w:val="00A052E0"/>
    <w:rsid w:val="00A053BF"/>
    <w:rsid w:val="00A055DC"/>
    <w:rsid w:val="00A06274"/>
    <w:rsid w:val="00A06614"/>
    <w:rsid w:val="00A06BB1"/>
    <w:rsid w:val="00A06EB4"/>
    <w:rsid w:val="00A07103"/>
    <w:rsid w:val="00A0716A"/>
    <w:rsid w:val="00A100A4"/>
    <w:rsid w:val="00A10395"/>
    <w:rsid w:val="00A10A04"/>
    <w:rsid w:val="00A10DDE"/>
    <w:rsid w:val="00A11145"/>
    <w:rsid w:val="00A11609"/>
    <w:rsid w:val="00A11A9C"/>
    <w:rsid w:val="00A11D92"/>
    <w:rsid w:val="00A11DCF"/>
    <w:rsid w:val="00A12490"/>
    <w:rsid w:val="00A1326D"/>
    <w:rsid w:val="00A1340F"/>
    <w:rsid w:val="00A13697"/>
    <w:rsid w:val="00A137FF"/>
    <w:rsid w:val="00A141F2"/>
    <w:rsid w:val="00A1435A"/>
    <w:rsid w:val="00A145B7"/>
    <w:rsid w:val="00A14710"/>
    <w:rsid w:val="00A149A4"/>
    <w:rsid w:val="00A14E98"/>
    <w:rsid w:val="00A14EAC"/>
    <w:rsid w:val="00A14EF2"/>
    <w:rsid w:val="00A15448"/>
    <w:rsid w:val="00A154DB"/>
    <w:rsid w:val="00A1564E"/>
    <w:rsid w:val="00A15DDF"/>
    <w:rsid w:val="00A15E0B"/>
    <w:rsid w:val="00A16870"/>
    <w:rsid w:val="00A16967"/>
    <w:rsid w:val="00A16BD4"/>
    <w:rsid w:val="00A16D87"/>
    <w:rsid w:val="00A16DCF"/>
    <w:rsid w:val="00A16EA0"/>
    <w:rsid w:val="00A172E4"/>
    <w:rsid w:val="00A17349"/>
    <w:rsid w:val="00A17350"/>
    <w:rsid w:val="00A17AC5"/>
    <w:rsid w:val="00A2038F"/>
    <w:rsid w:val="00A205E0"/>
    <w:rsid w:val="00A20691"/>
    <w:rsid w:val="00A207F1"/>
    <w:rsid w:val="00A21163"/>
    <w:rsid w:val="00A21BD9"/>
    <w:rsid w:val="00A21F3E"/>
    <w:rsid w:val="00A2242D"/>
    <w:rsid w:val="00A227EC"/>
    <w:rsid w:val="00A23935"/>
    <w:rsid w:val="00A2394B"/>
    <w:rsid w:val="00A23BFC"/>
    <w:rsid w:val="00A23C5E"/>
    <w:rsid w:val="00A24271"/>
    <w:rsid w:val="00A24C5E"/>
    <w:rsid w:val="00A24E7B"/>
    <w:rsid w:val="00A24F73"/>
    <w:rsid w:val="00A25633"/>
    <w:rsid w:val="00A25F2B"/>
    <w:rsid w:val="00A25F41"/>
    <w:rsid w:val="00A275E5"/>
    <w:rsid w:val="00A30192"/>
    <w:rsid w:val="00A30232"/>
    <w:rsid w:val="00A303E6"/>
    <w:rsid w:val="00A30BA2"/>
    <w:rsid w:val="00A31328"/>
    <w:rsid w:val="00A3150B"/>
    <w:rsid w:val="00A31B4E"/>
    <w:rsid w:val="00A32422"/>
    <w:rsid w:val="00A32698"/>
    <w:rsid w:val="00A329FF"/>
    <w:rsid w:val="00A33010"/>
    <w:rsid w:val="00A336DD"/>
    <w:rsid w:val="00A3396B"/>
    <w:rsid w:val="00A33A3D"/>
    <w:rsid w:val="00A33B6D"/>
    <w:rsid w:val="00A3482F"/>
    <w:rsid w:val="00A34DCE"/>
    <w:rsid w:val="00A35364"/>
    <w:rsid w:val="00A354D1"/>
    <w:rsid w:val="00A357E0"/>
    <w:rsid w:val="00A35D4F"/>
    <w:rsid w:val="00A368B4"/>
    <w:rsid w:val="00A369A5"/>
    <w:rsid w:val="00A37707"/>
    <w:rsid w:val="00A37C91"/>
    <w:rsid w:val="00A37DE9"/>
    <w:rsid w:val="00A37E3F"/>
    <w:rsid w:val="00A4043E"/>
    <w:rsid w:val="00A40523"/>
    <w:rsid w:val="00A41C90"/>
    <w:rsid w:val="00A422D0"/>
    <w:rsid w:val="00A431D9"/>
    <w:rsid w:val="00A43332"/>
    <w:rsid w:val="00A4343F"/>
    <w:rsid w:val="00A43748"/>
    <w:rsid w:val="00A444A7"/>
    <w:rsid w:val="00A44B0F"/>
    <w:rsid w:val="00A44BA1"/>
    <w:rsid w:val="00A45129"/>
    <w:rsid w:val="00A45828"/>
    <w:rsid w:val="00A45AD7"/>
    <w:rsid w:val="00A4642F"/>
    <w:rsid w:val="00A469EE"/>
    <w:rsid w:val="00A46B6D"/>
    <w:rsid w:val="00A46E45"/>
    <w:rsid w:val="00A47328"/>
    <w:rsid w:val="00A47334"/>
    <w:rsid w:val="00A47D8E"/>
    <w:rsid w:val="00A47EBE"/>
    <w:rsid w:val="00A50A09"/>
    <w:rsid w:val="00A50E2A"/>
    <w:rsid w:val="00A51282"/>
    <w:rsid w:val="00A513D8"/>
    <w:rsid w:val="00A51E21"/>
    <w:rsid w:val="00A522CB"/>
    <w:rsid w:val="00A52854"/>
    <w:rsid w:val="00A52F11"/>
    <w:rsid w:val="00A53210"/>
    <w:rsid w:val="00A53321"/>
    <w:rsid w:val="00A53795"/>
    <w:rsid w:val="00A5420C"/>
    <w:rsid w:val="00A5444C"/>
    <w:rsid w:val="00A55518"/>
    <w:rsid w:val="00A55BC0"/>
    <w:rsid w:val="00A55C36"/>
    <w:rsid w:val="00A55EB8"/>
    <w:rsid w:val="00A569D0"/>
    <w:rsid w:val="00A56F3B"/>
    <w:rsid w:val="00A57780"/>
    <w:rsid w:val="00A57A11"/>
    <w:rsid w:val="00A57DC4"/>
    <w:rsid w:val="00A60233"/>
    <w:rsid w:val="00A60541"/>
    <w:rsid w:val="00A605B1"/>
    <w:rsid w:val="00A60B28"/>
    <w:rsid w:val="00A60CB2"/>
    <w:rsid w:val="00A61151"/>
    <w:rsid w:val="00A6178F"/>
    <w:rsid w:val="00A619C4"/>
    <w:rsid w:val="00A61AC3"/>
    <w:rsid w:val="00A623C9"/>
    <w:rsid w:val="00A62836"/>
    <w:rsid w:val="00A62841"/>
    <w:rsid w:val="00A62870"/>
    <w:rsid w:val="00A6296B"/>
    <w:rsid w:val="00A630A2"/>
    <w:rsid w:val="00A63A50"/>
    <w:rsid w:val="00A643E3"/>
    <w:rsid w:val="00A644BE"/>
    <w:rsid w:val="00A654B2"/>
    <w:rsid w:val="00A65DAD"/>
    <w:rsid w:val="00A66978"/>
    <w:rsid w:val="00A66E27"/>
    <w:rsid w:val="00A67969"/>
    <w:rsid w:val="00A67D5B"/>
    <w:rsid w:val="00A70363"/>
    <w:rsid w:val="00A70F17"/>
    <w:rsid w:val="00A7241F"/>
    <w:rsid w:val="00A728A6"/>
    <w:rsid w:val="00A72D83"/>
    <w:rsid w:val="00A73407"/>
    <w:rsid w:val="00A73AF2"/>
    <w:rsid w:val="00A74834"/>
    <w:rsid w:val="00A74CF3"/>
    <w:rsid w:val="00A75631"/>
    <w:rsid w:val="00A75B56"/>
    <w:rsid w:val="00A75BAD"/>
    <w:rsid w:val="00A75D44"/>
    <w:rsid w:val="00A76269"/>
    <w:rsid w:val="00A76438"/>
    <w:rsid w:val="00A76876"/>
    <w:rsid w:val="00A76D80"/>
    <w:rsid w:val="00A76D8A"/>
    <w:rsid w:val="00A76DD2"/>
    <w:rsid w:val="00A771FF"/>
    <w:rsid w:val="00A77337"/>
    <w:rsid w:val="00A77C7E"/>
    <w:rsid w:val="00A80E98"/>
    <w:rsid w:val="00A8174C"/>
    <w:rsid w:val="00A81819"/>
    <w:rsid w:val="00A8197A"/>
    <w:rsid w:val="00A81CEF"/>
    <w:rsid w:val="00A81DC1"/>
    <w:rsid w:val="00A81E68"/>
    <w:rsid w:val="00A82110"/>
    <w:rsid w:val="00A830C5"/>
    <w:rsid w:val="00A83B5C"/>
    <w:rsid w:val="00A83EAF"/>
    <w:rsid w:val="00A842A9"/>
    <w:rsid w:val="00A84381"/>
    <w:rsid w:val="00A8460B"/>
    <w:rsid w:val="00A84E07"/>
    <w:rsid w:val="00A84E61"/>
    <w:rsid w:val="00A84E85"/>
    <w:rsid w:val="00A85220"/>
    <w:rsid w:val="00A8555C"/>
    <w:rsid w:val="00A856BB"/>
    <w:rsid w:val="00A8580C"/>
    <w:rsid w:val="00A859AA"/>
    <w:rsid w:val="00A85F97"/>
    <w:rsid w:val="00A86211"/>
    <w:rsid w:val="00A87D33"/>
    <w:rsid w:val="00A90773"/>
    <w:rsid w:val="00A91218"/>
    <w:rsid w:val="00A916E1"/>
    <w:rsid w:val="00A91E46"/>
    <w:rsid w:val="00A92257"/>
    <w:rsid w:val="00A9280C"/>
    <w:rsid w:val="00A92CE4"/>
    <w:rsid w:val="00A934C8"/>
    <w:rsid w:val="00A9392F"/>
    <w:rsid w:val="00A93AB8"/>
    <w:rsid w:val="00A9427E"/>
    <w:rsid w:val="00A9464A"/>
    <w:rsid w:val="00A94A26"/>
    <w:rsid w:val="00A94E9F"/>
    <w:rsid w:val="00A95792"/>
    <w:rsid w:val="00A95B91"/>
    <w:rsid w:val="00A95F39"/>
    <w:rsid w:val="00A96542"/>
    <w:rsid w:val="00A9655C"/>
    <w:rsid w:val="00A965BF"/>
    <w:rsid w:val="00A96E15"/>
    <w:rsid w:val="00A976F0"/>
    <w:rsid w:val="00AA0C52"/>
    <w:rsid w:val="00AA0D46"/>
    <w:rsid w:val="00AA11FC"/>
    <w:rsid w:val="00AA12CE"/>
    <w:rsid w:val="00AA1764"/>
    <w:rsid w:val="00AA177E"/>
    <w:rsid w:val="00AA1A27"/>
    <w:rsid w:val="00AA1B13"/>
    <w:rsid w:val="00AA1FAE"/>
    <w:rsid w:val="00AA23CC"/>
    <w:rsid w:val="00AA248F"/>
    <w:rsid w:val="00AA2797"/>
    <w:rsid w:val="00AA2946"/>
    <w:rsid w:val="00AA2FA1"/>
    <w:rsid w:val="00AA31C5"/>
    <w:rsid w:val="00AA3850"/>
    <w:rsid w:val="00AA3D7E"/>
    <w:rsid w:val="00AA426D"/>
    <w:rsid w:val="00AA4B44"/>
    <w:rsid w:val="00AA4C99"/>
    <w:rsid w:val="00AA4D95"/>
    <w:rsid w:val="00AA506E"/>
    <w:rsid w:val="00AA534C"/>
    <w:rsid w:val="00AA59CC"/>
    <w:rsid w:val="00AA5DC2"/>
    <w:rsid w:val="00AA5E7F"/>
    <w:rsid w:val="00AA6215"/>
    <w:rsid w:val="00AA6230"/>
    <w:rsid w:val="00AA628B"/>
    <w:rsid w:val="00AA67AF"/>
    <w:rsid w:val="00AA688D"/>
    <w:rsid w:val="00AA768C"/>
    <w:rsid w:val="00AA7854"/>
    <w:rsid w:val="00AA7859"/>
    <w:rsid w:val="00AB0108"/>
    <w:rsid w:val="00AB1290"/>
    <w:rsid w:val="00AB12DB"/>
    <w:rsid w:val="00AB1C40"/>
    <w:rsid w:val="00AB2192"/>
    <w:rsid w:val="00AB25F1"/>
    <w:rsid w:val="00AB3248"/>
    <w:rsid w:val="00AB3B1D"/>
    <w:rsid w:val="00AB4FEE"/>
    <w:rsid w:val="00AB5885"/>
    <w:rsid w:val="00AB59A8"/>
    <w:rsid w:val="00AB5B2E"/>
    <w:rsid w:val="00AB5E2E"/>
    <w:rsid w:val="00AB60D1"/>
    <w:rsid w:val="00AB6709"/>
    <w:rsid w:val="00AB6CD0"/>
    <w:rsid w:val="00AB7194"/>
    <w:rsid w:val="00AB7BC3"/>
    <w:rsid w:val="00AB7F7B"/>
    <w:rsid w:val="00AC04ED"/>
    <w:rsid w:val="00AC061B"/>
    <w:rsid w:val="00AC102B"/>
    <w:rsid w:val="00AC1A0C"/>
    <w:rsid w:val="00AC1D78"/>
    <w:rsid w:val="00AC2096"/>
    <w:rsid w:val="00AC2554"/>
    <w:rsid w:val="00AC2742"/>
    <w:rsid w:val="00AC2BBF"/>
    <w:rsid w:val="00AC34D3"/>
    <w:rsid w:val="00AC376D"/>
    <w:rsid w:val="00AC3BEE"/>
    <w:rsid w:val="00AC4152"/>
    <w:rsid w:val="00AC422D"/>
    <w:rsid w:val="00AC4AA1"/>
    <w:rsid w:val="00AC4CCE"/>
    <w:rsid w:val="00AC4D16"/>
    <w:rsid w:val="00AC52F5"/>
    <w:rsid w:val="00AC5648"/>
    <w:rsid w:val="00AC5745"/>
    <w:rsid w:val="00AC592F"/>
    <w:rsid w:val="00AC5EE4"/>
    <w:rsid w:val="00AC5F13"/>
    <w:rsid w:val="00AC66FA"/>
    <w:rsid w:val="00AC6B87"/>
    <w:rsid w:val="00AC6BFE"/>
    <w:rsid w:val="00AC7170"/>
    <w:rsid w:val="00AC720F"/>
    <w:rsid w:val="00AC7756"/>
    <w:rsid w:val="00AC77AE"/>
    <w:rsid w:val="00AC7C62"/>
    <w:rsid w:val="00AC7DDA"/>
    <w:rsid w:val="00AD007C"/>
    <w:rsid w:val="00AD0681"/>
    <w:rsid w:val="00AD0F01"/>
    <w:rsid w:val="00AD185A"/>
    <w:rsid w:val="00AD286A"/>
    <w:rsid w:val="00AD2C9E"/>
    <w:rsid w:val="00AD3025"/>
    <w:rsid w:val="00AD307F"/>
    <w:rsid w:val="00AD3EDA"/>
    <w:rsid w:val="00AD4404"/>
    <w:rsid w:val="00AD4766"/>
    <w:rsid w:val="00AD4CF1"/>
    <w:rsid w:val="00AD4FE5"/>
    <w:rsid w:val="00AD5155"/>
    <w:rsid w:val="00AD53B3"/>
    <w:rsid w:val="00AD571E"/>
    <w:rsid w:val="00AD5841"/>
    <w:rsid w:val="00AD58E7"/>
    <w:rsid w:val="00AD5BE2"/>
    <w:rsid w:val="00AD612E"/>
    <w:rsid w:val="00AD6FCD"/>
    <w:rsid w:val="00AD717D"/>
    <w:rsid w:val="00AD7A40"/>
    <w:rsid w:val="00AD7C72"/>
    <w:rsid w:val="00AD7CA1"/>
    <w:rsid w:val="00AE0497"/>
    <w:rsid w:val="00AE09BB"/>
    <w:rsid w:val="00AE120B"/>
    <w:rsid w:val="00AE1FC8"/>
    <w:rsid w:val="00AE208D"/>
    <w:rsid w:val="00AE25A8"/>
    <w:rsid w:val="00AE2BC4"/>
    <w:rsid w:val="00AE34A6"/>
    <w:rsid w:val="00AE3564"/>
    <w:rsid w:val="00AE3678"/>
    <w:rsid w:val="00AE3700"/>
    <w:rsid w:val="00AE3BC1"/>
    <w:rsid w:val="00AE4073"/>
    <w:rsid w:val="00AE44A7"/>
    <w:rsid w:val="00AE4659"/>
    <w:rsid w:val="00AE4860"/>
    <w:rsid w:val="00AE4C28"/>
    <w:rsid w:val="00AE54AF"/>
    <w:rsid w:val="00AE5C87"/>
    <w:rsid w:val="00AE5C9F"/>
    <w:rsid w:val="00AE5D55"/>
    <w:rsid w:val="00AE6668"/>
    <w:rsid w:val="00AE6734"/>
    <w:rsid w:val="00AE6DB1"/>
    <w:rsid w:val="00AF05A2"/>
    <w:rsid w:val="00AF06AE"/>
    <w:rsid w:val="00AF0895"/>
    <w:rsid w:val="00AF08F1"/>
    <w:rsid w:val="00AF0939"/>
    <w:rsid w:val="00AF0A73"/>
    <w:rsid w:val="00AF0B18"/>
    <w:rsid w:val="00AF0C81"/>
    <w:rsid w:val="00AF1145"/>
    <w:rsid w:val="00AF14F2"/>
    <w:rsid w:val="00AF1B62"/>
    <w:rsid w:val="00AF2434"/>
    <w:rsid w:val="00AF28B1"/>
    <w:rsid w:val="00AF31F4"/>
    <w:rsid w:val="00AF372E"/>
    <w:rsid w:val="00AF3F59"/>
    <w:rsid w:val="00AF49D0"/>
    <w:rsid w:val="00AF4B6A"/>
    <w:rsid w:val="00AF4ED0"/>
    <w:rsid w:val="00AF57D4"/>
    <w:rsid w:val="00AF5931"/>
    <w:rsid w:val="00AF5DA6"/>
    <w:rsid w:val="00AF60E2"/>
    <w:rsid w:val="00AF6D0F"/>
    <w:rsid w:val="00AF747D"/>
    <w:rsid w:val="00AF7A0F"/>
    <w:rsid w:val="00AF7DED"/>
    <w:rsid w:val="00AF7F73"/>
    <w:rsid w:val="00B00898"/>
    <w:rsid w:val="00B00C81"/>
    <w:rsid w:val="00B00C97"/>
    <w:rsid w:val="00B00CE8"/>
    <w:rsid w:val="00B0119C"/>
    <w:rsid w:val="00B016C7"/>
    <w:rsid w:val="00B018A5"/>
    <w:rsid w:val="00B0209C"/>
    <w:rsid w:val="00B0229B"/>
    <w:rsid w:val="00B02532"/>
    <w:rsid w:val="00B02C2C"/>
    <w:rsid w:val="00B02F4A"/>
    <w:rsid w:val="00B03179"/>
    <w:rsid w:val="00B04C41"/>
    <w:rsid w:val="00B0505D"/>
    <w:rsid w:val="00B05231"/>
    <w:rsid w:val="00B05DA3"/>
    <w:rsid w:val="00B06BE4"/>
    <w:rsid w:val="00B07022"/>
    <w:rsid w:val="00B070EB"/>
    <w:rsid w:val="00B07267"/>
    <w:rsid w:val="00B075D4"/>
    <w:rsid w:val="00B0761B"/>
    <w:rsid w:val="00B0788C"/>
    <w:rsid w:val="00B07C00"/>
    <w:rsid w:val="00B10096"/>
    <w:rsid w:val="00B10255"/>
    <w:rsid w:val="00B10443"/>
    <w:rsid w:val="00B10FDC"/>
    <w:rsid w:val="00B1173E"/>
    <w:rsid w:val="00B11E6D"/>
    <w:rsid w:val="00B122B8"/>
    <w:rsid w:val="00B122D8"/>
    <w:rsid w:val="00B12D93"/>
    <w:rsid w:val="00B1301D"/>
    <w:rsid w:val="00B1391A"/>
    <w:rsid w:val="00B14693"/>
    <w:rsid w:val="00B146D0"/>
    <w:rsid w:val="00B14F67"/>
    <w:rsid w:val="00B15321"/>
    <w:rsid w:val="00B163D6"/>
    <w:rsid w:val="00B16531"/>
    <w:rsid w:val="00B16648"/>
    <w:rsid w:val="00B1725A"/>
    <w:rsid w:val="00B1770E"/>
    <w:rsid w:val="00B1772A"/>
    <w:rsid w:val="00B17AB5"/>
    <w:rsid w:val="00B17B26"/>
    <w:rsid w:val="00B17B83"/>
    <w:rsid w:val="00B17C63"/>
    <w:rsid w:val="00B20045"/>
    <w:rsid w:val="00B20222"/>
    <w:rsid w:val="00B206D8"/>
    <w:rsid w:val="00B20DB1"/>
    <w:rsid w:val="00B21189"/>
    <w:rsid w:val="00B21537"/>
    <w:rsid w:val="00B21AE5"/>
    <w:rsid w:val="00B22E34"/>
    <w:rsid w:val="00B2311D"/>
    <w:rsid w:val="00B23281"/>
    <w:rsid w:val="00B23707"/>
    <w:rsid w:val="00B2409C"/>
    <w:rsid w:val="00B244D1"/>
    <w:rsid w:val="00B2457E"/>
    <w:rsid w:val="00B24AE8"/>
    <w:rsid w:val="00B24FF0"/>
    <w:rsid w:val="00B25D22"/>
    <w:rsid w:val="00B2625E"/>
    <w:rsid w:val="00B262D8"/>
    <w:rsid w:val="00B26465"/>
    <w:rsid w:val="00B269AF"/>
    <w:rsid w:val="00B26CDD"/>
    <w:rsid w:val="00B26CF2"/>
    <w:rsid w:val="00B27482"/>
    <w:rsid w:val="00B275E7"/>
    <w:rsid w:val="00B27638"/>
    <w:rsid w:val="00B27E02"/>
    <w:rsid w:val="00B27F95"/>
    <w:rsid w:val="00B30090"/>
    <w:rsid w:val="00B30929"/>
    <w:rsid w:val="00B30B91"/>
    <w:rsid w:val="00B3112C"/>
    <w:rsid w:val="00B31502"/>
    <w:rsid w:val="00B315CE"/>
    <w:rsid w:val="00B3272D"/>
    <w:rsid w:val="00B32EAB"/>
    <w:rsid w:val="00B33088"/>
    <w:rsid w:val="00B33619"/>
    <w:rsid w:val="00B34394"/>
    <w:rsid w:val="00B343F0"/>
    <w:rsid w:val="00B345EA"/>
    <w:rsid w:val="00B34C05"/>
    <w:rsid w:val="00B35924"/>
    <w:rsid w:val="00B362F7"/>
    <w:rsid w:val="00B364BB"/>
    <w:rsid w:val="00B37713"/>
    <w:rsid w:val="00B378E4"/>
    <w:rsid w:val="00B4057A"/>
    <w:rsid w:val="00B40B29"/>
    <w:rsid w:val="00B41490"/>
    <w:rsid w:val="00B41802"/>
    <w:rsid w:val="00B4189D"/>
    <w:rsid w:val="00B41D3E"/>
    <w:rsid w:val="00B42F65"/>
    <w:rsid w:val="00B43963"/>
    <w:rsid w:val="00B43BE4"/>
    <w:rsid w:val="00B43D33"/>
    <w:rsid w:val="00B43DC2"/>
    <w:rsid w:val="00B43E38"/>
    <w:rsid w:val="00B442CF"/>
    <w:rsid w:val="00B44398"/>
    <w:rsid w:val="00B44E72"/>
    <w:rsid w:val="00B4537D"/>
    <w:rsid w:val="00B45436"/>
    <w:rsid w:val="00B46109"/>
    <w:rsid w:val="00B46B01"/>
    <w:rsid w:val="00B46F7D"/>
    <w:rsid w:val="00B47094"/>
    <w:rsid w:val="00B471C2"/>
    <w:rsid w:val="00B47264"/>
    <w:rsid w:val="00B47674"/>
    <w:rsid w:val="00B4783F"/>
    <w:rsid w:val="00B47BF4"/>
    <w:rsid w:val="00B47E89"/>
    <w:rsid w:val="00B47F42"/>
    <w:rsid w:val="00B50086"/>
    <w:rsid w:val="00B51304"/>
    <w:rsid w:val="00B517DD"/>
    <w:rsid w:val="00B51AB2"/>
    <w:rsid w:val="00B5256E"/>
    <w:rsid w:val="00B52A1A"/>
    <w:rsid w:val="00B52FE4"/>
    <w:rsid w:val="00B53015"/>
    <w:rsid w:val="00B53809"/>
    <w:rsid w:val="00B538B3"/>
    <w:rsid w:val="00B53E1A"/>
    <w:rsid w:val="00B53FD9"/>
    <w:rsid w:val="00B546BD"/>
    <w:rsid w:val="00B5485F"/>
    <w:rsid w:val="00B54E7F"/>
    <w:rsid w:val="00B54EDE"/>
    <w:rsid w:val="00B54FBE"/>
    <w:rsid w:val="00B55394"/>
    <w:rsid w:val="00B55C57"/>
    <w:rsid w:val="00B5660A"/>
    <w:rsid w:val="00B56905"/>
    <w:rsid w:val="00B56C29"/>
    <w:rsid w:val="00B570F1"/>
    <w:rsid w:val="00B576D1"/>
    <w:rsid w:val="00B57C42"/>
    <w:rsid w:val="00B60126"/>
    <w:rsid w:val="00B6081F"/>
    <w:rsid w:val="00B6095C"/>
    <w:rsid w:val="00B612E5"/>
    <w:rsid w:val="00B620D6"/>
    <w:rsid w:val="00B630AC"/>
    <w:rsid w:val="00B63A4F"/>
    <w:rsid w:val="00B63AE8"/>
    <w:rsid w:val="00B6485D"/>
    <w:rsid w:val="00B64E9E"/>
    <w:rsid w:val="00B65295"/>
    <w:rsid w:val="00B6529A"/>
    <w:rsid w:val="00B6597D"/>
    <w:rsid w:val="00B65A8D"/>
    <w:rsid w:val="00B65CC3"/>
    <w:rsid w:val="00B65E15"/>
    <w:rsid w:val="00B65FFA"/>
    <w:rsid w:val="00B6636E"/>
    <w:rsid w:val="00B6661E"/>
    <w:rsid w:val="00B66648"/>
    <w:rsid w:val="00B6676B"/>
    <w:rsid w:val="00B66A67"/>
    <w:rsid w:val="00B677A2"/>
    <w:rsid w:val="00B70069"/>
    <w:rsid w:val="00B705F9"/>
    <w:rsid w:val="00B706AA"/>
    <w:rsid w:val="00B70D03"/>
    <w:rsid w:val="00B71378"/>
    <w:rsid w:val="00B71457"/>
    <w:rsid w:val="00B7157A"/>
    <w:rsid w:val="00B71C3B"/>
    <w:rsid w:val="00B71C3F"/>
    <w:rsid w:val="00B71C43"/>
    <w:rsid w:val="00B71EFB"/>
    <w:rsid w:val="00B728E6"/>
    <w:rsid w:val="00B729B8"/>
    <w:rsid w:val="00B72A7E"/>
    <w:rsid w:val="00B72B5E"/>
    <w:rsid w:val="00B7304A"/>
    <w:rsid w:val="00B734FD"/>
    <w:rsid w:val="00B73837"/>
    <w:rsid w:val="00B74D14"/>
    <w:rsid w:val="00B75539"/>
    <w:rsid w:val="00B76AA6"/>
    <w:rsid w:val="00B76CAD"/>
    <w:rsid w:val="00B771BB"/>
    <w:rsid w:val="00B772EC"/>
    <w:rsid w:val="00B7772E"/>
    <w:rsid w:val="00B77AF6"/>
    <w:rsid w:val="00B77BCF"/>
    <w:rsid w:val="00B8007F"/>
    <w:rsid w:val="00B804E4"/>
    <w:rsid w:val="00B806BB"/>
    <w:rsid w:val="00B811B6"/>
    <w:rsid w:val="00B81FA5"/>
    <w:rsid w:val="00B8310E"/>
    <w:rsid w:val="00B83635"/>
    <w:rsid w:val="00B836DD"/>
    <w:rsid w:val="00B84024"/>
    <w:rsid w:val="00B852F3"/>
    <w:rsid w:val="00B85991"/>
    <w:rsid w:val="00B85D0C"/>
    <w:rsid w:val="00B86677"/>
    <w:rsid w:val="00B87357"/>
    <w:rsid w:val="00B87B6F"/>
    <w:rsid w:val="00B90DDA"/>
    <w:rsid w:val="00B90E1C"/>
    <w:rsid w:val="00B9161F"/>
    <w:rsid w:val="00B9208A"/>
    <w:rsid w:val="00B92116"/>
    <w:rsid w:val="00B9243B"/>
    <w:rsid w:val="00B92E94"/>
    <w:rsid w:val="00B9310C"/>
    <w:rsid w:val="00B934AE"/>
    <w:rsid w:val="00B9408F"/>
    <w:rsid w:val="00B94152"/>
    <w:rsid w:val="00B94435"/>
    <w:rsid w:val="00B94540"/>
    <w:rsid w:val="00B945D9"/>
    <w:rsid w:val="00B95797"/>
    <w:rsid w:val="00B95915"/>
    <w:rsid w:val="00B95A52"/>
    <w:rsid w:val="00B95A62"/>
    <w:rsid w:val="00B95B69"/>
    <w:rsid w:val="00B95CD9"/>
    <w:rsid w:val="00B95DF9"/>
    <w:rsid w:val="00B968E1"/>
    <w:rsid w:val="00B97193"/>
    <w:rsid w:val="00B971D6"/>
    <w:rsid w:val="00B97219"/>
    <w:rsid w:val="00B97611"/>
    <w:rsid w:val="00B97BF2"/>
    <w:rsid w:val="00B97ED5"/>
    <w:rsid w:val="00BA0ADD"/>
    <w:rsid w:val="00BA0C76"/>
    <w:rsid w:val="00BA1625"/>
    <w:rsid w:val="00BA224E"/>
    <w:rsid w:val="00BA2D62"/>
    <w:rsid w:val="00BA37B7"/>
    <w:rsid w:val="00BA3B70"/>
    <w:rsid w:val="00BA3ED1"/>
    <w:rsid w:val="00BA4154"/>
    <w:rsid w:val="00BA4709"/>
    <w:rsid w:val="00BA4A8C"/>
    <w:rsid w:val="00BA5854"/>
    <w:rsid w:val="00BA5A27"/>
    <w:rsid w:val="00BA6014"/>
    <w:rsid w:val="00BA61ED"/>
    <w:rsid w:val="00BA63CD"/>
    <w:rsid w:val="00BA67EE"/>
    <w:rsid w:val="00BA6822"/>
    <w:rsid w:val="00BA68B8"/>
    <w:rsid w:val="00BA6A7B"/>
    <w:rsid w:val="00BA6B89"/>
    <w:rsid w:val="00BA70CD"/>
    <w:rsid w:val="00BA7833"/>
    <w:rsid w:val="00BA7ADF"/>
    <w:rsid w:val="00BA7B62"/>
    <w:rsid w:val="00BA7F07"/>
    <w:rsid w:val="00BB014B"/>
    <w:rsid w:val="00BB0200"/>
    <w:rsid w:val="00BB0A06"/>
    <w:rsid w:val="00BB1A8F"/>
    <w:rsid w:val="00BB2214"/>
    <w:rsid w:val="00BB2863"/>
    <w:rsid w:val="00BB29E2"/>
    <w:rsid w:val="00BB2C21"/>
    <w:rsid w:val="00BB2F57"/>
    <w:rsid w:val="00BB31FA"/>
    <w:rsid w:val="00BB362D"/>
    <w:rsid w:val="00BB38D2"/>
    <w:rsid w:val="00BB3C6D"/>
    <w:rsid w:val="00BB3D34"/>
    <w:rsid w:val="00BB45FA"/>
    <w:rsid w:val="00BB4A27"/>
    <w:rsid w:val="00BB4A3D"/>
    <w:rsid w:val="00BB5646"/>
    <w:rsid w:val="00BB5802"/>
    <w:rsid w:val="00BB593B"/>
    <w:rsid w:val="00BB5BC9"/>
    <w:rsid w:val="00BB64FA"/>
    <w:rsid w:val="00BB6670"/>
    <w:rsid w:val="00BB6985"/>
    <w:rsid w:val="00BB6E12"/>
    <w:rsid w:val="00BB752B"/>
    <w:rsid w:val="00BB780A"/>
    <w:rsid w:val="00BB7CF9"/>
    <w:rsid w:val="00BC007B"/>
    <w:rsid w:val="00BC06B4"/>
    <w:rsid w:val="00BC07BC"/>
    <w:rsid w:val="00BC0E7F"/>
    <w:rsid w:val="00BC123E"/>
    <w:rsid w:val="00BC1ACB"/>
    <w:rsid w:val="00BC1B7F"/>
    <w:rsid w:val="00BC1D61"/>
    <w:rsid w:val="00BC206B"/>
    <w:rsid w:val="00BC2129"/>
    <w:rsid w:val="00BC2E09"/>
    <w:rsid w:val="00BC30CE"/>
    <w:rsid w:val="00BC3128"/>
    <w:rsid w:val="00BC356A"/>
    <w:rsid w:val="00BC37ED"/>
    <w:rsid w:val="00BC43DE"/>
    <w:rsid w:val="00BC44FA"/>
    <w:rsid w:val="00BC4C83"/>
    <w:rsid w:val="00BC5036"/>
    <w:rsid w:val="00BC505E"/>
    <w:rsid w:val="00BC51AB"/>
    <w:rsid w:val="00BC5956"/>
    <w:rsid w:val="00BC5ADD"/>
    <w:rsid w:val="00BC6085"/>
    <w:rsid w:val="00BC6202"/>
    <w:rsid w:val="00BC6EF9"/>
    <w:rsid w:val="00BC7005"/>
    <w:rsid w:val="00BC71EA"/>
    <w:rsid w:val="00BC7410"/>
    <w:rsid w:val="00BC762B"/>
    <w:rsid w:val="00BD0025"/>
    <w:rsid w:val="00BD01B5"/>
    <w:rsid w:val="00BD0510"/>
    <w:rsid w:val="00BD06FC"/>
    <w:rsid w:val="00BD07A0"/>
    <w:rsid w:val="00BD0BC8"/>
    <w:rsid w:val="00BD18DF"/>
    <w:rsid w:val="00BD1991"/>
    <w:rsid w:val="00BD1D57"/>
    <w:rsid w:val="00BD1F56"/>
    <w:rsid w:val="00BD20FE"/>
    <w:rsid w:val="00BD2212"/>
    <w:rsid w:val="00BD2410"/>
    <w:rsid w:val="00BD2798"/>
    <w:rsid w:val="00BD2883"/>
    <w:rsid w:val="00BD2C1B"/>
    <w:rsid w:val="00BD2E63"/>
    <w:rsid w:val="00BD32ED"/>
    <w:rsid w:val="00BD3A1C"/>
    <w:rsid w:val="00BD3C21"/>
    <w:rsid w:val="00BD3CFA"/>
    <w:rsid w:val="00BD3D68"/>
    <w:rsid w:val="00BD43E4"/>
    <w:rsid w:val="00BD4402"/>
    <w:rsid w:val="00BD549E"/>
    <w:rsid w:val="00BD55DC"/>
    <w:rsid w:val="00BD55E9"/>
    <w:rsid w:val="00BD6578"/>
    <w:rsid w:val="00BD65DE"/>
    <w:rsid w:val="00BD6AA7"/>
    <w:rsid w:val="00BD6B18"/>
    <w:rsid w:val="00BD6F65"/>
    <w:rsid w:val="00BD6FE8"/>
    <w:rsid w:val="00BD7002"/>
    <w:rsid w:val="00BD742F"/>
    <w:rsid w:val="00BD7433"/>
    <w:rsid w:val="00BD79AF"/>
    <w:rsid w:val="00BD7B98"/>
    <w:rsid w:val="00BE0C96"/>
    <w:rsid w:val="00BE0CA3"/>
    <w:rsid w:val="00BE1554"/>
    <w:rsid w:val="00BE15FD"/>
    <w:rsid w:val="00BE198B"/>
    <w:rsid w:val="00BE28C3"/>
    <w:rsid w:val="00BE2A42"/>
    <w:rsid w:val="00BE2B05"/>
    <w:rsid w:val="00BE343B"/>
    <w:rsid w:val="00BE362C"/>
    <w:rsid w:val="00BE3D5E"/>
    <w:rsid w:val="00BE4007"/>
    <w:rsid w:val="00BE40F6"/>
    <w:rsid w:val="00BE4764"/>
    <w:rsid w:val="00BE4AAB"/>
    <w:rsid w:val="00BE4F2B"/>
    <w:rsid w:val="00BE53BA"/>
    <w:rsid w:val="00BE57D2"/>
    <w:rsid w:val="00BE580E"/>
    <w:rsid w:val="00BE58A5"/>
    <w:rsid w:val="00BE6426"/>
    <w:rsid w:val="00BE67A0"/>
    <w:rsid w:val="00BE6937"/>
    <w:rsid w:val="00BE738E"/>
    <w:rsid w:val="00BE7D47"/>
    <w:rsid w:val="00BE7F91"/>
    <w:rsid w:val="00BF0D26"/>
    <w:rsid w:val="00BF10B3"/>
    <w:rsid w:val="00BF130F"/>
    <w:rsid w:val="00BF16B0"/>
    <w:rsid w:val="00BF18B8"/>
    <w:rsid w:val="00BF1B87"/>
    <w:rsid w:val="00BF2384"/>
    <w:rsid w:val="00BF2621"/>
    <w:rsid w:val="00BF2629"/>
    <w:rsid w:val="00BF28D6"/>
    <w:rsid w:val="00BF3970"/>
    <w:rsid w:val="00BF3A22"/>
    <w:rsid w:val="00BF4625"/>
    <w:rsid w:val="00BF46E9"/>
    <w:rsid w:val="00BF4B54"/>
    <w:rsid w:val="00BF4E96"/>
    <w:rsid w:val="00BF524F"/>
    <w:rsid w:val="00BF5298"/>
    <w:rsid w:val="00BF5306"/>
    <w:rsid w:val="00BF5B0D"/>
    <w:rsid w:val="00BF5F91"/>
    <w:rsid w:val="00BF5FCC"/>
    <w:rsid w:val="00BF62DF"/>
    <w:rsid w:val="00BF637E"/>
    <w:rsid w:val="00BF6419"/>
    <w:rsid w:val="00BF6A7F"/>
    <w:rsid w:val="00BF6F7E"/>
    <w:rsid w:val="00BF7A7A"/>
    <w:rsid w:val="00BF7CD8"/>
    <w:rsid w:val="00BF7E20"/>
    <w:rsid w:val="00BF7E45"/>
    <w:rsid w:val="00C01209"/>
    <w:rsid w:val="00C01463"/>
    <w:rsid w:val="00C022DF"/>
    <w:rsid w:val="00C02E0F"/>
    <w:rsid w:val="00C02EC7"/>
    <w:rsid w:val="00C030B8"/>
    <w:rsid w:val="00C03105"/>
    <w:rsid w:val="00C0442F"/>
    <w:rsid w:val="00C04A50"/>
    <w:rsid w:val="00C04BAD"/>
    <w:rsid w:val="00C057F8"/>
    <w:rsid w:val="00C05D45"/>
    <w:rsid w:val="00C05D4E"/>
    <w:rsid w:val="00C06578"/>
    <w:rsid w:val="00C06A60"/>
    <w:rsid w:val="00C06C8F"/>
    <w:rsid w:val="00C074A5"/>
    <w:rsid w:val="00C07872"/>
    <w:rsid w:val="00C10401"/>
    <w:rsid w:val="00C10C51"/>
    <w:rsid w:val="00C116F3"/>
    <w:rsid w:val="00C11A1D"/>
    <w:rsid w:val="00C11F2B"/>
    <w:rsid w:val="00C1235E"/>
    <w:rsid w:val="00C12FEC"/>
    <w:rsid w:val="00C1394B"/>
    <w:rsid w:val="00C1465C"/>
    <w:rsid w:val="00C14F0C"/>
    <w:rsid w:val="00C14FE8"/>
    <w:rsid w:val="00C14FEB"/>
    <w:rsid w:val="00C15F4B"/>
    <w:rsid w:val="00C15F71"/>
    <w:rsid w:val="00C16819"/>
    <w:rsid w:val="00C16C4F"/>
    <w:rsid w:val="00C171A2"/>
    <w:rsid w:val="00C17711"/>
    <w:rsid w:val="00C17936"/>
    <w:rsid w:val="00C17CDA"/>
    <w:rsid w:val="00C2079A"/>
    <w:rsid w:val="00C208FB"/>
    <w:rsid w:val="00C20FF2"/>
    <w:rsid w:val="00C210FC"/>
    <w:rsid w:val="00C21304"/>
    <w:rsid w:val="00C21900"/>
    <w:rsid w:val="00C21C00"/>
    <w:rsid w:val="00C21E95"/>
    <w:rsid w:val="00C227D1"/>
    <w:rsid w:val="00C22C54"/>
    <w:rsid w:val="00C23161"/>
    <w:rsid w:val="00C231DC"/>
    <w:rsid w:val="00C23320"/>
    <w:rsid w:val="00C2356A"/>
    <w:rsid w:val="00C23578"/>
    <w:rsid w:val="00C23609"/>
    <w:rsid w:val="00C23855"/>
    <w:rsid w:val="00C23E3A"/>
    <w:rsid w:val="00C23E45"/>
    <w:rsid w:val="00C2423C"/>
    <w:rsid w:val="00C245D6"/>
    <w:rsid w:val="00C2475E"/>
    <w:rsid w:val="00C24881"/>
    <w:rsid w:val="00C2516B"/>
    <w:rsid w:val="00C25303"/>
    <w:rsid w:val="00C254C2"/>
    <w:rsid w:val="00C25972"/>
    <w:rsid w:val="00C25AA4"/>
    <w:rsid w:val="00C25CC2"/>
    <w:rsid w:val="00C25E99"/>
    <w:rsid w:val="00C261EC"/>
    <w:rsid w:val="00C26A73"/>
    <w:rsid w:val="00C273C2"/>
    <w:rsid w:val="00C303C1"/>
    <w:rsid w:val="00C30FBE"/>
    <w:rsid w:val="00C319F8"/>
    <w:rsid w:val="00C31B75"/>
    <w:rsid w:val="00C31E0D"/>
    <w:rsid w:val="00C31F78"/>
    <w:rsid w:val="00C32149"/>
    <w:rsid w:val="00C32364"/>
    <w:rsid w:val="00C327B0"/>
    <w:rsid w:val="00C33115"/>
    <w:rsid w:val="00C33129"/>
    <w:rsid w:val="00C331BD"/>
    <w:rsid w:val="00C334ED"/>
    <w:rsid w:val="00C33935"/>
    <w:rsid w:val="00C33971"/>
    <w:rsid w:val="00C33AFE"/>
    <w:rsid w:val="00C33CDD"/>
    <w:rsid w:val="00C33E8A"/>
    <w:rsid w:val="00C340AE"/>
    <w:rsid w:val="00C34211"/>
    <w:rsid w:val="00C346C7"/>
    <w:rsid w:val="00C35BBA"/>
    <w:rsid w:val="00C35BFF"/>
    <w:rsid w:val="00C3619C"/>
    <w:rsid w:val="00C36214"/>
    <w:rsid w:val="00C3647C"/>
    <w:rsid w:val="00C365E2"/>
    <w:rsid w:val="00C37484"/>
    <w:rsid w:val="00C3755F"/>
    <w:rsid w:val="00C37D2D"/>
    <w:rsid w:val="00C37D9E"/>
    <w:rsid w:val="00C37EA3"/>
    <w:rsid w:val="00C40285"/>
    <w:rsid w:val="00C40ED8"/>
    <w:rsid w:val="00C40FE8"/>
    <w:rsid w:val="00C41708"/>
    <w:rsid w:val="00C417F8"/>
    <w:rsid w:val="00C41C1B"/>
    <w:rsid w:val="00C41D17"/>
    <w:rsid w:val="00C41DFF"/>
    <w:rsid w:val="00C41F6C"/>
    <w:rsid w:val="00C4266B"/>
    <w:rsid w:val="00C431E5"/>
    <w:rsid w:val="00C43771"/>
    <w:rsid w:val="00C4437E"/>
    <w:rsid w:val="00C44B7C"/>
    <w:rsid w:val="00C44C9F"/>
    <w:rsid w:val="00C44DBA"/>
    <w:rsid w:val="00C45344"/>
    <w:rsid w:val="00C458F4"/>
    <w:rsid w:val="00C45AE1"/>
    <w:rsid w:val="00C45F83"/>
    <w:rsid w:val="00C45FC1"/>
    <w:rsid w:val="00C46539"/>
    <w:rsid w:val="00C467EE"/>
    <w:rsid w:val="00C46B8D"/>
    <w:rsid w:val="00C46EA7"/>
    <w:rsid w:val="00C46F77"/>
    <w:rsid w:val="00C473ED"/>
    <w:rsid w:val="00C47F43"/>
    <w:rsid w:val="00C500AD"/>
    <w:rsid w:val="00C50742"/>
    <w:rsid w:val="00C5139C"/>
    <w:rsid w:val="00C51722"/>
    <w:rsid w:val="00C51A36"/>
    <w:rsid w:val="00C51BC1"/>
    <w:rsid w:val="00C51FBD"/>
    <w:rsid w:val="00C525C1"/>
    <w:rsid w:val="00C52AB1"/>
    <w:rsid w:val="00C52B5C"/>
    <w:rsid w:val="00C52D38"/>
    <w:rsid w:val="00C52E0D"/>
    <w:rsid w:val="00C53339"/>
    <w:rsid w:val="00C53392"/>
    <w:rsid w:val="00C533BF"/>
    <w:rsid w:val="00C53424"/>
    <w:rsid w:val="00C54002"/>
    <w:rsid w:val="00C5401C"/>
    <w:rsid w:val="00C542B2"/>
    <w:rsid w:val="00C54C47"/>
    <w:rsid w:val="00C56BB9"/>
    <w:rsid w:val="00C56E24"/>
    <w:rsid w:val="00C56EAB"/>
    <w:rsid w:val="00C56F88"/>
    <w:rsid w:val="00C57B61"/>
    <w:rsid w:val="00C57D62"/>
    <w:rsid w:val="00C57D8D"/>
    <w:rsid w:val="00C60193"/>
    <w:rsid w:val="00C604ED"/>
    <w:rsid w:val="00C60688"/>
    <w:rsid w:val="00C61029"/>
    <w:rsid w:val="00C617D3"/>
    <w:rsid w:val="00C6192E"/>
    <w:rsid w:val="00C61AFC"/>
    <w:rsid w:val="00C61DA3"/>
    <w:rsid w:val="00C62E6D"/>
    <w:rsid w:val="00C637B3"/>
    <w:rsid w:val="00C6425B"/>
    <w:rsid w:val="00C642AB"/>
    <w:rsid w:val="00C64732"/>
    <w:rsid w:val="00C649A5"/>
    <w:rsid w:val="00C64D27"/>
    <w:rsid w:val="00C65671"/>
    <w:rsid w:val="00C65BBB"/>
    <w:rsid w:val="00C667AE"/>
    <w:rsid w:val="00C66A34"/>
    <w:rsid w:val="00C66A37"/>
    <w:rsid w:val="00C67991"/>
    <w:rsid w:val="00C67A14"/>
    <w:rsid w:val="00C67B0C"/>
    <w:rsid w:val="00C70CA1"/>
    <w:rsid w:val="00C71428"/>
    <w:rsid w:val="00C73385"/>
    <w:rsid w:val="00C73800"/>
    <w:rsid w:val="00C739DA"/>
    <w:rsid w:val="00C73B4C"/>
    <w:rsid w:val="00C740F5"/>
    <w:rsid w:val="00C7477C"/>
    <w:rsid w:val="00C7731A"/>
    <w:rsid w:val="00C77DED"/>
    <w:rsid w:val="00C77FC8"/>
    <w:rsid w:val="00C803FE"/>
    <w:rsid w:val="00C80A72"/>
    <w:rsid w:val="00C80BE2"/>
    <w:rsid w:val="00C80C06"/>
    <w:rsid w:val="00C80D0A"/>
    <w:rsid w:val="00C812BF"/>
    <w:rsid w:val="00C81325"/>
    <w:rsid w:val="00C8165F"/>
    <w:rsid w:val="00C8173F"/>
    <w:rsid w:val="00C81AC1"/>
    <w:rsid w:val="00C81ED1"/>
    <w:rsid w:val="00C821EA"/>
    <w:rsid w:val="00C82368"/>
    <w:rsid w:val="00C82D38"/>
    <w:rsid w:val="00C82EC6"/>
    <w:rsid w:val="00C84440"/>
    <w:rsid w:val="00C84896"/>
    <w:rsid w:val="00C850A9"/>
    <w:rsid w:val="00C85874"/>
    <w:rsid w:val="00C85D0C"/>
    <w:rsid w:val="00C85D51"/>
    <w:rsid w:val="00C86D51"/>
    <w:rsid w:val="00C86EB3"/>
    <w:rsid w:val="00C8733C"/>
    <w:rsid w:val="00C87751"/>
    <w:rsid w:val="00C87BDE"/>
    <w:rsid w:val="00C90172"/>
    <w:rsid w:val="00C907FC"/>
    <w:rsid w:val="00C91499"/>
    <w:rsid w:val="00C919D8"/>
    <w:rsid w:val="00C91A7E"/>
    <w:rsid w:val="00C925E4"/>
    <w:rsid w:val="00C9260F"/>
    <w:rsid w:val="00C92926"/>
    <w:rsid w:val="00C92DBD"/>
    <w:rsid w:val="00C93786"/>
    <w:rsid w:val="00C942EE"/>
    <w:rsid w:val="00C94AAF"/>
    <w:rsid w:val="00C95025"/>
    <w:rsid w:val="00C9557F"/>
    <w:rsid w:val="00C95C02"/>
    <w:rsid w:val="00C96526"/>
    <w:rsid w:val="00C96B6C"/>
    <w:rsid w:val="00C9721E"/>
    <w:rsid w:val="00C977ED"/>
    <w:rsid w:val="00C97D25"/>
    <w:rsid w:val="00CA0662"/>
    <w:rsid w:val="00CA072A"/>
    <w:rsid w:val="00CA0B5C"/>
    <w:rsid w:val="00CA1DC7"/>
    <w:rsid w:val="00CA2A9C"/>
    <w:rsid w:val="00CA2C6C"/>
    <w:rsid w:val="00CA35F8"/>
    <w:rsid w:val="00CA3C7F"/>
    <w:rsid w:val="00CA5451"/>
    <w:rsid w:val="00CA54AA"/>
    <w:rsid w:val="00CA55B1"/>
    <w:rsid w:val="00CA5A1C"/>
    <w:rsid w:val="00CA5FDF"/>
    <w:rsid w:val="00CA6725"/>
    <w:rsid w:val="00CA674F"/>
    <w:rsid w:val="00CA6C9E"/>
    <w:rsid w:val="00CA6EE1"/>
    <w:rsid w:val="00CA75EF"/>
    <w:rsid w:val="00CA77DA"/>
    <w:rsid w:val="00CA78F7"/>
    <w:rsid w:val="00CA7A71"/>
    <w:rsid w:val="00CA7DE7"/>
    <w:rsid w:val="00CB0445"/>
    <w:rsid w:val="00CB1A04"/>
    <w:rsid w:val="00CB2085"/>
    <w:rsid w:val="00CB2935"/>
    <w:rsid w:val="00CB2DA5"/>
    <w:rsid w:val="00CB3104"/>
    <w:rsid w:val="00CB33B1"/>
    <w:rsid w:val="00CB3C88"/>
    <w:rsid w:val="00CB3DE5"/>
    <w:rsid w:val="00CB3E5D"/>
    <w:rsid w:val="00CB3F5B"/>
    <w:rsid w:val="00CB46D6"/>
    <w:rsid w:val="00CB4D6A"/>
    <w:rsid w:val="00CB5168"/>
    <w:rsid w:val="00CB51E2"/>
    <w:rsid w:val="00CB53C4"/>
    <w:rsid w:val="00CB63C9"/>
    <w:rsid w:val="00CB6662"/>
    <w:rsid w:val="00CB6FC4"/>
    <w:rsid w:val="00CB76F1"/>
    <w:rsid w:val="00CB7BC5"/>
    <w:rsid w:val="00CB7D67"/>
    <w:rsid w:val="00CB7DCD"/>
    <w:rsid w:val="00CB7EAD"/>
    <w:rsid w:val="00CC18F7"/>
    <w:rsid w:val="00CC1A9C"/>
    <w:rsid w:val="00CC28D0"/>
    <w:rsid w:val="00CC2DA4"/>
    <w:rsid w:val="00CC2EDA"/>
    <w:rsid w:val="00CC3186"/>
    <w:rsid w:val="00CC3651"/>
    <w:rsid w:val="00CC36D9"/>
    <w:rsid w:val="00CC3E03"/>
    <w:rsid w:val="00CC4004"/>
    <w:rsid w:val="00CC41C7"/>
    <w:rsid w:val="00CC4384"/>
    <w:rsid w:val="00CC4CBC"/>
    <w:rsid w:val="00CC4D9C"/>
    <w:rsid w:val="00CC585C"/>
    <w:rsid w:val="00CC5C97"/>
    <w:rsid w:val="00CC5DD4"/>
    <w:rsid w:val="00CC680D"/>
    <w:rsid w:val="00CC6B12"/>
    <w:rsid w:val="00CC7711"/>
    <w:rsid w:val="00CC7A7B"/>
    <w:rsid w:val="00CD1492"/>
    <w:rsid w:val="00CD19D9"/>
    <w:rsid w:val="00CD1BE6"/>
    <w:rsid w:val="00CD1E50"/>
    <w:rsid w:val="00CD245D"/>
    <w:rsid w:val="00CD2697"/>
    <w:rsid w:val="00CD2BB8"/>
    <w:rsid w:val="00CD30A5"/>
    <w:rsid w:val="00CD3215"/>
    <w:rsid w:val="00CD3303"/>
    <w:rsid w:val="00CD33E3"/>
    <w:rsid w:val="00CD37D7"/>
    <w:rsid w:val="00CD398D"/>
    <w:rsid w:val="00CD3AD5"/>
    <w:rsid w:val="00CD4215"/>
    <w:rsid w:val="00CD48A9"/>
    <w:rsid w:val="00CD536F"/>
    <w:rsid w:val="00CD55A5"/>
    <w:rsid w:val="00CD56FD"/>
    <w:rsid w:val="00CD5A8D"/>
    <w:rsid w:val="00CD5DC7"/>
    <w:rsid w:val="00CD5FC7"/>
    <w:rsid w:val="00CD6297"/>
    <w:rsid w:val="00CD6A48"/>
    <w:rsid w:val="00CD6E2C"/>
    <w:rsid w:val="00CD6ECC"/>
    <w:rsid w:val="00CD7130"/>
    <w:rsid w:val="00CD74D8"/>
    <w:rsid w:val="00CD7795"/>
    <w:rsid w:val="00CD7B39"/>
    <w:rsid w:val="00CD7BC1"/>
    <w:rsid w:val="00CD7E9B"/>
    <w:rsid w:val="00CD7F6C"/>
    <w:rsid w:val="00CD7F75"/>
    <w:rsid w:val="00CE04DA"/>
    <w:rsid w:val="00CE0842"/>
    <w:rsid w:val="00CE09D1"/>
    <w:rsid w:val="00CE09DC"/>
    <w:rsid w:val="00CE0A23"/>
    <w:rsid w:val="00CE105D"/>
    <w:rsid w:val="00CE1270"/>
    <w:rsid w:val="00CE17F9"/>
    <w:rsid w:val="00CE1892"/>
    <w:rsid w:val="00CE1BFC"/>
    <w:rsid w:val="00CE1C3D"/>
    <w:rsid w:val="00CE1DB8"/>
    <w:rsid w:val="00CE1EEA"/>
    <w:rsid w:val="00CE217F"/>
    <w:rsid w:val="00CE3E56"/>
    <w:rsid w:val="00CE4047"/>
    <w:rsid w:val="00CE439C"/>
    <w:rsid w:val="00CE4455"/>
    <w:rsid w:val="00CE479C"/>
    <w:rsid w:val="00CE493B"/>
    <w:rsid w:val="00CE499D"/>
    <w:rsid w:val="00CE4D92"/>
    <w:rsid w:val="00CE57EE"/>
    <w:rsid w:val="00CE5AF2"/>
    <w:rsid w:val="00CE5CD5"/>
    <w:rsid w:val="00CE6EB9"/>
    <w:rsid w:val="00CE7667"/>
    <w:rsid w:val="00CE7C2F"/>
    <w:rsid w:val="00CE7F54"/>
    <w:rsid w:val="00CF018D"/>
    <w:rsid w:val="00CF024E"/>
    <w:rsid w:val="00CF1105"/>
    <w:rsid w:val="00CF233D"/>
    <w:rsid w:val="00CF2DAD"/>
    <w:rsid w:val="00CF4130"/>
    <w:rsid w:val="00CF4C7A"/>
    <w:rsid w:val="00CF4DC7"/>
    <w:rsid w:val="00CF5293"/>
    <w:rsid w:val="00CF52DD"/>
    <w:rsid w:val="00CF5A2C"/>
    <w:rsid w:val="00CF5AFB"/>
    <w:rsid w:val="00CF5B34"/>
    <w:rsid w:val="00CF5DA8"/>
    <w:rsid w:val="00CF5ED5"/>
    <w:rsid w:val="00CF5F3F"/>
    <w:rsid w:val="00CF6494"/>
    <w:rsid w:val="00CF64E6"/>
    <w:rsid w:val="00CF65F1"/>
    <w:rsid w:val="00CF6CEA"/>
    <w:rsid w:val="00CF7692"/>
    <w:rsid w:val="00CF795C"/>
    <w:rsid w:val="00CF79BF"/>
    <w:rsid w:val="00CF7A72"/>
    <w:rsid w:val="00CF7BA6"/>
    <w:rsid w:val="00D00001"/>
    <w:rsid w:val="00D001A5"/>
    <w:rsid w:val="00D00F21"/>
    <w:rsid w:val="00D0117B"/>
    <w:rsid w:val="00D01922"/>
    <w:rsid w:val="00D01947"/>
    <w:rsid w:val="00D01B85"/>
    <w:rsid w:val="00D022DE"/>
    <w:rsid w:val="00D0242B"/>
    <w:rsid w:val="00D02DF5"/>
    <w:rsid w:val="00D0315A"/>
    <w:rsid w:val="00D03206"/>
    <w:rsid w:val="00D03593"/>
    <w:rsid w:val="00D036F0"/>
    <w:rsid w:val="00D039E2"/>
    <w:rsid w:val="00D03C7B"/>
    <w:rsid w:val="00D0422B"/>
    <w:rsid w:val="00D04558"/>
    <w:rsid w:val="00D04B30"/>
    <w:rsid w:val="00D04FFC"/>
    <w:rsid w:val="00D05538"/>
    <w:rsid w:val="00D0599B"/>
    <w:rsid w:val="00D05E2E"/>
    <w:rsid w:val="00D060E4"/>
    <w:rsid w:val="00D061EA"/>
    <w:rsid w:val="00D06947"/>
    <w:rsid w:val="00D07620"/>
    <w:rsid w:val="00D078C5"/>
    <w:rsid w:val="00D07AEA"/>
    <w:rsid w:val="00D10617"/>
    <w:rsid w:val="00D1077C"/>
    <w:rsid w:val="00D107DF"/>
    <w:rsid w:val="00D10B4C"/>
    <w:rsid w:val="00D1163E"/>
    <w:rsid w:val="00D1166D"/>
    <w:rsid w:val="00D119AE"/>
    <w:rsid w:val="00D11A43"/>
    <w:rsid w:val="00D11D29"/>
    <w:rsid w:val="00D120B0"/>
    <w:rsid w:val="00D1211D"/>
    <w:rsid w:val="00D124D2"/>
    <w:rsid w:val="00D126DF"/>
    <w:rsid w:val="00D1273D"/>
    <w:rsid w:val="00D1281A"/>
    <w:rsid w:val="00D13175"/>
    <w:rsid w:val="00D14072"/>
    <w:rsid w:val="00D1417D"/>
    <w:rsid w:val="00D1432E"/>
    <w:rsid w:val="00D147C8"/>
    <w:rsid w:val="00D15057"/>
    <w:rsid w:val="00D15359"/>
    <w:rsid w:val="00D15B8F"/>
    <w:rsid w:val="00D15D3D"/>
    <w:rsid w:val="00D16094"/>
    <w:rsid w:val="00D16185"/>
    <w:rsid w:val="00D16F2E"/>
    <w:rsid w:val="00D17893"/>
    <w:rsid w:val="00D17CFA"/>
    <w:rsid w:val="00D17E38"/>
    <w:rsid w:val="00D17FAA"/>
    <w:rsid w:val="00D20754"/>
    <w:rsid w:val="00D20A3D"/>
    <w:rsid w:val="00D20EEA"/>
    <w:rsid w:val="00D216F9"/>
    <w:rsid w:val="00D21ACF"/>
    <w:rsid w:val="00D21F01"/>
    <w:rsid w:val="00D22113"/>
    <w:rsid w:val="00D22191"/>
    <w:rsid w:val="00D2221B"/>
    <w:rsid w:val="00D2230C"/>
    <w:rsid w:val="00D22BF6"/>
    <w:rsid w:val="00D22CA5"/>
    <w:rsid w:val="00D22CD6"/>
    <w:rsid w:val="00D22D76"/>
    <w:rsid w:val="00D22E25"/>
    <w:rsid w:val="00D23D5A"/>
    <w:rsid w:val="00D2415E"/>
    <w:rsid w:val="00D24534"/>
    <w:rsid w:val="00D24548"/>
    <w:rsid w:val="00D25020"/>
    <w:rsid w:val="00D252B4"/>
    <w:rsid w:val="00D2539E"/>
    <w:rsid w:val="00D25642"/>
    <w:rsid w:val="00D25710"/>
    <w:rsid w:val="00D25B10"/>
    <w:rsid w:val="00D25C4D"/>
    <w:rsid w:val="00D25CCB"/>
    <w:rsid w:val="00D25D5A"/>
    <w:rsid w:val="00D2656C"/>
    <w:rsid w:val="00D2666D"/>
    <w:rsid w:val="00D26919"/>
    <w:rsid w:val="00D26C4D"/>
    <w:rsid w:val="00D26D0D"/>
    <w:rsid w:val="00D27192"/>
    <w:rsid w:val="00D27389"/>
    <w:rsid w:val="00D275DD"/>
    <w:rsid w:val="00D27923"/>
    <w:rsid w:val="00D27DC2"/>
    <w:rsid w:val="00D3026D"/>
    <w:rsid w:val="00D307DC"/>
    <w:rsid w:val="00D30A3A"/>
    <w:rsid w:val="00D30CEF"/>
    <w:rsid w:val="00D31236"/>
    <w:rsid w:val="00D31CAA"/>
    <w:rsid w:val="00D320B8"/>
    <w:rsid w:val="00D32980"/>
    <w:rsid w:val="00D329A4"/>
    <w:rsid w:val="00D33240"/>
    <w:rsid w:val="00D332F0"/>
    <w:rsid w:val="00D33642"/>
    <w:rsid w:val="00D3382C"/>
    <w:rsid w:val="00D33E88"/>
    <w:rsid w:val="00D34801"/>
    <w:rsid w:val="00D34859"/>
    <w:rsid w:val="00D34887"/>
    <w:rsid w:val="00D34B23"/>
    <w:rsid w:val="00D3507F"/>
    <w:rsid w:val="00D350EB"/>
    <w:rsid w:val="00D355A0"/>
    <w:rsid w:val="00D3564D"/>
    <w:rsid w:val="00D35984"/>
    <w:rsid w:val="00D3598B"/>
    <w:rsid w:val="00D36BFA"/>
    <w:rsid w:val="00D37027"/>
    <w:rsid w:val="00D37107"/>
    <w:rsid w:val="00D373E7"/>
    <w:rsid w:val="00D37718"/>
    <w:rsid w:val="00D379B8"/>
    <w:rsid w:val="00D37A68"/>
    <w:rsid w:val="00D37B90"/>
    <w:rsid w:val="00D37D69"/>
    <w:rsid w:val="00D37DAA"/>
    <w:rsid w:val="00D37EA6"/>
    <w:rsid w:val="00D40B0B"/>
    <w:rsid w:val="00D40BDB"/>
    <w:rsid w:val="00D416AD"/>
    <w:rsid w:val="00D41B42"/>
    <w:rsid w:val="00D41B4B"/>
    <w:rsid w:val="00D421EE"/>
    <w:rsid w:val="00D4229E"/>
    <w:rsid w:val="00D426A0"/>
    <w:rsid w:val="00D434C8"/>
    <w:rsid w:val="00D43AD3"/>
    <w:rsid w:val="00D43D76"/>
    <w:rsid w:val="00D43EDE"/>
    <w:rsid w:val="00D445BA"/>
    <w:rsid w:val="00D445C2"/>
    <w:rsid w:val="00D44633"/>
    <w:rsid w:val="00D44ACA"/>
    <w:rsid w:val="00D44DC0"/>
    <w:rsid w:val="00D45166"/>
    <w:rsid w:val="00D45242"/>
    <w:rsid w:val="00D452D6"/>
    <w:rsid w:val="00D45AEB"/>
    <w:rsid w:val="00D46182"/>
    <w:rsid w:val="00D46239"/>
    <w:rsid w:val="00D46254"/>
    <w:rsid w:val="00D46D8E"/>
    <w:rsid w:val="00D475BF"/>
    <w:rsid w:val="00D4792C"/>
    <w:rsid w:val="00D4795D"/>
    <w:rsid w:val="00D47C0B"/>
    <w:rsid w:val="00D51075"/>
    <w:rsid w:val="00D524F1"/>
    <w:rsid w:val="00D52557"/>
    <w:rsid w:val="00D5299F"/>
    <w:rsid w:val="00D52AF9"/>
    <w:rsid w:val="00D536CD"/>
    <w:rsid w:val="00D536DA"/>
    <w:rsid w:val="00D53BB8"/>
    <w:rsid w:val="00D53D90"/>
    <w:rsid w:val="00D53DB8"/>
    <w:rsid w:val="00D5437B"/>
    <w:rsid w:val="00D543D7"/>
    <w:rsid w:val="00D54E2C"/>
    <w:rsid w:val="00D54E92"/>
    <w:rsid w:val="00D5542B"/>
    <w:rsid w:val="00D554B5"/>
    <w:rsid w:val="00D5568D"/>
    <w:rsid w:val="00D55BEC"/>
    <w:rsid w:val="00D56095"/>
    <w:rsid w:val="00D561D9"/>
    <w:rsid w:val="00D567AF"/>
    <w:rsid w:val="00D57525"/>
    <w:rsid w:val="00D577C7"/>
    <w:rsid w:val="00D57BB1"/>
    <w:rsid w:val="00D57DDA"/>
    <w:rsid w:val="00D605B1"/>
    <w:rsid w:val="00D610CA"/>
    <w:rsid w:val="00D61E68"/>
    <w:rsid w:val="00D622C1"/>
    <w:rsid w:val="00D629A7"/>
    <w:rsid w:val="00D62EE3"/>
    <w:rsid w:val="00D635F5"/>
    <w:rsid w:val="00D63722"/>
    <w:rsid w:val="00D63740"/>
    <w:rsid w:val="00D63B07"/>
    <w:rsid w:val="00D64120"/>
    <w:rsid w:val="00D6483A"/>
    <w:rsid w:val="00D64BEA"/>
    <w:rsid w:val="00D64C3A"/>
    <w:rsid w:val="00D64DB9"/>
    <w:rsid w:val="00D652B1"/>
    <w:rsid w:val="00D655E4"/>
    <w:rsid w:val="00D65E22"/>
    <w:rsid w:val="00D65F51"/>
    <w:rsid w:val="00D664B5"/>
    <w:rsid w:val="00D664B6"/>
    <w:rsid w:val="00D66960"/>
    <w:rsid w:val="00D66F78"/>
    <w:rsid w:val="00D675E7"/>
    <w:rsid w:val="00D67FC7"/>
    <w:rsid w:val="00D7043C"/>
    <w:rsid w:val="00D7051B"/>
    <w:rsid w:val="00D7054A"/>
    <w:rsid w:val="00D70B5D"/>
    <w:rsid w:val="00D71B33"/>
    <w:rsid w:val="00D7209E"/>
    <w:rsid w:val="00D72625"/>
    <w:rsid w:val="00D739D9"/>
    <w:rsid w:val="00D73CB4"/>
    <w:rsid w:val="00D73F2E"/>
    <w:rsid w:val="00D74027"/>
    <w:rsid w:val="00D7510D"/>
    <w:rsid w:val="00D75272"/>
    <w:rsid w:val="00D75611"/>
    <w:rsid w:val="00D759CA"/>
    <w:rsid w:val="00D761A4"/>
    <w:rsid w:val="00D7633B"/>
    <w:rsid w:val="00D7655F"/>
    <w:rsid w:val="00D76C39"/>
    <w:rsid w:val="00D76EC6"/>
    <w:rsid w:val="00D77014"/>
    <w:rsid w:val="00D77203"/>
    <w:rsid w:val="00D77619"/>
    <w:rsid w:val="00D8002A"/>
    <w:rsid w:val="00D80C43"/>
    <w:rsid w:val="00D80F0F"/>
    <w:rsid w:val="00D813EF"/>
    <w:rsid w:val="00D813F5"/>
    <w:rsid w:val="00D817DB"/>
    <w:rsid w:val="00D81C1D"/>
    <w:rsid w:val="00D82F2C"/>
    <w:rsid w:val="00D832B0"/>
    <w:rsid w:val="00D83CD2"/>
    <w:rsid w:val="00D83DB2"/>
    <w:rsid w:val="00D84541"/>
    <w:rsid w:val="00D84554"/>
    <w:rsid w:val="00D84A57"/>
    <w:rsid w:val="00D84F22"/>
    <w:rsid w:val="00D8537C"/>
    <w:rsid w:val="00D86B33"/>
    <w:rsid w:val="00D87225"/>
    <w:rsid w:val="00D90130"/>
    <w:rsid w:val="00D9081E"/>
    <w:rsid w:val="00D9083E"/>
    <w:rsid w:val="00D90A9B"/>
    <w:rsid w:val="00D9124C"/>
    <w:rsid w:val="00D91B5F"/>
    <w:rsid w:val="00D91EF9"/>
    <w:rsid w:val="00D91FDC"/>
    <w:rsid w:val="00D92005"/>
    <w:rsid w:val="00D9252F"/>
    <w:rsid w:val="00D927A5"/>
    <w:rsid w:val="00D92822"/>
    <w:rsid w:val="00D9293A"/>
    <w:rsid w:val="00D92EE6"/>
    <w:rsid w:val="00D92F74"/>
    <w:rsid w:val="00D93305"/>
    <w:rsid w:val="00D935B7"/>
    <w:rsid w:val="00D93FA2"/>
    <w:rsid w:val="00D9456F"/>
    <w:rsid w:val="00D95161"/>
    <w:rsid w:val="00D9533E"/>
    <w:rsid w:val="00D95B2C"/>
    <w:rsid w:val="00D95EA2"/>
    <w:rsid w:val="00D96339"/>
    <w:rsid w:val="00D9656C"/>
    <w:rsid w:val="00D967F3"/>
    <w:rsid w:val="00D96800"/>
    <w:rsid w:val="00D96D39"/>
    <w:rsid w:val="00D9721D"/>
    <w:rsid w:val="00D97709"/>
    <w:rsid w:val="00D97A1E"/>
    <w:rsid w:val="00DA02D1"/>
    <w:rsid w:val="00DA054D"/>
    <w:rsid w:val="00DA08FF"/>
    <w:rsid w:val="00DA0F78"/>
    <w:rsid w:val="00DA14DA"/>
    <w:rsid w:val="00DA17D5"/>
    <w:rsid w:val="00DA1C51"/>
    <w:rsid w:val="00DA24C1"/>
    <w:rsid w:val="00DA2801"/>
    <w:rsid w:val="00DA286A"/>
    <w:rsid w:val="00DA2FBE"/>
    <w:rsid w:val="00DA3DC8"/>
    <w:rsid w:val="00DA410B"/>
    <w:rsid w:val="00DA459A"/>
    <w:rsid w:val="00DA4C2C"/>
    <w:rsid w:val="00DA50DB"/>
    <w:rsid w:val="00DA510F"/>
    <w:rsid w:val="00DA54F1"/>
    <w:rsid w:val="00DA551C"/>
    <w:rsid w:val="00DA5BFD"/>
    <w:rsid w:val="00DA5C63"/>
    <w:rsid w:val="00DA63B1"/>
    <w:rsid w:val="00DA68FB"/>
    <w:rsid w:val="00DA6B39"/>
    <w:rsid w:val="00DA7309"/>
    <w:rsid w:val="00DA751B"/>
    <w:rsid w:val="00DA77F2"/>
    <w:rsid w:val="00DA7C49"/>
    <w:rsid w:val="00DB0363"/>
    <w:rsid w:val="00DB0639"/>
    <w:rsid w:val="00DB0D20"/>
    <w:rsid w:val="00DB0E88"/>
    <w:rsid w:val="00DB11B8"/>
    <w:rsid w:val="00DB142B"/>
    <w:rsid w:val="00DB18B8"/>
    <w:rsid w:val="00DB304F"/>
    <w:rsid w:val="00DB32EF"/>
    <w:rsid w:val="00DB3E61"/>
    <w:rsid w:val="00DB40EB"/>
    <w:rsid w:val="00DB42BD"/>
    <w:rsid w:val="00DB43AA"/>
    <w:rsid w:val="00DB51A4"/>
    <w:rsid w:val="00DB53AD"/>
    <w:rsid w:val="00DB53B1"/>
    <w:rsid w:val="00DB5663"/>
    <w:rsid w:val="00DB58DF"/>
    <w:rsid w:val="00DB58E9"/>
    <w:rsid w:val="00DB5B46"/>
    <w:rsid w:val="00DB5F37"/>
    <w:rsid w:val="00DB5F7F"/>
    <w:rsid w:val="00DB65F0"/>
    <w:rsid w:val="00DB6E01"/>
    <w:rsid w:val="00DB710A"/>
    <w:rsid w:val="00DB784A"/>
    <w:rsid w:val="00DB7DF2"/>
    <w:rsid w:val="00DB7F58"/>
    <w:rsid w:val="00DC0DFB"/>
    <w:rsid w:val="00DC14DF"/>
    <w:rsid w:val="00DC175B"/>
    <w:rsid w:val="00DC18A7"/>
    <w:rsid w:val="00DC20B5"/>
    <w:rsid w:val="00DC25E7"/>
    <w:rsid w:val="00DC27B1"/>
    <w:rsid w:val="00DC2FEA"/>
    <w:rsid w:val="00DC311C"/>
    <w:rsid w:val="00DC38A8"/>
    <w:rsid w:val="00DC3DC1"/>
    <w:rsid w:val="00DC4345"/>
    <w:rsid w:val="00DC4E97"/>
    <w:rsid w:val="00DC5AD7"/>
    <w:rsid w:val="00DC5AE6"/>
    <w:rsid w:val="00DC5E8C"/>
    <w:rsid w:val="00DC6BA5"/>
    <w:rsid w:val="00DC7887"/>
    <w:rsid w:val="00DC79EE"/>
    <w:rsid w:val="00DC7A62"/>
    <w:rsid w:val="00DC7FC1"/>
    <w:rsid w:val="00DD00A3"/>
    <w:rsid w:val="00DD038E"/>
    <w:rsid w:val="00DD09DC"/>
    <w:rsid w:val="00DD0BD9"/>
    <w:rsid w:val="00DD0D5F"/>
    <w:rsid w:val="00DD12BC"/>
    <w:rsid w:val="00DD18D9"/>
    <w:rsid w:val="00DD18DA"/>
    <w:rsid w:val="00DD1B13"/>
    <w:rsid w:val="00DD1CA5"/>
    <w:rsid w:val="00DD1D9C"/>
    <w:rsid w:val="00DD1FE4"/>
    <w:rsid w:val="00DD2029"/>
    <w:rsid w:val="00DD24CC"/>
    <w:rsid w:val="00DD2A83"/>
    <w:rsid w:val="00DD37CA"/>
    <w:rsid w:val="00DD39FB"/>
    <w:rsid w:val="00DD3CD7"/>
    <w:rsid w:val="00DD3F4A"/>
    <w:rsid w:val="00DD496A"/>
    <w:rsid w:val="00DD4B25"/>
    <w:rsid w:val="00DD4D40"/>
    <w:rsid w:val="00DD4E89"/>
    <w:rsid w:val="00DD5654"/>
    <w:rsid w:val="00DD5693"/>
    <w:rsid w:val="00DD56CF"/>
    <w:rsid w:val="00DD5902"/>
    <w:rsid w:val="00DD593F"/>
    <w:rsid w:val="00DD5F1C"/>
    <w:rsid w:val="00DD6683"/>
    <w:rsid w:val="00DD68A7"/>
    <w:rsid w:val="00DD7C3A"/>
    <w:rsid w:val="00DE02B6"/>
    <w:rsid w:val="00DE0BA9"/>
    <w:rsid w:val="00DE0D4C"/>
    <w:rsid w:val="00DE1103"/>
    <w:rsid w:val="00DE1269"/>
    <w:rsid w:val="00DE13B6"/>
    <w:rsid w:val="00DE1BFC"/>
    <w:rsid w:val="00DE1F5E"/>
    <w:rsid w:val="00DE1FC0"/>
    <w:rsid w:val="00DE2B2D"/>
    <w:rsid w:val="00DE2C3B"/>
    <w:rsid w:val="00DE2DF9"/>
    <w:rsid w:val="00DE2EC2"/>
    <w:rsid w:val="00DE3D1B"/>
    <w:rsid w:val="00DE45C9"/>
    <w:rsid w:val="00DE4B6D"/>
    <w:rsid w:val="00DE52D9"/>
    <w:rsid w:val="00DE5503"/>
    <w:rsid w:val="00DE5545"/>
    <w:rsid w:val="00DE556F"/>
    <w:rsid w:val="00DE5917"/>
    <w:rsid w:val="00DE5CF2"/>
    <w:rsid w:val="00DE685B"/>
    <w:rsid w:val="00DE69B2"/>
    <w:rsid w:val="00DE69B4"/>
    <w:rsid w:val="00DE6A56"/>
    <w:rsid w:val="00DE6BF4"/>
    <w:rsid w:val="00DE7061"/>
    <w:rsid w:val="00DE775D"/>
    <w:rsid w:val="00DE78C7"/>
    <w:rsid w:val="00DE7A02"/>
    <w:rsid w:val="00DE7EE1"/>
    <w:rsid w:val="00DF010D"/>
    <w:rsid w:val="00DF02AD"/>
    <w:rsid w:val="00DF06AF"/>
    <w:rsid w:val="00DF0CD8"/>
    <w:rsid w:val="00DF0EBF"/>
    <w:rsid w:val="00DF0F0C"/>
    <w:rsid w:val="00DF1327"/>
    <w:rsid w:val="00DF148E"/>
    <w:rsid w:val="00DF1CA9"/>
    <w:rsid w:val="00DF1CCE"/>
    <w:rsid w:val="00DF1EA4"/>
    <w:rsid w:val="00DF24E8"/>
    <w:rsid w:val="00DF2AF5"/>
    <w:rsid w:val="00DF2CB2"/>
    <w:rsid w:val="00DF3169"/>
    <w:rsid w:val="00DF38ED"/>
    <w:rsid w:val="00DF3E28"/>
    <w:rsid w:val="00DF4628"/>
    <w:rsid w:val="00DF4CE0"/>
    <w:rsid w:val="00DF4D1B"/>
    <w:rsid w:val="00DF541A"/>
    <w:rsid w:val="00DF5ECB"/>
    <w:rsid w:val="00DF5F9A"/>
    <w:rsid w:val="00DF60DB"/>
    <w:rsid w:val="00DF6190"/>
    <w:rsid w:val="00DF6A3C"/>
    <w:rsid w:val="00DF6B65"/>
    <w:rsid w:val="00DF7645"/>
    <w:rsid w:val="00DF7AC5"/>
    <w:rsid w:val="00DF7D61"/>
    <w:rsid w:val="00DF7EDE"/>
    <w:rsid w:val="00E00368"/>
    <w:rsid w:val="00E00579"/>
    <w:rsid w:val="00E007CE"/>
    <w:rsid w:val="00E018A0"/>
    <w:rsid w:val="00E01A11"/>
    <w:rsid w:val="00E01D80"/>
    <w:rsid w:val="00E02202"/>
    <w:rsid w:val="00E03361"/>
    <w:rsid w:val="00E039E6"/>
    <w:rsid w:val="00E03F93"/>
    <w:rsid w:val="00E04121"/>
    <w:rsid w:val="00E04B5F"/>
    <w:rsid w:val="00E04E31"/>
    <w:rsid w:val="00E051BC"/>
    <w:rsid w:val="00E053D0"/>
    <w:rsid w:val="00E05887"/>
    <w:rsid w:val="00E061CB"/>
    <w:rsid w:val="00E06828"/>
    <w:rsid w:val="00E06959"/>
    <w:rsid w:val="00E069BF"/>
    <w:rsid w:val="00E06D1B"/>
    <w:rsid w:val="00E06DE4"/>
    <w:rsid w:val="00E07049"/>
    <w:rsid w:val="00E0709B"/>
    <w:rsid w:val="00E07249"/>
    <w:rsid w:val="00E07DA6"/>
    <w:rsid w:val="00E07FCA"/>
    <w:rsid w:val="00E101DF"/>
    <w:rsid w:val="00E104B9"/>
    <w:rsid w:val="00E10C73"/>
    <w:rsid w:val="00E114AF"/>
    <w:rsid w:val="00E114B5"/>
    <w:rsid w:val="00E11FC5"/>
    <w:rsid w:val="00E123A3"/>
    <w:rsid w:val="00E12819"/>
    <w:rsid w:val="00E12BF9"/>
    <w:rsid w:val="00E12EAC"/>
    <w:rsid w:val="00E12FF0"/>
    <w:rsid w:val="00E143ED"/>
    <w:rsid w:val="00E145D4"/>
    <w:rsid w:val="00E1565D"/>
    <w:rsid w:val="00E157F6"/>
    <w:rsid w:val="00E159B0"/>
    <w:rsid w:val="00E15BD2"/>
    <w:rsid w:val="00E161A8"/>
    <w:rsid w:val="00E16EB3"/>
    <w:rsid w:val="00E17E0F"/>
    <w:rsid w:val="00E20D3E"/>
    <w:rsid w:val="00E20E43"/>
    <w:rsid w:val="00E21494"/>
    <w:rsid w:val="00E21FB5"/>
    <w:rsid w:val="00E22984"/>
    <w:rsid w:val="00E233AC"/>
    <w:rsid w:val="00E234D0"/>
    <w:rsid w:val="00E23A56"/>
    <w:rsid w:val="00E23A8A"/>
    <w:rsid w:val="00E23E50"/>
    <w:rsid w:val="00E255F7"/>
    <w:rsid w:val="00E258EC"/>
    <w:rsid w:val="00E25BF5"/>
    <w:rsid w:val="00E2608D"/>
    <w:rsid w:val="00E264DA"/>
    <w:rsid w:val="00E26590"/>
    <w:rsid w:val="00E269F4"/>
    <w:rsid w:val="00E274D6"/>
    <w:rsid w:val="00E27854"/>
    <w:rsid w:val="00E2795A"/>
    <w:rsid w:val="00E27EA9"/>
    <w:rsid w:val="00E3031D"/>
    <w:rsid w:val="00E30A48"/>
    <w:rsid w:val="00E31A8C"/>
    <w:rsid w:val="00E32427"/>
    <w:rsid w:val="00E32895"/>
    <w:rsid w:val="00E32AAE"/>
    <w:rsid w:val="00E33C36"/>
    <w:rsid w:val="00E33F75"/>
    <w:rsid w:val="00E3464D"/>
    <w:rsid w:val="00E3527B"/>
    <w:rsid w:val="00E357E5"/>
    <w:rsid w:val="00E36145"/>
    <w:rsid w:val="00E36231"/>
    <w:rsid w:val="00E3689B"/>
    <w:rsid w:val="00E36B09"/>
    <w:rsid w:val="00E37B53"/>
    <w:rsid w:val="00E37B67"/>
    <w:rsid w:val="00E37C52"/>
    <w:rsid w:val="00E37E65"/>
    <w:rsid w:val="00E4002E"/>
    <w:rsid w:val="00E40A28"/>
    <w:rsid w:val="00E4102A"/>
    <w:rsid w:val="00E415C7"/>
    <w:rsid w:val="00E415E5"/>
    <w:rsid w:val="00E41648"/>
    <w:rsid w:val="00E419EA"/>
    <w:rsid w:val="00E42542"/>
    <w:rsid w:val="00E428F8"/>
    <w:rsid w:val="00E42909"/>
    <w:rsid w:val="00E42F05"/>
    <w:rsid w:val="00E43380"/>
    <w:rsid w:val="00E43A2A"/>
    <w:rsid w:val="00E43A32"/>
    <w:rsid w:val="00E43B97"/>
    <w:rsid w:val="00E44296"/>
    <w:rsid w:val="00E443D0"/>
    <w:rsid w:val="00E44405"/>
    <w:rsid w:val="00E44E86"/>
    <w:rsid w:val="00E452B4"/>
    <w:rsid w:val="00E4567F"/>
    <w:rsid w:val="00E45985"/>
    <w:rsid w:val="00E45E2C"/>
    <w:rsid w:val="00E45E73"/>
    <w:rsid w:val="00E4632B"/>
    <w:rsid w:val="00E4690F"/>
    <w:rsid w:val="00E46B52"/>
    <w:rsid w:val="00E4707C"/>
    <w:rsid w:val="00E477C1"/>
    <w:rsid w:val="00E47F03"/>
    <w:rsid w:val="00E50093"/>
    <w:rsid w:val="00E50A64"/>
    <w:rsid w:val="00E50E01"/>
    <w:rsid w:val="00E51733"/>
    <w:rsid w:val="00E51C60"/>
    <w:rsid w:val="00E51D24"/>
    <w:rsid w:val="00E5221D"/>
    <w:rsid w:val="00E52399"/>
    <w:rsid w:val="00E525D3"/>
    <w:rsid w:val="00E52E9C"/>
    <w:rsid w:val="00E53220"/>
    <w:rsid w:val="00E534C9"/>
    <w:rsid w:val="00E53736"/>
    <w:rsid w:val="00E539B9"/>
    <w:rsid w:val="00E53C8A"/>
    <w:rsid w:val="00E53D57"/>
    <w:rsid w:val="00E54296"/>
    <w:rsid w:val="00E545D7"/>
    <w:rsid w:val="00E5466E"/>
    <w:rsid w:val="00E54C26"/>
    <w:rsid w:val="00E54E9A"/>
    <w:rsid w:val="00E55283"/>
    <w:rsid w:val="00E553FC"/>
    <w:rsid w:val="00E5588C"/>
    <w:rsid w:val="00E55A4A"/>
    <w:rsid w:val="00E55E53"/>
    <w:rsid w:val="00E55F72"/>
    <w:rsid w:val="00E56286"/>
    <w:rsid w:val="00E570C6"/>
    <w:rsid w:val="00E576D0"/>
    <w:rsid w:val="00E57A85"/>
    <w:rsid w:val="00E60F78"/>
    <w:rsid w:val="00E61214"/>
    <w:rsid w:val="00E61440"/>
    <w:rsid w:val="00E6178B"/>
    <w:rsid w:val="00E61A82"/>
    <w:rsid w:val="00E61C27"/>
    <w:rsid w:val="00E61D0D"/>
    <w:rsid w:val="00E61ECB"/>
    <w:rsid w:val="00E63360"/>
    <w:rsid w:val="00E63BBF"/>
    <w:rsid w:val="00E63D03"/>
    <w:rsid w:val="00E63D5F"/>
    <w:rsid w:val="00E64207"/>
    <w:rsid w:val="00E642BA"/>
    <w:rsid w:val="00E65469"/>
    <w:rsid w:val="00E65B4E"/>
    <w:rsid w:val="00E66740"/>
    <w:rsid w:val="00E66A7B"/>
    <w:rsid w:val="00E66B64"/>
    <w:rsid w:val="00E66C7A"/>
    <w:rsid w:val="00E67450"/>
    <w:rsid w:val="00E67E55"/>
    <w:rsid w:val="00E70B7C"/>
    <w:rsid w:val="00E71CD8"/>
    <w:rsid w:val="00E71E74"/>
    <w:rsid w:val="00E729B7"/>
    <w:rsid w:val="00E73E07"/>
    <w:rsid w:val="00E7403E"/>
    <w:rsid w:val="00E74248"/>
    <w:rsid w:val="00E74362"/>
    <w:rsid w:val="00E74A3E"/>
    <w:rsid w:val="00E74C14"/>
    <w:rsid w:val="00E752E8"/>
    <w:rsid w:val="00E75F8D"/>
    <w:rsid w:val="00E76232"/>
    <w:rsid w:val="00E76400"/>
    <w:rsid w:val="00E77B9D"/>
    <w:rsid w:val="00E80021"/>
    <w:rsid w:val="00E80537"/>
    <w:rsid w:val="00E80964"/>
    <w:rsid w:val="00E81022"/>
    <w:rsid w:val="00E81130"/>
    <w:rsid w:val="00E814F2"/>
    <w:rsid w:val="00E81EEC"/>
    <w:rsid w:val="00E822DE"/>
    <w:rsid w:val="00E82FCE"/>
    <w:rsid w:val="00E8331C"/>
    <w:rsid w:val="00E836B4"/>
    <w:rsid w:val="00E83880"/>
    <w:rsid w:val="00E83A6E"/>
    <w:rsid w:val="00E846BB"/>
    <w:rsid w:val="00E84FFE"/>
    <w:rsid w:val="00E86BEA"/>
    <w:rsid w:val="00E86CBD"/>
    <w:rsid w:val="00E8729A"/>
    <w:rsid w:val="00E878B3"/>
    <w:rsid w:val="00E87BB2"/>
    <w:rsid w:val="00E87BE1"/>
    <w:rsid w:val="00E90FE3"/>
    <w:rsid w:val="00E9107C"/>
    <w:rsid w:val="00E91515"/>
    <w:rsid w:val="00E9169E"/>
    <w:rsid w:val="00E9255F"/>
    <w:rsid w:val="00E9305A"/>
    <w:rsid w:val="00E9309F"/>
    <w:rsid w:val="00E946BE"/>
    <w:rsid w:val="00E94B96"/>
    <w:rsid w:val="00E94C22"/>
    <w:rsid w:val="00E95031"/>
    <w:rsid w:val="00E952AC"/>
    <w:rsid w:val="00E957DC"/>
    <w:rsid w:val="00E9611C"/>
    <w:rsid w:val="00E961C7"/>
    <w:rsid w:val="00E962EF"/>
    <w:rsid w:val="00E96693"/>
    <w:rsid w:val="00E966D6"/>
    <w:rsid w:val="00E96EA4"/>
    <w:rsid w:val="00EA05AF"/>
    <w:rsid w:val="00EA05EE"/>
    <w:rsid w:val="00EA0B14"/>
    <w:rsid w:val="00EA100F"/>
    <w:rsid w:val="00EA1FC9"/>
    <w:rsid w:val="00EA1FEC"/>
    <w:rsid w:val="00EA22FD"/>
    <w:rsid w:val="00EA247B"/>
    <w:rsid w:val="00EA273A"/>
    <w:rsid w:val="00EA3009"/>
    <w:rsid w:val="00EA309B"/>
    <w:rsid w:val="00EA367F"/>
    <w:rsid w:val="00EA36C1"/>
    <w:rsid w:val="00EA3A0C"/>
    <w:rsid w:val="00EA3F1E"/>
    <w:rsid w:val="00EA3F5D"/>
    <w:rsid w:val="00EA3FFE"/>
    <w:rsid w:val="00EA4315"/>
    <w:rsid w:val="00EA4755"/>
    <w:rsid w:val="00EA4C01"/>
    <w:rsid w:val="00EA4C93"/>
    <w:rsid w:val="00EA4D25"/>
    <w:rsid w:val="00EA4F75"/>
    <w:rsid w:val="00EA603F"/>
    <w:rsid w:val="00EA6490"/>
    <w:rsid w:val="00EA67DE"/>
    <w:rsid w:val="00EA6D27"/>
    <w:rsid w:val="00EA6DC2"/>
    <w:rsid w:val="00EA6F16"/>
    <w:rsid w:val="00EA7322"/>
    <w:rsid w:val="00EA767C"/>
    <w:rsid w:val="00EA7C7B"/>
    <w:rsid w:val="00EA7D97"/>
    <w:rsid w:val="00EB04C5"/>
    <w:rsid w:val="00EB05C5"/>
    <w:rsid w:val="00EB07FB"/>
    <w:rsid w:val="00EB12CC"/>
    <w:rsid w:val="00EB153D"/>
    <w:rsid w:val="00EB17BC"/>
    <w:rsid w:val="00EB1B89"/>
    <w:rsid w:val="00EB1C3A"/>
    <w:rsid w:val="00EB1CB9"/>
    <w:rsid w:val="00EB1ECA"/>
    <w:rsid w:val="00EB1EEF"/>
    <w:rsid w:val="00EB1FD3"/>
    <w:rsid w:val="00EB2178"/>
    <w:rsid w:val="00EB2213"/>
    <w:rsid w:val="00EB24CB"/>
    <w:rsid w:val="00EB27E0"/>
    <w:rsid w:val="00EB2805"/>
    <w:rsid w:val="00EB2808"/>
    <w:rsid w:val="00EB2DC5"/>
    <w:rsid w:val="00EB2FC0"/>
    <w:rsid w:val="00EB3099"/>
    <w:rsid w:val="00EB33EE"/>
    <w:rsid w:val="00EB3723"/>
    <w:rsid w:val="00EB3749"/>
    <w:rsid w:val="00EB3F74"/>
    <w:rsid w:val="00EB475E"/>
    <w:rsid w:val="00EB48E2"/>
    <w:rsid w:val="00EB4962"/>
    <w:rsid w:val="00EB4B3F"/>
    <w:rsid w:val="00EB605C"/>
    <w:rsid w:val="00EB606F"/>
    <w:rsid w:val="00EB66AA"/>
    <w:rsid w:val="00EB7443"/>
    <w:rsid w:val="00EB744A"/>
    <w:rsid w:val="00EC03F1"/>
    <w:rsid w:val="00EC133B"/>
    <w:rsid w:val="00EC1981"/>
    <w:rsid w:val="00EC2551"/>
    <w:rsid w:val="00EC2683"/>
    <w:rsid w:val="00EC2D96"/>
    <w:rsid w:val="00EC341B"/>
    <w:rsid w:val="00EC3923"/>
    <w:rsid w:val="00EC393A"/>
    <w:rsid w:val="00EC3FDB"/>
    <w:rsid w:val="00EC4102"/>
    <w:rsid w:val="00EC45FE"/>
    <w:rsid w:val="00EC4790"/>
    <w:rsid w:val="00EC4913"/>
    <w:rsid w:val="00EC495B"/>
    <w:rsid w:val="00EC4AB4"/>
    <w:rsid w:val="00EC4B21"/>
    <w:rsid w:val="00EC5063"/>
    <w:rsid w:val="00EC512F"/>
    <w:rsid w:val="00EC522F"/>
    <w:rsid w:val="00EC544D"/>
    <w:rsid w:val="00EC5B16"/>
    <w:rsid w:val="00EC6699"/>
    <w:rsid w:val="00EC696A"/>
    <w:rsid w:val="00EC79E5"/>
    <w:rsid w:val="00ED0045"/>
    <w:rsid w:val="00ED02B4"/>
    <w:rsid w:val="00ED02C8"/>
    <w:rsid w:val="00ED05C5"/>
    <w:rsid w:val="00ED06DE"/>
    <w:rsid w:val="00ED0721"/>
    <w:rsid w:val="00ED0A56"/>
    <w:rsid w:val="00ED0ADF"/>
    <w:rsid w:val="00ED0C0A"/>
    <w:rsid w:val="00ED1F3E"/>
    <w:rsid w:val="00ED2072"/>
    <w:rsid w:val="00ED30AD"/>
    <w:rsid w:val="00ED30EE"/>
    <w:rsid w:val="00ED3245"/>
    <w:rsid w:val="00ED37A8"/>
    <w:rsid w:val="00ED3ADA"/>
    <w:rsid w:val="00ED3FD3"/>
    <w:rsid w:val="00ED3FD8"/>
    <w:rsid w:val="00ED404A"/>
    <w:rsid w:val="00ED43F8"/>
    <w:rsid w:val="00ED45BB"/>
    <w:rsid w:val="00ED463D"/>
    <w:rsid w:val="00ED513A"/>
    <w:rsid w:val="00ED5B3A"/>
    <w:rsid w:val="00ED6403"/>
    <w:rsid w:val="00ED6AFD"/>
    <w:rsid w:val="00ED6EF4"/>
    <w:rsid w:val="00ED71CE"/>
    <w:rsid w:val="00ED755E"/>
    <w:rsid w:val="00ED7F44"/>
    <w:rsid w:val="00ED7FF1"/>
    <w:rsid w:val="00EE03C5"/>
    <w:rsid w:val="00EE066D"/>
    <w:rsid w:val="00EE08E1"/>
    <w:rsid w:val="00EE196E"/>
    <w:rsid w:val="00EE1B2D"/>
    <w:rsid w:val="00EE1E0D"/>
    <w:rsid w:val="00EE2459"/>
    <w:rsid w:val="00EE2890"/>
    <w:rsid w:val="00EE3082"/>
    <w:rsid w:val="00EE327B"/>
    <w:rsid w:val="00EE362E"/>
    <w:rsid w:val="00EE3A0A"/>
    <w:rsid w:val="00EE3CE3"/>
    <w:rsid w:val="00EE3D10"/>
    <w:rsid w:val="00EE3D66"/>
    <w:rsid w:val="00EE51B0"/>
    <w:rsid w:val="00EE5443"/>
    <w:rsid w:val="00EE5714"/>
    <w:rsid w:val="00EE5823"/>
    <w:rsid w:val="00EE59F5"/>
    <w:rsid w:val="00EE6489"/>
    <w:rsid w:val="00EE65A6"/>
    <w:rsid w:val="00EE663D"/>
    <w:rsid w:val="00EE6CFC"/>
    <w:rsid w:val="00EE710E"/>
    <w:rsid w:val="00EF0B3A"/>
    <w:rsid w:val="00EF0F60"/>
    <w:rsid w:val="00EF11F2"/>
    <w:rsid w:val="00EF1209"/>
    <w:rsid w:val="00EF14CE"/>
    <w:rsid w:val="00EF1A29"/>
    <w:rsid w:val="00EF1D40"/>
    <w:rsid w:val="00EF1EC1"/>
    <w:rsid w:val="00EF2452"/>
    <w:rsid w:val="00EF257A"/>
    <w:rsid w:val="00EF26C3"/>
    <w:rsid w:val="00EF2A4E"/>
    <w:rsid w:val="00EF2B4F"/>
    <w:rsid w:val="00EF2BD7"/>
    <w:rsid w:val="00EF3379"/>
    <w:rsid w:val="00EF38DE"/>
    <w:rsid w:val="00EF4557"/>
    <w:rsid w:val="00EF496C"/>
    <w:rsid w:val="00EF4A5A"/>
    <w:rsid w:val="00EF4C49"/>
    <w:rsid w:val="00EF4D4E"/>
    <w:rsid w:val="00EF5260"/>
    <w:rsid w:val="00EF5739"/>
    <w:rsid w:val="00EF5BF5"/>
    <w:rsid w:val="00EF5D85"/>
    <w:rsid w:val="00EF5F88"/>
    <w:rsid w:val="00EF682C"/>
    <w:rsid w:val="00EF693B"/>
    <w:rsid w:val="00EF6A13"/>
    <w:rsid w:val="00EF6C39"/>
    <w:rsid w:val="00EF6E03"/>
    <w:rsid w:val="00EF6E1C"/>
    <w:rsid w:val="00EF778B"/>
    <w:rsid w:val="00F002C2"/>
    <w:rsid w:val="00F00485"/>
    <w:rsid w:val="00F00B9A"/>
    <w:rsid w:val="00F00DFB"/>
    <w:rsid w:val="00F018C9"/>
    <w:rsid w:val="00F01A6A"/>
    <w:rsid w:val="00F01AA1"/>
    <w:rsid w:val="00F01F70"/>
    <w:rsid w:val="00F02644"/>
    <w:rsid w:val="00F02EE6"/>
    <w:rsid w:val="00F03106"/>
    <w:rsid w:val="00F03606"/>
    <w:rsid w:val="00F03996"/>
    <w:rsid w:val="00F03EF0"/>
    <w:rsid w:val="00F04161"/>
    <w:rsid w:val="00F041FE"/>
    <w:rsid w:val="00F045DF"/>
    <w:rsid w:val="00F04934"/>
    <w:rsid w:val="00F04B10"/>
    <w:rsid w:val="00F05002"/>
    <w:rsid w:val="00F05264"/>
    <w:rsid w:val="00F05408"/>
    <w:rsid w:val="00F05F8F"/>
    <w:rsid w:val="00F066D5"/>
    <w:rsid w:val="00F06CB5"/>
    <w:rsid w:val="00F07296"/>
    <w:rsid w:val="00F075D5"/>
    <w:rsid w:val="00F07D9B"/>
    <w:rsid w:val="00F10E90"/>
    <w:rsid w:val="00F10F9E"/>
    <w:rsid w:val="00F1177A"/>
    <w:rsid w:val="00F11963"/>
    <w:rsid w:val="00F12286"/>
    <w:rsid w:val="00F129C5"/>
    <w:rsid w:val="00F1321C"/>
    <w:rsid w:val="00F13327"/>
    <w:rsid w:val="00F1351C"/>
    <w:rsid w:val="00F13786"/>
    <w:rsid w:val="00F13962"/>
    <w:rsid w:val="00F13B49"/>
    <w:rsid w:val="00F14447"/>
    <w:rsid w:val="00F14619"/>
    <w:rsid w:val="00F14774"/>
    <w:rsid w:val="00F14E0D"/>
    <w:rsid w:val="00F15654"/>
    <w:rsid w:val="00F160F3"/>
    <w:rsid w:val="00F169AF"/>
    <w:rsid w:val="00F16D5B"/>
    <w:rsid w:val="00F172AD"/>
    <w:rsid w:val="00F17C31"/>
    <w:rsid w:val="00F20A4D"/>
    <w:rsid w:val="00F20DB5"/>
    <w:rsid w:val="00F20EF3"/>
    <w:rsid w:val="00F21065"/>
    <w:rsid w:val="00F21116"/>
    <w:rsid w:val="00F2137B"/>
    <w:rsid w:val="00F216FF"/>
    <w:rsid w:val="00F2175F"/>
    <w:rsid w:val="00F2215D"/>
    <w:rsid w:val="00F227CF"/>
    <w:rsid w:val="00F22D2F"/>
    <w:rsid w:val="00F23690"/>
    <w:rsid w:val="00F238C3"/>
    <w:rsid w:val="00F2424D"/>
    <w:rsid w:val="00F245AD"/>
    <w:rsid w:val="00F24FD7"/>
    <w:rsid w:val="00F25675"/>
    <w:rsid w:val="00F25935"/>
    <w:rsid w:val="00F25968"/>
    <w:rsid w:val="00F261D1"/>
    <w:rsid w:val="00F265F4"/>
    <w:rsid w:val="00F26685"/>
    <w:rsid w:val="00F26793"/>
    <w:rsid w:val="00F270B4"/>
    <w:rsid w:val="00F27363"/>
    <w:rsid w:val="00F276D2"/>
    <w:rsid w:val="00F276FF"/>
    <w:rsid w:val="00F27C67"/>
    <w:rsid w:val="00F27EC5"/>
    <w:rsid w:val="00F30BB1"/>
    <w:rsid w:val="00F30D79"/>
    <w:rsid w:val="00F31902"/>
    <w:rsid w:val="00F31BA1"/>
    <w:rsid w:val="00F31E1A"/>
    <w:rsid w:val="00F31FB8"/>
    <w:rsid w:val="00F323AE"/>
    <w:rsid w:val="00F32402"/>
    <w:rsid w:val="00F3271E"/>
    <w:rsid w:val="00F328ED"/>
    <w:rsid w:val="00F3322E"/>
    <w:rsid w:val="00F332C8"/>
    <w:rsid w:val="00F33617"/>
    <w:rsid w:val="00F33F7D"/>
    <w:rsid w:val="00F3428A"/>
    <w:rsid w:val="00F34ACE"/>
    <w:rsid w:val="00F34B0C"/>
    <w:rsid w:val="00F34B30"/>
    <w:rsid w:val="00F3523A"/>
    <w:rsid w:val="00F3578A"/>
    <w:rsid w:val="00F35965"/>
    <w:rsid w:val="00F35A91"/>
    <w:rsid w:val="00F369EC"/>
    <w:rsid w:val="00F36F1E"/>
    <w:rsid w:val="00F37035"/>
    <w:rsid w:val="00F372DC"/>
    <w:rsid w:val="00F37750"/>
    <w:rsid w:val="00F379CB"/>
    <w:rsid w:val="00F37D28"/>
    <w:rsid w:val="00F37F79"/>
    <w:rsid w:val="00F40297"/>
    <w:rsid w:val="00F40CF9"/>
    <w:rsid w:val="00F41292"/>
    <w:rsid w:val="00F415B8"/>
    <w:rsid w:val="00F415EC"/>
    <w:rsid w:val="00F41701"/>
    <w:rsid w:val="00F41B9E"/>
    <w:rsid w:val="00F42583"/>
    <w:rsid w:val="00F42593"/>
    <w:rsid w:val="00F425AB"/>
    <w:rsid w:val="00F42941"/>
    <w:rsid w:val="00F42D5E"/>
    <w:rsid w:val="00F434BF"/>
    <w:rsid w:val="00F43540"/>
    <w:rsid w:val="00F43608"/>
    <w:rsid w:val="00F43A8C"/>
    <w:rsid w:val="00F43B73"/>
    <w:rsid w:val="00F43D8E"/>
    <w:rsid w:val="00F43EEC"/>
    <w:rsid w:val="00F4400E"/>
    <w:rsid w:val="00F444A7"/>
    <w:rsid w:val="00F44569"/>
    <w:rsid w:val="00F446BA"/>
    <w:rsid w:val="00F44912"/>
    <w:rsid w:val="00F44BFC"/>
    <w:rsid w:val="00F4565F"/>
    <w:rsid w:val="00F45B01"/>
    <w:rsid w:val="00F45BE4"/>
    <w:rsid w:val="00F466A0"/>
    <w:rsid w:val="00F4679A"/>
    <w:rsid w:val="00F46AE2"/>
    <w:rsid w:val="00F46E4F"/>
    <w:rsid w:val="00F47BDD"/>
    <w:rsid w:val="00F5037E"/>
    <w:rsid w:val="00F50385"/>
    <w:rsid w:val="00F50695"/>
    <w:rsid w:val="00F507B7"/>
    <w:rsid w:val="00F50A2C"/>
    <w:rsid w:val="00F50BC6"/>
    <w:rsid w:val="00F50D0C"/>
    <w:rsid w:val="00F51EA2"/>
    <w:rsid w:val="00F51F14"/>
    <w:rsid w:val="00F526FF"/>
    <w:rsid w:val="00F52A15"/>
    <w:rsid w:val="00F52B82"/>
    <w:rsid w:val="00F52D43"/>
    <w:rsid w:val="00F52D73"/>
    <w:rsid w:val="00F52FEB"/>
    <w:rsid w:val="00F53132"/>
    <w:rsid w:val="00F53257"/>
    <w:rsid w:val="00F53399"/>
    <w:rsid w:val="00F53575"/>
    <w:rsid w:val="00F541D7"/>
    <w:rsid w:val="00F54B06"/>
    <w:rsid w:val="00F54CA0"/>
    <w:rsid w:val="00F55020"/>
    <w:rsid w:val="00F555CD"/>
    <w:rsid w:val="00F55EC3"/>
    <w:rsid w:val="00F56251"/>
    <w:rsid w:val="00F56681"/>
    <w:rsid w:val="00F56AC8"/>
    <w:rsid w:val="00F56B69"/>
    <w:rsid w:val="00F572D8"/>
    <w:rsid w:val="00F574E8"/>
    <w:rsid w:val="00F5782C"/>
    <w:rsid w:val="00F57DF9"/>
    <w:rsid w:val="00F606F8"/>
    <w:rsid w:val="00F610C7"/>
    <w:rsid w:val="00F61F33"/>
    <w:rsid w:val="00F621F7"/>
    <w:rsid w:val="00F6252C"/>
    <w:rsid w:val="00F6458A"/>
    <w:rsid w:val="00F648EA"/>
    <w:rsid w:val="00F6506F"/>
    <w:rsid w:val="00F65100"/>
    <w:rsid w:val="00F659E2"/>
    <w:rsid w:val="00F65AF4"/>
    <w:rsid w:val="00F65C82"/>
    <w:rsid w:val="00F65D94"/>
    <w:rsid w:val="00F65FE9"/>
    <w:rsid w:val="00F669A1"/>
    <w:rsid w:val="00F66D5C"/>
    <w:rsid w:val="00F66E18"/>
    <w:rsid w:val="00F672D1"/>
    <w:rsid w:val="00F67568"/>
    <w:rsid w:val="00F679EB"/>
    <w:rsid w:val="00F67CB1"/>
    <w:rsid w:val="00F67EA7"/>
    <w:rsid w:val="00F701F3"/>
    <w:rsid w:val="00F7029F"/>
    <w:rsid w:val="00F70674"/>
    <w:rsid w:val="00F706DE"/>
    <w:rsid w:val="00F70819"/>
    <w:rsid w:val="00F708B4"/>
    <w:rsid w:val="00F709B1"/>
    <w:rsid w:val="00F70D99"/>
    <w:rsid w:val="00F71332"/>
    <w:rsid w:val="00F719B4"/>
    <w:rsid w:val="00F71ECF"/>
    <w:rsid w:val="00F721C6"/>
    <w:rsid w:val="00F72501"/>
    <w:rsid w:val="00F72567"/>
    <w:rsid w:val="00F729B1"/>
    <w:rsid w:val="00F729EE"/>
    <w:rsid w:val="00F73108"/>
    <w:rsid w:val="00F7324E"/>
    <w:rsid w:val="00F7364B"/>
    <w:rsid w:val="00F7369B"/>
    <w:rsid w:val="00F7382E"/>
    <w:rsid w:val="00F73A86"/>
    <w:rsid w:val="00F73BD4"/>
    <w:rsid w:val="00F73E74"/>
    <w:rsid w:val="00F74A05"/>
    <w:rsid w:val="00F74AEF"/>
    <w:rsid w:val="00F75364"/>
    <w:rsid w:val="00F75C38"/>
    <w:rsid w:val="00F75F4F"/>
    <w:rsid w:val="00F769B2"/>
    <w:rsid w:val="00F770EB"/>
    <w:rsid w:val="00F803AA"/>
    <w:rsid w:val="00F80661"/>
    <w:rsid w:val="00F80BCA"/>
    <w:rsid w:val="00F80F0D"/>
    <w:rsid w:val="00F8134D"/>
    <w:rsid w:val="00F81646"/>
    <w:rsid w:val="00F820B4"/>
    <w:rsid w:val="00F822C5"/>
    <w:rsid w:val="00F82320"/>
    <w:rsid w:val="00F825C9"/>
    <w:rsid w:val="00F82882"/>
    <w:rsid w:val="00F8336D"/>
    <w:rsid w:val="00F83981"/>
    <w:rsid w:val="00F83A1A"/>
    <w:rsid w:val="00F83BA0"/>
    <w:rsid w:val="00F83D8C"/>
    <w:rsid w:val="00F84A3D"/>
    <w:rsid w:val="00F84E25"/>
    <w:rsid w:val="00F850C2"/>
    <w:rsid w:val="00F850F7"/>
    <w:rsid w:val="00F854B0"/>
    <w:rsid w:val="00F85C6E"/>
    <w:rsid w:val="00F86107"/>
    <w:rsid w:val="00F862CD"/>
    <w:rsid w:val="00F866B3"/>
    <w:rsid w:val="00F86D4B"/>
    <w:rsid w:val="00F873E5"/>
    <w:rsid w:val="00F87412"/>
    <w:rsid w:val="00F874DC"/>
    <w:rsid w:val="00F876AD"/>
    <w:rsid w:val="00F87769"/>
    <w:rsid w:val="00F87958"/>
    <w:rsid w:val="00F9041A"/>
    <w:rsid w:val="00F91CC9"/>
    <w:rsid w:val="00F920E6"/>
    <w:rsid w:val="00F92D10"/>
    <w:rsid w:val="00F932AC"/>
    <w:rsid w:val="00F9360F"/>
    <w:rsid w:val="00F93C76"/>
    <w:rsid w:val="00F93EAB"/>
    <w:rsid w:val="00F945DA"/>
    <w:rsid w:val="00F948E4"/>
    <w:rsid w:val="00F94C83"/>
    <w:rsid w:val="00F9590C"/>
    <w:rsid w:val="00F95F38"/>
    <w:rsid w:val="00F963D7"/>
    <w:rsid w:val="00F967BC"/>
    <w:rsid w:val="00F96ABC"/>
    <w:rsid w:val="00F9737D"/>
    <w:rsid w:val="00F97419"/>
    <w:rsid w:val="00F975EB"/>
    <w:rsid w:val="00F97CBA"/>
    <w:rsid w:val="00F97E2F"/>
    <w:rsid w:val="00FA0676"/>
    <w:rsid w:val="00FA069D"/>
    <w:rsid w:val="00FA090F"/>
    <w:rsid w:val="00FA0A95"/>
    <w:rsid w:val="00FA116C"/>
    <w:rsid w:val="00FA1690"/>
    <w:rsid w:val="00FA1F55"/>
    <w:rsid w:val="00FA2943"/>
    <w:rsid w:val="00FA308B"/>
    <w:rsid w:val="00FA35DC"/>
    <w:rsid w:val="00FA3799"/>
    <w:rsid w:val="00FA3CC8"/>
    <w:rsid w:val="00FA4FEF"/>
    <w:rsid w:val="00FA5181"/>
    <w:rsid w:val="00FA576E"/>
    <w:rsid w:val="00FA57F5"/>
    <w:rsid w:val="00FA60D8"/>
    <w:rsid w:val="00FA6F91"/>
    <w:rsid w:val="00FA7026"/>
    <w:rsid w:val="00FA727D"/>
    <w:rsid w:val="00FA761C"/>
    <w:rsid w:val="00FA7B2D"/>
    <w:rsid w:val="00FA7CFA"/>
    <w:rsid w:val="00FB09BC"/>
    <w:rsid w:val="00FB0BBE"/>
    <w:rsid w:val="00FB0CA3"/>
    <w:rsid w:val="00FB12D0"/>
    <w:rsid w:val="00FB14D2"/>
    <w:rsid w:val="00FB2201"/>
    <w:rsid w:val="00FB23D4"/>
    <w:rsid w:val="00FB252A"/>
    <w:rsid w:val="00FB2E94"/>
    <w:rsid w:val="00FB2F52"/>
    <w:rsid w:val="00FB316B"/>
    <w:rsid w:val="00FB3BE2"/>
    <w:rsid w:val="00FB3DF7"/>
    <w:rsid w:val="00FB4096"/>
    <w:rsid w:val="00FB4965"/>
    <w:rsid w:val="00FB4C3A"/>
    <w:rsid w:val="00FB5008"/>
    <w:rsid w:val="00FB53AB"/>
    <w:rsid w:val="00FB547B"/>
    <w:rsid w:val="00FB5554"/>
    <w:rsid w:val="00FB56E5"/>
    <w:rsid w:val="00FB6257"/>
    <w:rsid w:val="00FB6545"/>
    <w:rsid w:val="00FB6BF4"/>
    <w:rsid w:val="00FB7686"/>
    <w:rsid w:val="00FB7864"/>
    <w:rsid w:val="00FB7CFB"/>
    <w:rsid w:val="00FB7D1F"/>
    <w:rsid w:val="00FC0227"/>
    <w:rsid w:val="00FC1245"/>
    <w:rsid w:val="00FC158A"/>
    <w:rsid w:val="00FC1B6B"/>
    <w:rsid w:val="00FC1CAB"/>
    <w:rsid w:val="00FC1E19"/>
    <w:rsid w:val="00FC24FA"/>
    <w:rsid w:val="00FC2A79"/>
    <w:rsid w:val="00FC2E22"/>
    <w:rsid w:val="00FC2FBA"/>
    <w:rsid w:val="00FC338A"/>
    <w:rsid w:val="00FC384B"/>
    <w:rsid w:val="00FC4C1E"/>
    <w:rsid w:val="00FC4C7C"/>
    <w:rsid w:val="00FC4D3B"/>
    <w:rsid w:val="00FC4F99"/>
    <w:rsid w:val="00FC513C"/>
    <w:rsid w:val="00FC529A"/>
    <w:rsid w:val="00FC5428"/>
    <w:rsid w:val="00FC5A5B"/>
    <w:rsid w:val="00FC5EEB"/>
    <w:rsid w:val="00FC67B3"/>
    <w:rsid w:val="00FC6B8D"/>
    <w:rsid w:val="00FC6F35"/>
    <w:rsid w:val="00FC708D"/>
    <w:rsid w:val="00FC70EE"/>
    <w:rsid w:val="00FC72F9"/>
    <w:rsid w:val="00FC7400"/>
    <w:rsid w:val="00FC741E"/>
    <w:rsid w:val="00FC7BC1"/>
    <w:rsid w:val="00FD0026"/>
    <w:rsid w:val="00FD0621"/>
    <w:rsid w:val="00FD0800"/>
    <w:rsid w:val="00FD0EE1"/>
    <w:rsid w:val="00FD1D83"/>
    <w:rsid w:val="00FD2036"/>
    <w:rsid w:val="00FD226C"/>
    <w:rsid w:val="00FD22CA"/>
    <w:rsid w:val="00FD240B"/>
    <w:rsid w:val="00FD35DB"/>
    <w:rsid w:val="00FD39FC"/>
    <w:rsid w:val="00FD4AA4"/>
    <w:rsid w:val="00FD4CE4"/>
    <w:rsid w:val="00FD54CD"/>
    <w:rsid w:val="00FD55FF"/>
    <w:rsid w:val="00FD58C8"/>
    <w:rsid w:val="00FD5D6C"/>
    <w:rsid w:val="00FD5E0D"/>
    <w:rsid w:val="00FD5E17"/>
    <w:rsid w:val="00FD5FBF"/>
    <w:rsid w:val="00FD6548"/>
    <w:rsid w:val="00FD6AF8"/>
    <w:rsid w:val="00FD7185"/>
    <w:rsid w:val="00FD7550"/>
    <w:rsid w:val="00FD76F0"/>
    <w:rsid w:val="00FE0404"/>
    <w:rsid w:val="00FE0FC4"/>
    <w:rsid w:val="00FE0FEC"/>
    <w:rsid w:val="00FE1A20"/>
    <w:rsid w:val="00FE249D"/>
    <w:rsid w:val="00FE24AB"/>
    <w:rsid w:val="00FE26C6"/>
    <w:rsid w:val="00FE2BFE"/>
    <w:rsid w:val="00FE2CA6"/>
    <w:rsid w:val="00FE341E"/>
    <w:rsid w:val="00FE3708"/>
    <w:rsid w:val="00FE3F2F"/>
    <w:rsid w:val="00FE3F6D"/>
    <w:rsid w:val="00FE476C"/>
    <w:rsid w:val="00FE5F4A"/>
    <w:rsid w:val="00FE5FB0"/>
    <w:rsid w:val="00FE620A"/>
    <w:rsid w:val="00FE65A4"/>
    <w:rsid w:val="00FE67B0"/>
    <w:rsid w:val="00FE6CBD"/>
    <w:rsid w:val="00FE78DB"/>
    <w:rsid w:val="00FE7B39"/>
    <w:rsid w:val="00FE7BB6"/>
    <w:rsid w:val="00FF05DB"/>
    <w:rsid w:val="00FF097E"/>
    <w:rsid w:val="00FF0A7D"/>
    <w:rsid w:val="00FF0B4C"/>
    <w:rsid w:val="00FF0EAB"/>
    <w:rsid w:val="00FF0ED8"/>
    <w:rsid w:val="00FF108A"/>
    <w:rsid w:val="00FF1149"/>
    <w:rsid w:val="00FF121E"/>
    <w:rsid w:val="00FF19C2"/>
    <w:rsid w:val="00FF1B12"/>
    <w:rsid w:val="00FF295A"/>
    <w:rsid w:val="00FF2C33"/>
    <w:rsid w:val="00FF31CA"/>
    <w:rsid w:val="00FF422E"/>
    <w:rsid w:val="00FF4295"/>
    <w:rsid w:val="00FF45E7"/>
    <w:rsid w:val="00FF4920"/>
    <w:rsid w:val="00FF4CC4"/>
    <w:rsid w:val="00FF5238"/>
    <w:rsid w:val="00FF5336"/>
    <w:rsid w:val="00FF56BC"/>
    <w:rsid w:val="00FF587D"/>
    <w:rsid w:val="00FF5E42"/>
    <w:rsid w:val="00FF646F"/>
    <w:rsid w:val="00FF67F6"/>
    <w:rsid w:val="00FF6AD5"/>
    <w:rsid w:val="00FF7172"/>
    <w:rsid w:val="00FF74B6"/>
    <w:rsid w:val="00FF7643"/>
    <w:rsid w:val="00FF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11E5C"/>
  <w15:docId w15:val="{931B8D3F-FA9B-4FC9-A4F3-48C7BA63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717"/>
    <w:pPr>
      <w:spacing w:after="200" w:line="276" w:lineRule="auto"/>
    </w:pPr>
    <w:rPr>
      <w:rFonts w:ascii="Arial" w:eastAsia="SimHei" w:hAnsi="Arial"/>
      <w:sz w:val="22"/>
      <w:szCs w:val="22"/>
      <w:lang w:val="en-SG" w:eastAsia="zh-CN"/>
    </w:rPr>
  </w:style>
  <w:style w:type="paragraph" w:styleId="Heading1">
    <w:name w:val="heading 1"/>
    <w:qFormat/>
    <w:rsid w:val="00DC0DFB"/>
    <w:pPr>
      <w:keepNext/>
      <w:keepLines/>
      <w:numPr>
        <w:numId w:val="1"/>
      </w:numPr>
      <w:spacing w:after="240" w:line="290" w:lineRule="auto"/>
      <w:jc w:val="both"/>
      <w:outlineLvl w:val="0"/>
    </w:pPr>
    <w:rPr>
      <w:rFonts w:ascii="Arial" w:hAnsi="Arial"/>
      <w:b/>
      <w:sz w:val="22"/>
      <w:szCs w:val="22"/>
      <w:lang w:eastAsia="zh-CN"/>
    </w:rPr>
  </w:style>
  <w:style w:type="paragraph" w:styleId="Heading2">
    <w:name w:val="heading 2"/>
    <w:qFormat/>
    <w:rsid w:val="00DC0DFB"/>
    <w:pPr>
      <w:keepNext/>
      <w:keepLines/>
      <w:numPr>
        <w:ilvl w:val="1"/>
        <w:numId w:val="1"/>
      </w:numPr>
      <w:spacing w:after="240" w:line="290" w:lineRule="auto"/>
      <w:jc w:val="both"/>
      <w:outlineLvl w:val="1"/>
    </w:pPr>
    <w:rPr>
      <w:rFonts w:ascii="Arial" w:hAnsi="Arial"/>
      <w:lang w:val="en-GB" w:eastAsia="zh-CN"/>
    </w:rPr>
  </w:style>
  <w:style w:type="paragraph" w:styleId="Heading3">
    <w:name w:val="heading 3"/>
    <w:qFormat/>
    <w:rsid w:val="00DC0DFB"/>
    <w:pPr>
      <w:numPr>
        <w:ilvl w:val="2"/>
        <w:numId w:val="1"/>
      </w:numPr>
      <w:spacing w:after="240" w:line="290" w:lineRule="auto"/>
      <w:jc w:val="both"/>
      <w:outlineLvl w:val="2"/>
    </w:pPr>
    <w:rPr>
      <w:rFonts w:ascii="Arial" w:hAnsi="Arial"/>
      <w:lang w:val="en-GB" w:eastAsia="zh-CN"/>
    </w:rPr>
  </w:style>
  <w:style w:type="paragraph" w:styleId="Heading4">
    <w:name w:val="heading 4"/>
    <w:qFormat/>
    <w:rsid w:val="00DC0DFB"/>
    <w:pPr>
      <w:numPr>
        <w:ilvl w:val="3"/>
        <w:numId w:val="1"/>
      </w:numPr>
      <w:spacing w:after="240" w:line="290" w:lineRule="auto"/>
      <w:jc w:val="both"/>
      <w:outlineLvl w:val="3"/>
    </w:pPr>
    <w:rPr>
      <w:rFonts w:ascii="Arial" w:hAnsi="Arial"/>
      <w:lang w:val="en-GB" w:eastAsia="zh-CN"/>
    </w:rPr>
  </w:style>
  <w:style w:type="paragraph" w:styleId="Heading5">
    <w:name w:val="heading 5"/>
    <w:qFormat/>
    <w:rsid w:val="00DC0DFB"/>
    <w:pPr>
      <w:numPr>
        <w:ilvl w:val="4"/>
        <w:numId w:val="1"/>
      </w:numPr>
      <w:spacing w:after="240" w:line="290" w:lineRule="auto"/>
      <w:jc w:val="both"/>
      <w:outlineLvl w:val="4"/>
    </w:pPr>
    <w:rPr>
      <w:rFonts w:ascii="Arial" w:hAnsi="Arial"/>
      <w:lang w:val="en-GB" w:eastAsia="zh-CN"/>
    </w:rPr>
  </w:style>
  <w:style w:type="paragraph" w:styleId="Heading6">
    <w:name w:val="heading 6"/>
    <w:qFormat/>
    <w:rsid w:val="00DC0DFB"/>
    <w:pPr>
      <w:numPr>
        <w:ilvl w:val="5"/>
        <w:numId w:val="1"/>
      </w:numPr>
      <w:spacing w:after="240" w:line="290" w:lineRule="auto"/>
      <w:jc w:val="both"/>
      <w:outlineLvl w:val="5"/>
    </w:pPr>
    <w:rPr>
      <w:rFonts w:ascii="Arial" w:hAnsi="Arial"/>
      <w:lang w:val="en-GB" w:eastAsia="zh-CN"/>
    </w:rPr>
  </w:style>
  <w:style w:type="paragraph" w:styleId="Heading7">
    <w:name w:val="heading 7"/>
    <w:qFormat/>
    <w:rsid w:val="00DC0DFB"/>
    <w:pPr>
      <w:numPr>
        <w:ilvl w:val="6"/>
        <w:numId w:val="1"/>
      </w:numPr>
      <w:spacing w:after="240" w:line="290" w:lineRule="auto"/>
      <w:jc w:val="both"/>
      <w:outlineLvl w:val="6"/>
    </w:pPr>
    <w:rPr>
      <w:rFonts w:ascii="Arial" w:hAnsi="Arial"/>
      <w:lang w:val="en-GB" w:eastAsia="zh-CN"/>
    </w:rPr>
  </w:style>
  <w:style w:type="paragraph" w:styleId="Heading8">
    <w:name w:val="heading 8"/>
    <w:qFormat/>
    <w:rsid w:val="00DC0DFB"/>
    <w:pPr>
      <w:numPr>
        <w:ilvl w:val="7"/>
        <w:numId w:val="1"/>
      </w:numPr>
      <w:spacing w:after="240" w:line="290" w:lineRule="auto"/>
      <w:jc w:val="both"/>
      <w:outlineLvl w:val="7"/>
    </w:pPr>
    <w:rPr>
      <w:rFonts w:ascii="Arial" w:hAnsi="Arial"/>
      <w:lang w:val="en-GB" w:eastAsia="zh-CN"/>
    </w:rPr>
  </w:style>
  <w:style w:type="paragraph" w:styleId="Heading9">
    <w:name w:val="heading 9"/>
    <w:qFormat/>
    <w:rsid w:val="00DC0DFB"/>
    <w:pPr>
      <w:numPr>
        <w:ilvl w:val="8"/>
        <w:numId w:val="1"/>
      </w:numPr>
      <w:spacing w:after="240" w:line="290" w:lineRule="auto"/>
      <w:jc w:val="both"/>
      <w:outlineLvl w:val="8"/>
    </w:pPr>
    <w:rPr>
      <w:rFonts w:ascii="Arial" w:hAnsi="Arial"/>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0DFB"/>
    <w:pPr>
      <w:tabs>
        <w:tab w:val="center" w:pos="4153"/>
        <w:tab w:val="right" w:pos="8306"/>
      </w:tabs>
      <w:spacing w:after="140"/>
      <w:jc w:val="both"/>
    </w:pPr>
    <w:rPr>
      <w:rFonts w:eastAsia="Times New Roman"/>
      <w:lang w:eastAsia="en-US"/>
    </w:rPr>
  </w:style>
  <w:style w:type="paragraph" w:styleId="Footer">
    <w:name w:val="footer"/>
    <w:basedOn w:val="Normal"/>
    <w:rsid w:val="00715777"/>
    <w:pPr>
      <w:tabs>
        <w:tab w:val="center" w:pos="4153"/>
        <w:tab w:val="right" w:pos="8306"/>
      </w:tabs>
    </w:pPr>
    <w:rPr>
      <w:sz w:val="16"/>
    </w:rPr>
  </w:style>
  <w:style w:type="paragraph" w:customStyle="1" w:styleId="AppendixH1">
    <w:name w:val="Appendix H1"/>
    <w:rsid w:val="00DC0DFB"/>
    <w:pPr>
      <w:keepNext/>
      <w:keepLines/>
      <w:numPr>
        <w:ilvl w:val="3"/>
        <w:numId w:val="2"/>
      </w:numPr>
      <w:spacing w:after="240" w:line="290" w:lineRule="auto"/>
      <w:jc w:val="both"/>
      <w:outlineLvl w:val="3"/>
    </w:pPr>
    <w:rPr>
      <w:rFonts w:ascii="Arial" w:hAnsi="Arial"/>
      <w:b/>
      <w:sz w:val="22"/>
      <w:szCs w:val="22"/>
      <w:lang w:eastAsia="zh-CN"/>
    </w:rPr>
  </w:style>
  <w:style w:type="paragraph" w:customStyle="1" w:styleId="AppendixH2">
    <w:name w:val="Appendix H2"/>
    <w:rsid w:val="00DC0DFB"/>
    <w:pPr>
      <w:keepNext/>
      <w:keepLines/>
      <w:numPr>
        <w:ilvl w:val="4"/>
        <w:numId w:val="2"/>
      </w:numPr>
      <w:spacing w:after="240" w:line="290" w:lineRule="auto"/>
      <w:jc w:val="both"/>
      <w:outlineLvl w:val="4"/>
    </w:pPr>
    <w:rPr>
      <w:rFonts w:ascii="Arial" w:hAnsi="Arial"/>
      <w:lang w:val="en-GB" w:eastAsia="zh-CN"/>
    </w:rPr>
  </w:style>
  <w:style w:type="paragraph" w:customStyle="1" w:styleId="AppendixH3">
    <w:name w:val="Appendix H3"/>
    <w:rsid w:val="00DC0DFB"/>
    <w:pPr>
      <w:numPr>
        <w:ilvl w:val="5"/>
        <w:numId w:val="2"/>
      </w:numPr>
      <w:spacing w:after="240" w:line="290" w:lineRule="auto"/>
      <w:jc w:val="both"/>
      <w:outlineLvl w:val="5"/>
    </w:pPr>
    <w:rPr>
      <w:rFonts w:ascii="Arial" w:hAnsi="Arial"/>
      <w:lang w:val="en-GB" w:eastAsia="zh-CN"/>
    </w:rPr>
  </w:style>
  <w:style w:type="paragraph" w:customStyle="1" w:styleId="AppendixH4">
    <w:name w:val="Appendix H4"/>
    <w:rsid w:val="00DC0DFB"/>
    <w:pPr>
      <w:numPr>
        <w:ilvl w:val="6"/>
        <w:numId w:val="2"/>
      </w:numPr>
      <w:spacing w:after="240" w:line="290" w:lineRule="auto"/>
      <w:jc w:val="both"/>
      <w:outlineLvl w:val="6"/>
    </w:pPr>
    <w:rPr>
      <w:rFonts w:ascii="Arial" w:hAnsi="Arial"/>
      <w:lang w:val="en-GB" w:eastAsia="zh-CN"/>
    </w:rPr>
  </w:style>
  <w:style w:type="paragraph" w:customStyle="1" w:styleId="AppendixH5">
    <w:name w:val="Appendix H5"/>
    <w:rsid w:val="00DC0DFB"/>
    <w:pPr>
      <w:numPr>
        <w:ilvl w:val="7"/>
        <w:numId w:val="2"/>
      </w:numPr>
      <w:spacing w:after="240" w:line="290" w:lineRule="auto"/>
      <w:jc w:val="both"/>
      <w:outlineLvl w:val="7"/>
    </w:pPr>
    <w:rPr>
      <w:rFonts w:ascii="Arial" w:hAnsi="Arial"/>
      <w:lang w:val="en-GB" w:eastAsia="zh-CN"/>
    </w:rPr>
  </w:style>
  <w:style w:type="paragraph" w:customStyle="1" w:styleId="AppendixH6">
    <w:name w:val="Appendix H6"/>
    <w:rsid w:val="00DC0DFB"/>
    <w:pPr>
      <w:numPr>
        <w:ilvl w:val="8"/>
        <w:numId w:val="2"/>
      </w:numPr>
      <w:spacing w:after="240" w:line="290" w:lineRule="auto"/>
      <w:jc w:val="both"/>
      <w:outlineLvl w:val="8"/>
    </w:pPr>
    <w:rPr>
      <w:rFonts w:ascii="Arial" w:hAnsi="Arial"/>
      <w:lang w:eastAsia="zh-CN"/>
    </w:rPr>
  </w:style>
  <w:style w:type="paragraph" w:customStyle="1" w:styleId="Appendix-1Title">
    <w:name w:val="Appendix-1Title"/>
    <w:rsid w:val="00DC0DFB"/>
    <w:pPr>
      <w:pageBreakBefore/>
      <w:numPr>
        <w:numId w:val="2"/>
      </w:numPr>
      <w:spacing w:after="240" w:line="290" w:lineRule="auto"/>
      <w:jc w:val="center"/>
      <w:outlineLvl w:val="0"/>
    </w:pPr>
    <w:rPr>
      <w:rFonts w:ascii="Arial" w:hAnsi="Arial" w:cs="Arial"/>
      <w:b/>
      <w:bCs/>
      <w:sz w:val="22"/>
      <w:szCs w:val="22"/>
      <w:lang w:val="en-GB" w:eastAsia="zh-CN"/>
    </w:rPr>
  </w:style>
  <w:style w:type="paragraph" w:customStyle="1" w:styleId="Appendix-2Title">
    <w:name w:val="Appendix-2Title"/>
    <w:rsid w:val="00DC0DFB"/>
    <w:pPr>
      <w:keepNext/>
      <w:keepLines/>
      <w:numPr>
        <w:ilvl w:val="1"/>
        <w:numId w:val="2"/>
      </w:numPr>
      <w:spacing w:after="240" w:line="290" w:lineRule="auto"/>
      <w:jc w:val="both"/>
      <w:outlineLvl w:val="1"/>
    </w:pPr>
    <w:rPr>
      <w:rFonts w:ascii="Arial" w:hAnsi="Arial"/>
      <w:b/>
      <w:noProof/>
      <w:lang w:val="en-GB" w:eastAsia="zh-CN"/>
    </w:rPr>
  </w:style>
  <w:style w:type="paragraph" w:customStyle="1" w:styleId="Appendix-3Title">
    <w:name w:val="Appendix-3Title"/>
    <w:rsid w:val="00DC0DFB"/>
    <w:pPr>
      <w:keepLines/>
      <w:numPr>
        <w:ilvl w:val="2"/>
        <w:numId w:val="2"/>
      </w:numPr>
      <w:spacing w:after="240" w:line="290" w:lineRule="auto"/>
      <w:jc w:val="both"/>
      <w:outlineLvl w:val="2"/>
    </w:pPr>
    <w:rPr>
      <w:rFonts w:ascii="Arial Bold" w:hAnsi="Arial Bold"/>
      <w:b/>
      <w:noProof/>
      <w:lang w:val="en-GB" w:eastAsia="zh-CN"/>
    </w:rPr>
  </w:style>
  <w:style w:type="paragraph" w:styleId="BodyText">
    <w:name w:val="Body Text"/>
    <w:rsid w:val="00DC0DFB"/>
    <w:pPr>
      <w:spacing w:after="240" w:line="290" w:lineRule="auto"/>
      <w:jc w:val="both"/>
    </w:pPr>
    <w:rPr>
      <w:rFonts w:ascii="Arial" w:hAnsi="Arial"/>
      <w:lang w:val="en-GB" w:eastAsia="zh-CN"/>
    </w:rPr>
  </w:style>
  <w:style w:type="paragraph" w:customStyle="1" w:styleId="BodyText05">
    <w:name w:val="Body Text 0.5"/>
    <w:rsid w:val="00DC0DFB"/>
    <w:pPr>
      <w:spacing w:after="240" w:line="290" w:lineRule="auto"/>
      <w:ind w:left="720"/>
      <w:jc w:val="both"/>
    </w:pPr>
    <w:rPr>
      <w:rFonts w:ascii="Arial" w:hAnsi="Arial"/>
      <w:lang w:val="en-GB"/>
    </w:rPr>
  </w:style>
  <w:style w:type="paragraph" w:customStyle="1" w:styleId="BodyText10">
    <w:name w:val="Body Text 1.0"/>
    <w:rsid w:val="00DC0DFB"/>
    <w:pPr>
      <w:spacing w:after="240" w:line="290" w:lineRule="auto"/>
      <w:ind w:left="1440"/>
      <w:jc w:val="both"/>
    </w:pPr>
    <w:rPr>
      <w:rFonts w:ascii="Arial" w:hAnsi="Arial"/>
      <w:lang w:val="en-GB"/>
    </w:rPr>
  </w:style>
  <w:style w:type="paragraph" w:customStyle="1" w:styleId="BodyText15">
    <w:name w:val="Body Text 1.5"/>
    <w:rsid w:val="00DC0DFB"/>
    <w:pPr>
      <w:spacing w:after="240" w:line="290" w:lineRule="auto"/>
      <w:ind w:left="2160"/>
      <w:jc w:val="both"/>
    </w:pPr>
    <w:rPr>
      <w:rFonts w:ascii="Arial" w:hAnsi="Arial"/>
      <w:lang w:val="en-GB" w:eastAsia="zh-CN"/>
    </w:rPr>
  </w:style>
  <w:style w:type="paragraph" w:customStyle="1" w:styleId="Email">
    <w:name w:val="Email"/>
    <w:rsid w:val="00DC0DFB"/>
    <w:rPr>
      <w:rFonts w:ascii="Arial" w:hAnsi="Arial" w:cs="Arial"/>
      <w:lang w:val="en-GB" w:eastAsia="zh-CN"/>
    </w:rPr>
  </w:style>
  <w:style w:type="character" w:customStyle="1" w:styleId="EmailSignature">
    <w:name w:val="Email Signature"/>
    <w:rsid w:val="00DC0DFB"/>
    <w:rPr>
      <w:rFonts w:ascii="Arial" w:eastAsia="SimSun" w:hAnsi="Arial" w:cs="Arial"/>
      <w:color w:val="auto"/>
      <w:sz w:val="20"/>
      <w:szCs w:val="20"/>
      <w:u w:val="none"/>
      <w:em w:val="none"/>
      <w:lang w:val="en-GB"/>
    </w:rPr>
  </w:style>
  <w:style w:type="character" w:customStyle="1" w:styleId="EmailSignatureBold">
    <w:name w:val="Email Signature Bold"/>
    <w:rsid w:val="00DC0DFB"/>
    <w:rPr>
      <w:rFonts w:ascii="Arial Bold" w:eastAsia="SimSun" w:hAnsi="Arial Bold" w:cs="Arial"/>
      <w:b/>
      <w:bCs/>
      <w:color w:val="auto"/>
      <w:sz w:val="20"/>
      <w:szCs w:val="20"/>
      <w:u w:val="none"/>
      <w:em w:val="none"/>
      <w:lang w:val="en-GB"/>
    </w:rPr>
  </w:style>
  <w:style w:type="character" w:styleId="FollowedHyperlink">
    <w:name w:val="FollowedHyperlink"/>
    <w:rsid w:val="00DC0DFB"/>
    <w:rPr>
      <w:rFonts w:ascii="Arial" w:eastAsia="SimSun" w:hAnsi="Arial"/>
      <w:color w:val="800080"/>
      <w:sz w:val="20"/>
      <w:szCs w:val="20"/>
      <w:u w:val="single"/>
    </w:rPr>
  </w:style>
  <w:style w:type="character" w:styleId="Hyperlink">
    <w:name w:val="Hyperlink"/>
    <w:rsid w:val="00DC0DFB"/>
    <w:rPr>
      <w:rFonts w:ascii="Arial" w:eastAsia="SimSun" w:hAnsi="Arial"/>
      <w:color w:val="0000FF"/>
      <w:sz w:val="20"/>
      <w:szCs w:val="20"/>
      <w:u w:val="single"/>
    </w:rPr>
  </w:style>
  <w:style w:type="paragraph" w:customStyle="1" w:styleId="LetterH1">
    <w:name w:val="Letter H1"/>
    <w:rsid w:val="00DC0DFB"/>
    <w:pPr>
      <w:numPr>
        <w:numId w:val="3"/>
      </w:numPr>
      <w:spacing w:after="240" w:line="290" w:lineRule="auto"/>
      <w:jc w:val="both"/>
      <w:outlineLvl w:val="0"/>
    </w:pPr>
    <w:rPr>
      <w:rFonts w:ascii="Arial" w:hAnsi="Arial"/>
      <w:lang w:val="en-GB" w:eastAsia="zh-CN"/>
    </w:rPr>
  </w:style>
  <w:style w:type="paragraph" w:customStyle="1" w:styleId="LetterH2">
    <w:name w:val="Letter H2"/>
    <w:rsid w:val="00DC0DFB"/>
    <w:pPr>
      <w:numPr>
        <w:ilvl w:val="1"/>
        <w:numId w:val="3"/>
      </w:numPr>
      <w:spacing w:after="240" w:line="290" w:lineRule="auto"/>
      <w:jc w:val="both"/>
      <w:outlineLvl w:val="1"/>
    </w:pPr>
    <w:rPr>
      <w:rFonts w:ascii="Arial" w:hAnsi="Arial"/>
      <w:lang w:val="en-GB" w:eastAsia="zh-CN"/>
    </w:rPr>
  </w:style>
  <w:style w:type="paragraph" w:customStyle="1" w:styleId="LetterH3">
    <w:name w:val="Letter H3"/>
    <w:rsid w:val="00DC0DFB"/>
    <w:pPr>
      <w:numPr>
        <w:ilvl w:val="2"/>
        <w:numId w:val="3"/>
      </w:numPr>
      <w:spacing w:after="240" w:line="290" w:lineRule="auto"/>
      <w:jc w:val="both"/>
      <w:outlineLvl w:val="2"/>
    </w:pPr>
    <w:rPr>
      <w:rFonts w:ascii="Arial" w:hAnsi="Arial"/>
      <w:lang w:val="en-GB" w:eastAsia="zh-CN"/>
    </w:rPr>
  </w:style>
  <w:style w:type="paragraph" w:customStyle="1" w:styleId="LetterH4">
    <w:name w:val="Letter H4"/>
    <w:rsid w:val="00DC0DFB"/>
    <w:pPr>
      <w:numPr>
        <w:ilvl w:val="3"/>
        <w:numId w:val="3"/>
      </w:numPr>
      <w:spacing w:after="240" w:line="290" w:lineRule="auto"/>
      <w:jc w:val="both"/>
      <w:outlineLvl w:val="3"/>
    </w:pPr>
    <w:rPr>
      <w:rFonts w:ascii="Arial" w:hAnsi="Arial"/>
      <w:lang w:val="en-GB" w:eastAsia="zh-CN"/>
    </w:rPr>
  </w:style>
  <w:style w:type="paragraph" w:customStyle="1" w:styleId="LetterH5">
    <w:name w:val="Letter H5"/>
    <w:rsid w:val="00DC0DFB"/>
    <w:pPr>
      <w:numPr>
        <w:ilvl w:val="4"/>
        <w:numId w:val="3"/>
      </w:numPr>
      <w:spacing w:after="240" w:line="290" w:lineRule="auto"/>
      <w:jc w:val="both"/>
      <w:outlineLvl w:val="4"/>
    </w:pPr>
    <w:rPr>
      <w:rFonts w:ascii="Arial" w:hAnsi="Arial"/>
      <w:lang w:val="en-GB" w:eastAsia="zh-CN"/>
    </w:rPr>
  </w:style>
  <w:style w:type="paragraph" w:styleId="NormalWeb">
    <w:name w:val="Normal (Web)"/>
    <w:basedOn w:val="Normal"/>
    <w:rsid w:val="00DC0DFB"/>
    <w:rPr>
      <w:rFonts w:cs="Arial Unicode MS"/>
      <w:lang w:eastAsia="en-US"/>
    </w:rPr>
  </w:style>
  <w:style w:type="paragraph" w:customStyle="1" w:styleId="Parties">
    <w:name w:val="Parties"/>
    <w:rsid w:val="00DC0DFB"/>
    <w:pPr>
      <w:keepLines/>
      <w:numPr>
        <w:numId w:val="4"/>
      </w:numPr>
      <w:spacing w:after="240" w:line="290" w:lineRule="auto"/>
      <w:jc w:val="both"/>
    </w:pPr>
    <w:rPr>
      <w:rFonts w:ascii="Arial" w:hAnsi="Arial"/>
      <w:lang w:eastAsia="zh-CN"/>
    </w:rPr>
  </w:style>
  <w:style w:type="paragraph" w:customStyle="1" w:styleId="Recitals">
    <w:name w:val="Recitals"/>
    <w:rsid w:val="00DC0DFB"/>
    <w:pPr>
      <w:keepLines/>
      <w:numPr>
        <w:numId w:val="5"/>
      </w:numPr>
      <w:spacing w:after="240" w:line="290" w:lineRule="auto"/>
      <w:jc w:val="both"/>
    </w:pPr>
    <w:rPr>
      <w:rFonts w:ascii="Arial" w:hAnsi="Arial"/>
      <w:lang w:eastAsia="zh-CN"/>
    </w:rPr>
  </w:style>
  <w:style w:type="paragraph" w:customStyle="1" w:styleId="ScheduleH1">
    <w:name w:val="Schedule H1"/>
    <w:rsid w:val="00DC0DFB"/>
    <w:pPr>
      <w:keepNext/>
      <w:keepLines/>
      <w:numPr>
        <w:ilvl w:val="3"/>
        <w:numId w:val="6"/>
      </w:numPr>
      <w:spacing w:after="240" w:line="290" w:lineRule="auto"/>
      <w:jc w:val="both"/>
      <w:outlineLvl w:val="3"/>
    </w:pPr>
    <w:rPr>
      <w:rFonts w:ascii="Arial" w:hAnsi="Arial"/>
      <w:b/>
      <w:sz w:val="22"/>
      <w:szCs w:val="22"/>
      <w:lang w:eastAsia="zh-CN"/>
    </w:rPr>
  </w:style>
  <w:style w:type="paragraph" w:customStyle="1" w:styleId="ScheduleH2">
    <w:name w:val="Schedule H2"/>
    <w:rsid w:val="00DC0DFB"/>
    <w:pPr>
      <w:keepNext/>
      <w:keepLines/>
      <w:numPr>
        <w:ilvl w:val="4"/>
        <w:numId w:val="6"/>
      </w:numPr>
      <w:spacing w:after="240" w:line="290" w:lineRule="auto"/>
      <w:jc w:val="both"/>
      <w:outlineLvl w:val="4"/>
    </w:pPr>
    <w:rPr>
      <w:rFonts w:ascii="Arial" w:hAnsi="Arial"/>
      <w:lang w:val="en-GB" w:eastAsia="zh-CN"/>
    </w:rPr>
  </w:style>
  <w:style w:type="paragraph" w:customStyle="1" w:styleId="ScheduleH3">
    <w:name w:val="Schedule H3"/>
    <w:rsid w:val="00DC0DFB"/>
    <w:pPr>
      <w:numPr>
        <w:ilvl w:val="5"/>
        <w:numId w:val="6"/>
      </w:numPr>
      <w:spacing w:after="240" w:line="290" w:lineRule="auto"/>
      <w:jc w:val="both"/>
      <w:outlineLvl w:val="5"/>
    </w:pPr>
    <w:rPr>
      <w:rFonts w:ascii="Arial" w:hAnsi="Arial"/>
      <w:lang w:val="en-GB" w:eastAsia="zh-CN"/>
    </w:rPr>
  </w:style>
  <w:style w:type="paragraph" w:customStyle="1" w:styleId="ScheduleH4">
    <w:name w:val="Schedule H4"/>
    <w:rsid w:val="00DC0DFB"/>
    <w:pPr>
      <w:numPr>
        <w:ilvl w:val="6"/>
        <w:numId w:val="6"/>
      </w:numPr>
      <w:spacing w:after="240" w:line="290" w:lineRule="auto"/>
      <w:jc w:val="both"/>
      <w:outlineLvl w:val="6"/>
    </w:pPr>
    <w:rPr>
      <w:rFonts w:ascii="Arial" w:hAnsi="Arial"/>
      <w:lang w:val="en-GB" w:eastAsia="zh-CN"/>
    </w:rPr>
  </w:style>
  <w:style w:type="paragraph" w:customStyle="1" w:styleId="ScheduleH5">
    <w:name w:val="Schedule H5"/>
    <w:rsid w:val="00DC0DFB"/>
    <w:pPr>
      <w:numPr>
        <w:ilvl w:val="7"/>
        <w:numId w:val="6"/>
      </w:numPr>
      <w:spacing w:after="240" w:line="290" w:lineRule="auto"/>
      <w:jc w:val="both"/>
      <w:outlineLvl w:val="7"/>
    </w:pPr>
    <w:rPr>
      <w:rFonts w:ascii="Arial" w:hAnsi="Arial"/>
      <w:lang w:val="en-GB" w:eastAsia="zh-CN"/>
    </w:rPr>
  </w:style>
  <w:style w:type="paragraph" w:customStyle="1" w:styleId="ScheduleH6">
    <w:name w:val="Schedule H6"/>
    <w:rsid w:val="00DC0DFB"/>
    <w:pPr>
      <w:numPr>
        <w:ilvl w:val="8"/>
        <w:numId w:val="6"/>
      </w:numPr>
      <w:spacing w:after="240" w:line="290" w:lineRule="auto"/>
      <w:jc w:val="both"/>
      <w:outlineLvl w:val="8"/>
    </w:pPr>
    <w:rPr>
      <w:rFonts w:ascii="Arial" w:hAnsi="Arial"/>
      <w:lang w:eastAsia="zh-CN"/>
    </w:rPr>
  </w:style>
  <w:style w:type="paragraph" w:customStyle="1" w:styleId="Schedule-1Title">
    <w:name w:val="Schedule-1Title"/>
    <w:rsid w:val="00DC0DFB"/>
    <w:pPr>
      <w:pageBreakBefore/>
      <w:numPr>
        <w:numId w:val="6"/>
      </w:numPr>
      <w:spacing w:after="240" w:line="290" w:lineRule="auto"/>
      <w:jc w:val="center"/>
      <w:outlineLvl w:val="0"/>
    </w:pPr>
    <w:rPr>
      <w:rFonts w:ascii="Arial" w:hAnsi="Arial" w:cs="Arial"/>
      <w:b/>
      <w:bCs/>
      <w:sz w:val="22"/>
      <w:szCs w:val="22"/>
      <w:lang w:val="en-GB" w:eastAsia="zh-CN"/>
    </w:rPr>
  </w:style>
  <w:style w:type="paragraph" w:customStyle="1" w:styleId="Schedule-2Title">
    <w:name w:val="Schedule-2Title"/>
    <w:rsid w:val="00DC0DFB"/>
    <w:pPr>
      <w:keepNext/>
      <w:keepLines/>
      <w:numPr>
        <w:ilvl w:val="1"/>
        <w:numId w:val="6"/>
      </w:numPr>
      <w:spacing w:after="240" w:line="290" w:lineRule="auto"/>
      <w:jc w:val="both"/>
      <w:outlineLvl w:val="1"/>
    </w:pPr>
    <w:rPr>
      <w:rFonts w:ascii="Arial" w:hAnsi="Arial"/>
      <w:b/>
      <w:lang w:val="en-GB"/>
    </w:rPr>
  </w:style>
  <w:style w:type="paragraph" w:customStyle="1" w:styleId="Schedule-3Title">
    <w:name w:val="Schedule-3Title"/>
    <w:rsid w:val="00DC0DFB"/>
    <w:pPr>
      <w:keepLines/>
      <w:numPr>
        <w:ilvl w:val="2"/>
        <w:numId w:val="6"/>
      </w:numPr>
      <w:spacing w:after="240" w:line="290" w:lineRule="auto"/>
      <w:jc w:val="both"/>
      <w:outlineLvl w:val="2"/>
    </w:pPr>
    <w:rPr>
      <w:rFonts w:ascii="Arial" w:hAnsi="Arial"/>
      <w:noProof/>
      <w:lang w:val="en-GB" w:eastAsia="zh-CN"/>
    </w:rPr>
  </w:style>
  <w:style w:type="numbering" w:customStyle="1" w:styleId="Style-Appendix">
    <w:name w:val="Style-Appendix"/>
    <w:basedOn w:val="NoList"/>
    <w:rsid w:val="00DC0DFB"/>
    <w:pPr>
      <w:numPr>
        <w:numId w:val="2"/>
      </w:numPr>
    </w:pPr>
  </w:style>
  <w:style w:type="numbering" w:customStyle="1" w:styleId="Style-Letter">
    <w:name w:val="Style-Letter"/>
    <w:basedOn w:val="NoList"/>
    <w:rsid w:val="00DC0DFB"/>
    <w:pPr>
      <w:numPr>
        <w:numId w:val="3"/>
      </w:numPr>
    </w:pPr>
  </w:style>
  <w:style w:type="numbering" w:customStyle="1" w:styleId="Style-Parties">
    <w:name w:val="Style-Parties"/>
    <w:basedOn w:val="NoList"/>
    <w:rsid w:val="00DC0DFB"/>
    <w:pPr>
      <w:numPr>
        <w:numId w:val="4"/>
      </w:numPr>
    </w:pPr>
  </w:style>
  <w:style w:type="numbering" w:customStyle="1" w:styleId="Style-Recitals">
    <w:name w:val="Style-Recitals"/>
    <w:basedOn w:val="NoList"/>
    <w:rsid w:val="00DC0DFB"/>
    <w:pPr>
      <w:numPr>
        <w:numId w:val="5"/>
      </w:numPr>
    </w:pPr>
  </w:style>
  <w:style w:type="numbering" w:customStyle="1" w:styleId="Style-Schedule">
    <w:name w:val="Style-Schedule"/>
    <w:basedOn w:val="NoList"/>
    <w:rsid w:val="00DC0DFB"/>
    <w:pPr>
      <w:numPr>
        <w:numId w:val="29"/>
      </w:numPr>
    </w:pPr>
  </w:style>
  <w:style w:type="table" w:styleId="TableGrid">
    <w:name w:val="Table Grid"/>
    <w:basedOn w:val="TableNormal"/>
    <w:rsid w:val="00DC0DFB"/>
    <w:pPr>
      <w:keepLines/>
      <w:spacing w:line="29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DC0DFB"/>
    <w:pPr>
      <w:tabs>
        <w:tab w:val="left" w:pos="720"/>
        <w:tab w:val="right" w:leader="dot" w:pos="8726"/>
      </w:tabs>
      <w:spacing w:before="120" w:after="120"/>
      <w:ind w:left="720" w:hanging="720"/>
    </w:pPr>
    <w:rPr>
      <w:rFonts w:ascii="Arial Bold" w:hAnsi="Arial Bold"/>
      <w:b/>
      <w:sz w:val="22"/>
      <w:szCs w:val="22"/>
      <w:lang w:eastAsia="zh-CN"/>
    </w:rPr>
  </w:style>
  <w:style w:type="paragraph" w:styleId="TOC2">
    <w:name w:val="toc 2"/>
    <w:next w:val="Normal"/>
    <w:rsid w:val="00DC0DFB"/>
    <w:pPr>
      <w:tabs>
        <w:tab w:val="left" w:pos="1440"/>
        <w:tab w:val="right" w:leader="dot" w:pos="8726"/>
      </w:tabs>
      <w:spacing w:before="120" w:after="120"/>
      <w:ind w:left="1440" w:hanging="720"/>
    </w:pPr>
    <w:rPr>
      <w:rFonts w:ascii="Arial Bold" w:hAnsi="Arial Bold"/>
      <w:b/>
      <w:sz w:val="22"/>
      <w:szCs w:val="22"/>
      <w:lang w:val="en-GB" w:eastAsia="zh-CN"/>
    </w:rPr>
  </w:style>
  <w:style w:type="paragraph" w:styleId="TOC3">
    <w:name w:val="toc 3"/>
    <w:next w:val="Normal"/>
    <w:rsid w:val="00DC0DFB"/>
    <w:pPr>
      <w:tabs>
        <w:tab w:val="left" w:pos="2160"/>
        <w:tab w:val="right" w:leader="dot" w:pos="8726"/>
      </w:tabs>
      <w:spacing w:before="120" w:after="120"/>
      <w:ind w:left="2160" w:hanging="720"/>
    </w:pPr>
    <w:rPr>
      <w:rFonts w:ascii="Arial Bold" w:hAnsi="Arial Bold"/>
      <w:b/>
      <w:sz w:val="22"/>
      <w:szCs w:val="22"/>
      <w:lang w:val="en-GB" w:eastAsia="zh-CN"/>
    </w:rPr>
  </w:style>
  <w:style w:type="paragraph" w:customStyle="1" w:styleId="TOCSub">
    <w:name w:val="TOC Sub"/>
    <w:rsid w:val="00DC0DFB"/>
    <w:pPr>
      <w:tabs>
        <w:tab w:val="right" w:pos="8726"/>
      </w:tabs>
      <w:spacing w:before="120" w:after="120"/>
    </w:pPr>
    <w:rPr>
      <w:rFonts w:ascii="Arial Bold" w:hAnsi="Arial Bold"/>
      <w:b/>
      <w:lang w:eastAsia="zh-CN"/>
    </w:rPr>
  </w:style>
  <w:style w:type="paragraph" w:customStyle="1" w:styleId="TOCTitle">
    <w:name w:val="TOC Title"/>
    <w:rsid w:val="00DC0DFB"/>
    <w:pPr>
      <w:spacing w:before="120" w:after="120"/>
      <w:jc w:val="center"/>
    </w:pPr>
    <w:rPr>
      <w:rFonts w:ascii="Arial Bold" w:hAnsi="Arial Bold"/>
      <w:b/>
      <w:lang w:eastAsia="zh-CN"/>
    </w:rPr>
  </w:style>
  <w:style w:type="paragraph" w:customStyle="1" w:styleId="DMSFooter">
    <w:name w:val="DMSFooter"/>
    <w:basedOn w:val="Footer"/>
    <w:rsid w:val="00715777"/>
    <w:rPr>
      <w:sz w:val="12"/>
    </w:rPr>
  </w:style>
  <w:style w:type="paragraph" w:customStyle="1" w:styleId="ZchnZchnCharCharZchnZchn">
    <w:name w:val="Zchn Zchn Char Char Zchn Zchn"/>
    <w:basedOn w:val="Normal"/>
    <w:rsid w:val="00303FFD"/>
    <w:pPr>
      <w:spacing w:after="160" w:line="240" w:lineRule="exact"/>
    </w:pPr>
    <w:rPr>
      <w:lang w:val="en-GB"/>
    </w:rPr>
  </w:style>
  <w:style w:type="character" w:styleId="PageNumber">
    <w:name w:val="page number"/>
    <w:basedOn w:val="DefaultParagraphFont"/>
    <w:rsid w:val="00303FFD"/>
  </w:style>
  <w:style w:type="paragraph" w:styleId="ListParagraph">
    <w:name w:val="List Paragraph"/>
    <w:basedOn w:val="Normal"/>
    <w:link w:val="ListParagraphChar"/>
    <w:uiPriority w:val="99"/>
    <w:qFormat/>
    <w:rsid w:val="007158A6"/>
    <w:pPr>
      <w:tabs>
        <w:tab w:val="right" w:pos="180"/>
        <w:tab w:val="left" w:pos="1440"/>
        <w:tab w:val="left" w:pos="2160"/>
      </w:tabs>
      <w:autoSpaceDE w:val="0"/>
      <w:autoSpaceDN w:val="0"/>
      <w:adjustRightInd w:val="0"/>
      <w:spacing w:after="0" w:line="240" w:lineRule="auto"/>
      <w:ind w:left="720"/>
      <w:jc w:val="both"/>
    </w:pPr>
    <w:rPr>
      <w:rFonts w:eastAsia="Times New Roman" w:cs="Arial"/>
      <w:sz w:val="20"/>
      <w:szCs w:val="20"/>
      <w:lang w:val="en-GB" w:eastAsia="en-US"/>
    </w:rPr>
  </w:style>
  <w:style w:type="character" w:styleId="FootnoteReference">
    <w:name w:val="footnote reference"/>
    <w:semiHidden/>
    <w:rsid w:val="0025656B"/>
    <w:rPr>
      <w:vertAlign w:val="superscript"/>
    </w:rPr>
  </w:style>
  <w:style w:type="character" w:styleId="CommentReference">
    <w:name w:val="annotation reference"/>
    <w:rsid w:val="00D9124C"/>
    <w:rPr>
      <w:sz w:val="16"/>
      <w:szCs w:val="16"/>
    </w:rPr>
  </w:style>
  <w:style w:type="paragraph" w:styleId="CommentText">
    <w:name w:val="annotation text"/>
    <w:basedOn w:val="Normal"/>
    <w:link w:val="CommentTextChar"/>
    <w:rsid w:val="00D9124C"/>
    <w:rPr>
      <w:sz w:val="20"/>
      <w:szCs w:val="20"/>
    </w:rPr>
  </w:style>
  <w:style w:type="character" w:customStyle="1" w:styleId="CommentTextChar">
    <w:name w:val="Comment Text Char"/>
    <w:link w:val="CommentText"/>
    <w:rsid w:val="00D9124C"/>
    <w:rPr>
      <w:rFonts w:ascii="Arial" w:eastAsia="SimHei" w:hAnsi="Arial"/>
      <w:lang w:val="en-SG"/>
    </w:rPr>
  </w:style>
  <w:style w:type="paragraph" w:styleId="CommentSubject">
    <w:name w:val="annotation subject"/>
    <w:basedOn w:val="CommentText"/>
    <w:next w:val="CommentText"/>
    <w:link w:val="CommentSubjectChar"/>
    <w:rsid w:val="00D9124C"/>
    <w:rPr>
      <w:b/>
      <w:bCs/>
    </w:rPr>
  </w:style>
  <w:style w:type="character" w:customStyle="1" w:styleId="CommentSubjectChar">
    <w:name w:val="Comment Subject Char"/>
    <w:link w:val="CommentSubject"/>
    <w:rsid w:val="00D9124C"/>
    <w:rPr>
      <w:rFonts w:ascii="Arial" w:eastAsia="SimHei" w:hAnsi="Arial"/>
      <w:b/>
      <w:bCs/>
      <w:lang w:val="en-SG"/>
    </w:rPr>
  </w:style>
  <w:style w:type="paragraph" w:styleId="BalloonText">
    <w:name w:val="Balloon Text"/>
    <w:basedOn w:val="Normal"/>
    <w:link w:val="BalloonTextChar"/>
    <w:rsid w:val="00D9124C"/>
    <w:pPr>
      <w:spacing w:after="0" w:line="240" w:lineRule="auto"/>
    </w:pPr>
    <w:rPr>
      <w:rFonts w:ascii="Tahoma" w:hAnsi="Tahoma"/>
      <w:sz w:val="16"/>
      <w:szCs w:val="16"/>
    </w:rPr>
  </w:style>
  <w:style w:type="character" w:customStyle="1" w:styleId="BalloonTextChar">
    <w:name w:val="Balloon Text Char"/>
    <w:link w:val="BalloonText"/>
    <w:rsid w:val="00D9124C"/>
    <w:rPr>
      <w:rFonts w:ascii="Tahoma" w:eastAsia="SimHei" w:hAnsi="Tahoma" w:cs="Tahoma"/>
      <w:sz w:val="16"/>
      <w:szCs w:val="16"/>
      <w:lang w:val="en-SG"/>
    </w:rPr>
  </w:style>
  <w:style w:type="paragraph" w:styleId="FootnoteText">
    <w:name w:val="footnote text"/>
    <w:basedOn w:val="Normal"/>
    <w:link w:val="FootnoteTextChar"/>
    <w:rsid w:val="00A81819"/>
    <w:rPr>
      <w:sz w:val="20"/>
      <w:szCs w:val="20"/>
    </w:rPr>
  </w:style>
  <w:style w:type="character" w:customStyle="1" w:styleId="FootnoteTextChar">
    <w:name w:val="Footnote Text Char"/>
    <w:link w:val="FootnoteText"/>
    <w:rsid w:val="00A81819"/>
    <w:rPr>
      <w:rFonts w:ascii="Arial" w:eastAsia="SimHei" w:hAnsi="Arial"/>
      <w:lang w:val="en-SG" w:eastAsia="zh-CN"/>
    </w:rPr>
  </w:style>
  <w:style w:type="paragraph" w:customStyle="1" w:styleId="Bulle">
    <w:name w:val="Bulle"/>
    <w:basedOn w:val="Normal"/>
    <w:rsid w:val="0082060D"/>
    <w:pPr>
      <w:numPr>
        <w:numId w:val="27"/>
      </w:numPr>
      <w:spacing w:after="0" w:line="240" w:lineRule="auto"/>
    </w:pPr>
    <w:rPr>
      <w:rFonts w:ascii="Times New Roman" w:eastAsia="SimSun" w:hAnsi="Times New Roman"/>
      <w:sz w:val="24"/>
      <w:szCs w:val="20"/>
      <w:lang w:val="en-GB" w:eastAsia="en-US"/>
    </w:rPr>
  </w:style>
  <w:style w:type="paragraph" w:styleId="PlainText">
    <w:name w:val="Plain Text"/>
    <w:basedOn w:val="Normal"/>
    <w:link w:val="PlainTextChar"/>
    <w:uiPriority w:val="99"/>
    <w:rsid w:val="0082060D"/>
    <w:pPr>
      <w:spacing w:after="0" w:line="240" w:lineRule="auto"/>
    </w:pPr>
    <w:rPr>
      <w:rFonts w:ascii="Courier New" w:eastAsia="SimSun" w:hAnsi="Courier New"/>
      <w:sz w:val="20"/>
      <w:szCs w:val="20"/>
      <w:lang w:val="en-GB" w:eastAsia="en-US"/>
    </w:rPr>
  </w:style>
  <w:style w:type="character" w:customStyle="1" w:styleId="PlainTextChar">
    <w:name w:val="Plain Text Char"/>
    <w:link w:val="PlainText"/>
    <w:uiPriority w:val="99"/>
    <w:rsid w:val="0082060D"/>
    <w:rPr>
      <w:rFonts w:ascii="Courier New" w:hAnsi="Courier New"/>
      <w:lang w:eastAsia="en-US"/>
    </w:rPr>
  </w:style>
  <w:style w:type="character" w:customStyle="1" w:styleId="ListParagraphChar">
    <w:name w:val="List Paragraph Char"/>
    <w:link w:val="ListParagraph"/>
    <w:uiPriority w:val="99"/>
    <w:locked/>
    <w:rsid w:val="00420D8F"/>
    <w:rPr>
      <w:rFonts w:ascii="Arial" w:eastAsia="Times New Roman" w:hAnsi="Arial" w:cs="Arial"/>
      <w:lang w:eastAsia="en-US"/>
    </w:rPr>
  </w:style>
  <w:style w:type="character" w:customStyle="1" w:styleId="DeltaViewInsertion">
    <w:name w:val="DeltaView Insertion"/>
    <w:rsid w:val="009B3394"/>
    <w:rPr>
      <w:color w:val="0000FF"/>
      <w:u w:val="double"/>
    </w:rPr>
  </w:style>
  <w:style w:type="paragraph" w:styleId="Revision">
    <w:name w:val="Revision"/>
    <w:hidden/>
    <w:uiPriority w:val="99"/>
    <w:semiHidden/>
    <w:rsid w:val="007C1EAE"/>
    <w:rPr>
      <w:rFonts w:ascii="Arial" w:eastAsia="SimHei" w:hAnsi="Arial"/>
      <w:sz w:val="22"/>
      <w:szCs w:val="22"/>
      <w:lang w:val="en-SG" w:eastAsia="zh-CN"/>
    </w:rPr>
  </w:style>
  <w:style w:type="character" w:styleId="UnresolvedMention">
    <w:name w:val="Unresolved Mention"/>
    <w:basedOn w:val="DefaultParagraphFont"/>
    <w:uiPriority w:val="99"/>
    <w:semiHidden/>
    <w:unhideWhenUsed/>
    <w:rsid w:val="007120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0243">
      <w:bodyDiv w:val="1"/>
      <w:marLeft w:val="0"/>
      <w:marRight w:val="0"/>
      <w:marTop w:val="0"/>
      <w:marBottom w:val="0"/>
      <w:divBdr>
        <w:top w:val="none" w:sz="0" w:space="0" w:color="auto"/>
        <w:left w:val="none" w:sz="0" w:space="0" w:color="auto"/>
        <w:bottom w:val="none" w:sz="0" w:space="0" w:color="auto"/>
        <w:right w:val="none" w:sz="0" w:space="0" w:color="auto"/>
      </w:divBdr>
    </w:div>
    <w:div w:id="261113206">
      <w:bodyDiv w:val="1"/>
      <w:marLeft w:val="0"/>
      <w:marRight w:val="0"/>
      <w:marTop w:val="0"/>
      <w:marBottom w:val="0"/>
      <w:divBdr>
        <w:top w:val="none" w:sz="0" w:space="0" w:color="auto"/>
        <w:left w:val="none" w:sz="0" w:space="0" w:color="auto"/>
        <w:bottom w:val="none" w:sz="0" w:space="0" w:color="auto"/>
        <w:right w:val="none" w:sz="0" w:space="0" w:color="auto"/>
      </w:divBdr>
    </w:div>
    <w:div w:id="279141895">
      <w:bodyDiv w:val="1"/>
      <w:marLeft w:val="0"/>
      <w:marRight w:val="0"/>
      <w:marTop w:val="0"/>
      <w:marBottom w:val="0"/>
      <w:divBdr>
        <w:top w:val="none" w:sz="0" w:space="0" w:color="auto"/>
        <w:left w:val="none" w:sz="0" w:space="0" w:color="auto"/>
        <w:bottom w:val="none" w:sz="0" w:space="0" w:color="auto"/>
        <w:right w:val="none" w:sz="0" w:space="0" w:color="auto"/>
      </w:divBdr>
    </w:div>
    <w:div w:id="483353298">
      <w:bodyDiv w:val="1"/>
      <w:marLeft w:val="0"/>
      <w:marRight w:val="0"/>
      <w:marTop w:val="0"/>
      <w:marBottom w:val="0"/>
      <w:divBdr>
        <w:top w:val="none" w:sz="0" w:space="0" w:color="auto"/>
        <w:left w:val="none" w:sz="0" w:space="0" w:color="auto"/>
        <w:bottom w:val="none" w:sz="0" w:space="0" w:color="auto"/>
        <w:right w:val="none" w:sz="0" w:space="0" w:color="auto"/>
      </w:divBdr>
    </w:div>
    <w:div w:id="699865878">
      <w:bodyDiv w:val="1"/>
      <w:marLeft w:val="0"/>
      <w:marRight w:val="0"/>
      <w:marTop w:val="0"/>
      <w:marBottom w:val="0"/>
      <w:divBdr>
        <w:top w:val="none" w:sz="0" w:space="0" w:color="auto"/>
        <w:left w:val="none" w:sz="0" w:space="0" w:color="auto"/>
        <w:bottom w:val="none" w:sz="0" w:space="0" w:color="auto"/>
        <w:right w:val="none" w:sz="0" w:space="0" w:color="auto"/>
      </w:divBdr>
    </w:div>
    <w:div w:id="1188759054">
      <w:bodyDiv w:val="1"/>
      <w:marLeft w:val="0"/>
      <w:marRight w:val="0"/>
      <w:marTop w:val="0"/>
      <w:marBottom w:val="0"/>
      <w:divBdr>
        <w:top w:val="none" w:sz="0" w:space="0" w:color="auto"/>
        <w:left w:val="none" w:sz="0" w:space="0" w:color="auto"/>
        <w:bottom w:val="none" w:sz="0" w:space="0" w:color="auto"/>
        <w:right w:val="none" w:sz="0" w:space="0" w:color="auto"/>
      </w:divBdr>
    </w:div>
    <w:div w:id="1567885320">
      <w:bodyDiv w:val="1"/>
      <w:marLeft w:val="0"/>
      <w:marRight w:val="0"/>
      <w:marTop w:val="0"/>
      <w:marBottom w:val="0"/>
      <w:divBdr>
        <w:top w:val="none" w:sz="0" w:space="0" w:color="auto"/>
        <w:left w:val="none" w:sz="0" w:space="0" w:color="auto"/>
        <w:bottom w:val="none" w:sz="0" w:space="0" w:color="auto"/>
        <w:right w:val="none" w:sz="0" w:space="0" w:color="auto"/>
      </w:divBdr>
    </w:div>
    <w:div w:id="1598174704">
      <w:bodyDiv w:val="1"/>
      <w:marLeft w:val="0"/>
      <w:marRight w:val="0"/>
      <w:marTop w:val="0"/>
      <w:marBottom w:val="0"/>
      <w:divBdr>
        <w:top w:val="none" w:sz="0" w:space="0" w:color="auto"/>
        <w:left w:val="none" w:sz="0" w:space="0" w:color="auto"/>
        <w:bottom w:val="none" w:sz="0" w:space="0" w:color="auto"/>
        <w:right w:val="none" w:sz="0" w:space="0" w:color="auto"/>
      </w:divBdr>
    </w:div>
    <w:div w:id="1637830124">
      <w:bodyDiv w:val="1"/>
      <w:marLeft w:val="0"/>
      <w:marRight w:val="0"/>
      <w:marTop w:val="0"/>
      <w:marBottom w:val="0"/>
      <w:divBdr>
        <w:top w:val="none" w:sz="0" w:space="0" w:color="auto"/>
        <w:left w:val="none" w:sz="0" w:space="0" w:color="auto"/>
        <w:bottom w:val="none" w:sz="0" w:space="0" w:color="auto"/>
        <w:right w:val="none" w:sz="0" w:space="0" w:color="auto"/>
      </w:divBdr>
    </w:div>
    <w:div w:id="1725642124">
      <w:bodyDiv w:val="1"/>
      <w:marLeft w:val="0"/>
      <w:marRight w:val="0"/>
      <w:marTop w:val="0"/>
      <w:marBottom w:val="0"/>
      <w:divBdr>
        <w:top w:val="none" w:sz="0" w:space="0" w:color="auto"/>
        <w:left w:val="none" w:sz="0" w:space="0" w:color="auto"/>
        <w:bottom w:val="none" w:sz="0" w:space="0" w:color="auto"/>
        <w:right w:val="none" w:sz="0" w:space="0" w:color="auto"/>
      </w:divBdr>
    </w:div>
    <w:div w:id="1740858471">
      <w:bodyDiv w:val="1"/>
      <w:marLeft w:val="0"/>
      <w:marRight w:val="0"/>
      <w:marTop w:val="0"/>
      <w:marBottom w:val="0"/>
      <w:divBdr>
        <w:top w:val="none" w:sz="0" w:space="0" w:color="auto"/>
        <w:left w:val="none" w:sz="0" w:space="0" w:color="auto"/>
        <w:bottom w:val="none" w:sz="0" w:space="0" w:color="auto"/>
        <w:right w:val="none" w:sz="0" w:space="0" w:color="auto"/>
      </w:divBdr>
    </w:div>
    <w:div w:id="205357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ocietegenerale.com" TargetMode="Externa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GIS@sgcib.com" TargetMode="External"/><Relationship Id="rId17" Type="http://schemas.openxmlformats.org/officeDocument/2006/relationships/hyperlink" Target="http://www.dlc.socgen.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lc.socgen.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D62A4-1375-41BF-AA02-5EA80B461028}">
  <ds:schemaRefs>
    <ds:schemaRef ds:uri="http://schemas.openxmlformats.org/officeDocument/2006/bibliography"/>
  </ds:schemaRefs>
</ds:datastoreItem>
</file>

<file path=customXml/itemProps2.xml><?xml version="1.0" encoding="utf-8"?>
<ds:datastoreItem xmlns:ds="http://schemas.openxmlformats.org/officeDocument/2006/customXml" ds:itemID="{093448E6-D7F3-4A04-A12C-C60418917498}">
  <ds:schemaRefs>
    <ds:schemaRef ds:uri="http://schemas.openxmlformats.org/officeDocument/2006/bibliography"/>
  </ds:schemaRefs>
</ds:datastoreItem>
</file>

<file path=customXml/itemProps3.xml><?xml version="1.0" encoding="utf-8"?>
<ds:datastoreItem xmlns:ds="http://schemas.openxmlformats.org/officeDocument/2006/customXml" ds:itemID="{081CE777-472C-47AF-9337-FED7A57E3304}">
  <ds:schemaRefs>
    <ds:schemaRef ds:uri="http://schemas.openxmlformats.org/officeDocument/2006/bibliography"/>
  </ds:schemaRefs>
</ds:datastoreItem>
</file>

<file path=customXml/itemProps4.xml><?xml version="1.0" encoding="utf-8"?>
<ds:datastoreItem xmlns:ds="http://schemas.openxmlformats.org/officeDocument/2006/customXml" ds:itemID="{24D30DD9-5020-447B-B2F1-8201462F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6707</Words>
  <Characters>38232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SOCIETE GENERALE</Company>
  <LinksUpToDate>false</LinksUpToDate>
  <CharactersWithSpaces>44850</CharactersWithSpaces>
  <SharedDoc>false</SharedDoc>
  <HLinks>
    <vt:vector size="6" baseType="variant">
      <vt:variant>
        <vt:i4>3211380</vt:i4>
      </vt:variant>
      <vt:variant>
        <vt:i4>0</vt:i4>
      </vt:variant>
      <vt:variant>
        <vt:i4>0</vt:i4>
      </vt:variant>
      <vt:variant>
        <vt:i4>5</vt:i4>
      </vt:variant>
      <vt:variant>
        <vt:lpwstr>http://www.societegenerale.com/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NG</dc:creator>
  <cp:lastModifiedBy>NG Marcus MarkEqdSlsDlpAsi</cp:lastModifiedBy>
  <cp:revision>1</cp:revision>
  <dcterms:created xsi:type="dcterms:W3CDTF">2025-02-25T03:42:00Z</dcterms:created>
  <dcterms:modified xsi:type="dcterms:W3CDTF">2025-02-25T04:01:00Z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oFAAfyEHtdkN2VUiPRDRar/uNlS0nx2RQhp5FYsri6EQiFhG0dSK+Wh08qbxNm5jSRC9IDcYduOvxglJ_x000d_
UEG0OlmT/fU8kyyxScZvJgD+DBN7IvnA/WSJ0jV+FvITsrgxdcdjh3IhNCewkmVJUEG0OlmT/fU8_x000d_
kyyxScZvJgD+DBN7IvnA/WSJ0jV+FmOvjkmF2ViopxJQQq4O3UXKXz5Diw6FjO1xV7CfWfAYkpFR_x000d_
JsKtQUHdqglOJRvJg</vt:lpwstr>
  </property>
  <property fmtid="{D5CDD505-2E9C-101B-9397-08002B2CF9AE}" pid="3" name="MAIL_MSG_ID2">
    <vt:lpwstr>FjdekAYMhUkrWAP90erwkcnJlQrRgztHAv9dIfgjc1SeSh8bpGScpv9cd4P_x000d_
tgytia6bJYBri1z5V3nNA2jaryKGnbLPFSUKnLkT9AJeI4cB</vt:lpwstr>
  </property>
  <property fmtid="{D5CDD505-2E9C-101B-9397-08002B2CF9AE}" pid="4" name="RESPONSE_SENDER_NAME">
    <vt:lpwstr>4AAA9mrMv1QjWAsvQHATRUVRF5xLSVYKw38Lml1bPKe5rU5xXCZNlVoYOA==</vt:lpwstr>
  </property>
  <property fmtid="{D5CDD505-2E9C-101B-9397-08002B2CF9AE}" pid="5" name="EMAIL_OWNER_ADDRESS">
    <vt:lpwstr>ABAAmylTnWthiz+gqQkw3MBZlOb0eW5iHWhauc8N0kdkbqrl9tvNzuqcXIyyPMWJwXBm</vt:lpwstr>
  </property>
  <property fmtid="{D5CDD505-2E9C-101B-9397-08002B2CF9AE}" pid="6" name="MSIP_Label_a401b303-ecb1-4a9d-936a-70858c2d9a3e_Enabled">
    <vt:lpwstr>true</vt:lpwstr>
  </property>
  <property fmtid="{D5CDD505-2E9C-101B-9397-08002B2CF9AE}" pid="7" name="MSIP_Label_a401b303-ecb1-4a9d-936a-70858c2d9a3e_SetDate">
    <vt:lpwstr>2025-02-25T04:00:28Z</vt:lpwstr>
  </property>
  <property fmtid="{D5CDD505-2E9C-101B-9397-08002B2CF9AE}" pid="8" name="MSIP_Label_a401b303-ecb1-4a9d-936a-70858c2d9a3e_Method">
    <vt:lpwstr>Privileged</vt:lpwstr>
  </property>
  <property fmtid="{D5CDD505-2E9C-101B-9397-08002B2CF9AE}" pid="9" name="MSIP_Label_a401b303-ecb1-4a9d-936a-70858c2d9a3e_Name">
    <vt:lpwstr>a401b303-ecb1-4a9d-936a-70858c2d9a3e</vt:lpwstr>
  </property>
  <property fmtid="{D5CDD505-2E9C-101B-9397-08002B2CF9AE}" pid="10" name="MSIP_Label_a401b303-ecb1-4a9d-936a-70858c2d9a3e_SiteId">
    <vt:lpwstr>c9a7d621-4bc4-4407-b730-f428e656aa9e</vt:lpwstr>
  </property>
  <property fmtid="{D5CDD505-2E9C-101B-9397-08002B2CF9AE}" pid="11" name="MSIP_Label_a401b303-ecb1-4a9d-936a-70858c2d9a3e_ActionId">
    <vt:lpwstr>4bcc6ae0-1070-48d9-9fa9-e6b3dfa4ecda</vt:lpwstr>
  </property>
  <property fmtid="{D5CDD505-2E9C-101B-9397-08002B2CF9AE}" pid="12" name="MSIP_Label_a401b303-ecb1-4a9d-936a-70858c2d9a3e_ContentBits">
    <vt:lpwstr>0</vt:lpwstr>
  </property>
</Properties>
</file>